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5EC7" w14:textId="77777777" w:rsidR="00B003AB" w:rsidRPr="007067EB" w:rsidRDefault="00B003AB" w:rsidP="00B003AB">
      <w:pPr>
        <w:spacing w:before="240" w:after="0" w:line="360" w:lineRule="auto"/>
        <w:jc w:val="both"/>
        <w:rPr>
          <w:rFonts w:ascii="Arial Hebrew" w:hAnsi="Arial Hebrew" w:cs="Arial Hebrew"/>
          <w:sz w:val="20"/>
          <w:szCs w:val="20"/>
        </w:rPr>
      </w:pPr>
    </w:p>
    <w:p w14:paraId="1907C147" w14:textId="77777777" w:rsidR="00B003AB" w:rsidRPr="007067EB" w:rsidRDefault="00B003AB" w:rsidP="00B003AB">
      <w:pPr>
        <w:spacing w:before="240" w:after="0" w:line="360" w:lineRule="auto"/>
        <w:jc w:val="both"/>
        <w:rPr>
          <w:rFonts w:ascii="Arial Hebrew" w:hAnsi="Arial Hebrew" w:cs="Arial Hebrew"/>
          <w:sz w:val="28"/>
          <w:szCs w:val="28"/>
        </w:rPr>
      </w:pPr>
      <w:r w:rsidRPr="007067EB">
        <w:rPr>
          <w:rFonts w:ascii="Arial Hebrew" w:hAnsi="Arial Hebrew" w:cs="Arial Hebrew" w:hint="cs"/>
          <w:sz w:val="28"/>
          <w:szCs w:val="28"/>
        </w:rPr>
        <w:t>References</w:t>
      </w:r>
    </w:p>
    <w:p w14:paraId="598E711F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Moody's Investors Service. (2022, November 22). </w:t>
      </w:r>
    </w:p>
    <w:p w14:paraId="4896922B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Rating Methodology: Sovereigns. (Document ID: 395819)</w:t>
      </w:r>
    </w:p>
    <w:p w14:paraId="537268A4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5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https://ratings.moodys.com/api/rmc-documents/395819</w:t>
        </w:r>
      </w:hyperlink>
    </w:p>
    <w:p w14:paraId="6725406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B25A889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Regional and Local Governments Rating Methodology (January 16, 2018 / Updated January 31, 2020): </w:t>
      </w:r>
      <w:hyperlink r:id="rId6" w:history="1">
        <w:r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https://ratings.moodys.com/api/rmc-documents/66129</w:t>
        </w:r>
      </w:hyperlink>
    </w:p>
    <w:p w14:paraId="0EBF4AD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BA5EC7F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7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https://ratings.moodys.com/api/rmc-documents/414455</w:t>
        </w:r>
      </w:hyperlink>
    </w:p>
    <w:p w14:paraId="076EA34D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3A7B6850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8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https://ma.moodys.com/rs/961-KCJ-308/images/PBM_1401432.pdf?version=0</w:t>
        </w:r>
      </w:hyperlink>
    </w:p>
    <w:p w14:paraId="2B5D8667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3DF9DFE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cities and counties</w:t>
      </w:r>
    </w:p>
    <w:p w14:paraId="360E990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69105BC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https://ma.moodys.com/rs/961-KCJ-308/images/PBM_1401434.pdf?version=0</w:t>
      </w:r>
    </w:p>
    <w:p w14:paraId="339EE0A1" w14:textId="77777777" w:rsidR="00B003AB" w:rsidRPr="007067EB" w:rsidRDefault="00B003AB" w:rsidP="00B003AB">
      <w:pPr>
        <w:spacing w:after="0" w:line="240" w:lineRule="auto"/>
        <w:ind w:left="720" w:hanging="720"/>
        <w:jc w:val="both"/>
        <w:rPr>
          <w:rFonts w:ascii="Arial Hebrew" w:hAnsi="Arial Hebrew" w:cs="Arial Hebrew"/>
          <w:sz w:val="21"/>
          <w:szCs w:val="21"/>
        </w:rPr>
      </w:pPr>
    </w:p>
    <w:p w14:paraId="711C3E74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6394CA4B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9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https://ma.moodys.com/rs/961-KCJ-308/images/PBM_1401434.pdf?version=0</w:t>
        </w:r>
      </w:hyperlink>
    </w:p>
    <w:p w14:paraId="5E219D8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4AA413D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398E403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S&amp;P Global Ratings, "How We Rate Sovereigns," February 15, 2019. (Link: https://www.spglobal.com/ratingsdirect/en/us/article/-/view/type/HTML/id/2187081 </w:t>
      </w:r>
    </w:p>
    <w:p w14:paraId="6B700B92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4478E0F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S&amp;P Global Ratings</w:t>
      </w:r>
    </w:p>
    <w:p w14:paraId="6C5C3AF9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Methodology For Rating</w:t>
      </w:r>
    </w:p>
    <w:p w14:paraId="294F6655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U.S. Governments</w:t>
      </w:r>
    </w:p>
    <w:p w14:paraId="661598BA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10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https://www.spglobal.com/_assets/documents/ratings/research/101604201.pdf</w:t>
        </w:r>
      </w:hyperlink>
    </w:p>
    <w:p w14:paraId="65910D35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8B48AD7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13F12C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S&amp;P Global Ratings, "Methodology </w:t>
      </w:r>
      <w:proofErr w:type="gramStart"/>
      <w:r w:rsidRPr="007067EB">
        <w:rPr>
          <w:rFonts w:ascii="Arial Hebrew" w:hAnsi="Arial Hebrew" w:cs="Arial Hebrew" w:hint="cs"/>
          <w:sz w:val="21"/>
          <w:szCs w:val="21"/>
        </w:rPr>
        <w:t>For</w:t>
      </w:r>
      <w:proofErr w:type="gramEnd"/>
      <w:r w:rsidRPr="007067EB">
        <w:rPr>
          <w:rFonts w:ascii="Arial Hebrew" w:hAnsi="Arial Hebrew" w:cs="Arial Hebrew" w:hint="cs"/>
          <w:sz w:val="21"/>
          <w:szCs w:val="21"/>
        </w:rPr>
        <w:t xml:space="preserve"> Rating Local And Regional Governments Outside Of The U.S.," July 15, 2019. </w:t>
      </w:r>
    </w:p>
    <w:p w14:paraId="3BBF35E1" w14:textId="77777777" w:rsidR="00B003AB" w:rsidRPr="007067EB" w:rsidRDefault="00000000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11" w:history="1">
        <w:r w:rsidR="00B003AB" w:rsidRPr="007067EB">
          <w:rPr>
            <w:rStyle w:val="Hyperlink"/>
            <w:rFonts w:ascii="Arial Hebrew" w:hAnsi="Arial Hebrew" w:cs="Arial Hebrew" w:hint="cs"/>
            <w:sz w:val="21"/>
            <w:szCs w:val="21"/>
          </w:rPr>
          <w:t>https://www.maalot.co.il/Publications/MT20190716132322.PDF</w:t>
        </w:r>
      </w:hyperlink>
    </w:p>
    <w:p w14:paraId="3182C252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0658581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1BF64CD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S&amp;P Global Ratings, Sovereign Risk Indicators (Accessible via S&amp;P Global Ratings website, specific URL may vary or require subscription).</w:t>
      </w:r>
    </w:p>
    <w:p w14:paraId="368AFC7E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0D0544D8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 xml:space="preserve">Fitch Ratings, "Criteria Essentials - Sovereign Ratings" </w:t>
      </w:r>
    </w:p>
    <w:p w14:paraId="1E2EC87F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Fitch Ratings, "Sovereign Rating Criteria" (document dated October 24, 2024).</w:t>
      </w:r>
    </w:p>
    <w:p w14:paraId="03CE6231" w14:textId="25BACDD3" w:rsidR="00B003AB" w:rsidRDefault="00C102AF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hyperlink r:id="rId12" w:history="1">
        <w:r w:rsidRPr="00DA42A3">
          <w:rPr>
            <w:rStyle w:val="Hyperlink"/>
            <w:rFonts w:ascii="Arial Hebrew" w:hAnsi="Arial Hebrew" w:cs="Arial Hebrew"/>
            <w:sz w:val="21"/>
            <w:szCs w:val="21"/>
          </w:rPr>
          <w:t>https://www.fitchratings.com/research/sovereigns/sovereign-rating-criteria-24-10-2024</w:t>
        </w:r>
      </w:hyperlink>
    </w:p>
    <w:p w14:paraId="5BE1A3E4" w14:textId="77777777" w:rsidR="00C102AF" w:rsidRDefault="00C102AF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EB25333" w14:textId="77777777" w:rsidR="00C102AF" w:rsidRPr="007067EB" w:rsidRDefault="00C102AF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1F99B22B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Fitch Ratings, "International Local and Regional Governments Rating Criteria" (document dated August 16, 2024).</w:t>
      </w:r>
    </w:p>
    <w:p w14:paraId="6654D038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</w:p>
    <w:p w14:paraId="5EC4E1D0" w14:textId="77777777" w:rsidR="00B003AB" w:rsidRPr="007067EB" w:rsidRDefault="00B003AB" w:rsidP="00B003AB">
      <w:pPr>
        <w:spacing w:after="0" w:line="240" w:lineRule="auto"/>
        <w:jc w:val="both"/>
        <w:rPr>
          <w:rFonts w:ascii="Arial Hebrew" w:hAnsi="Arial Hebrew" w:cs="Arial Hebrew"/>
          <w:sz w:val="21"/>
          <w:szCs w:val="21"/>
        </w:rPr>
      </w:pPr>
      <w:r w:rsidRPr="007067EB">
        <w:rPr>
          <w:rFonts w:ascii="Arial Hebrew" w:hAnsi="Arial Hebrew" w:cs="Arial Hebrew" w:hint="cs"/>
          <w:sz w:val="21"/>
          <w:szCs w:val="21"/>
        </w:rPr>
        <w:t>https://www.fitchratings.com/research/international-public-finance/international-local-regional-governments-rating-criteria-16-08-2024?utm_source=chatgpt.com</w:t>
      </w:r>
    </w:p>
    <w:p w14:paraId="640F4684" w14:textId="77777777" w:rsidR="00570F3B" w:rsidRDefault="00570F3B"/>
    <w:p w14:paraId="5EB3B1E3" w14:textId="03A26357" w:rsidR="00BC4896" w:rsidRDefault="00BC4896">
      <w:r w:rsidRPr="00BC4896">
        <w:t>https://enterprise.press/wp-content/uploads/2017/05/Sovereign-Rating-Methodology.pdf</w:t>
      </w:r>
    </w:p>
    <w:p w14:paraId="729F2E40" w14:textId="3D4AEBA1" w:rsidR="001A3EC7" w:rsidRDefault="00757612">
      <w:hyperlink r:id="rId13" w:history="1">
        <w:r w:rsidRPr="00DA42A3">
          <w:rPr>
            <w:rStyle w:val="Hyperlink"/>
          </w:rPr>
          <w:t>https://www.reuters.com/world/india/indias-economic-adviser-calls-review-sovereign-ratings-methods-2023-12-22/</w:t>
        </w:r>
      </w:hyperlink>
    </w:p>
    <w:p w14:paraId="7A6C821F" w14:textId="77777777" w:rsidR="00757612" w:rsidRDefault="00757612"/>
    <w:p w14:paraId="3615DE4C" w14:textId="6E157B47" w:rsidR="00757612" w:rsidRDefault="00757612">
      <w:hyperlink r:id="rId14" w:history="1">
        <w:r w:rsidRPr="00DA42A3">
          <w:rPr>
            <w:rStyle w:val="Hyperlink"/>
          </w:rPr>
          <w:t>https://documents1.worldbank.org/curated/en/099951310312414964/pdf/IDU-433971de-1de5-4d9f-835a-026fc163b3b0.pdf</w:t>
        </w:r>
      </w:hyperlink>
    </w:p>
    <w:p w14:paraId="0AC2C016" w14:textId="58BF9622" w:rsidR="00757612" w:rsidRDefault="00757612">
      <w:hyperlink r:id="rId15" w:history="1">
        <w:r w:rsidRPr="00DA42A3">
          <w:rPr>
            <w:rStyle w:val="Hyperlink"/>
          </w:rPr>
          <w:t>https://dea.gov.in/sites/default/files/Final-Collection%20of%20essays_OoCEA_compressed.pdf</w:t>
        </w:r>
      </w:hyperlink>
    </w:p>
    <w:p w14:paraId="1015B5D4" w14:textId="42099141" w:rsidR="00757612" w:rsidRDefault="00B52990">
      <w:hyperlink r:id="rId16" w:history="1">
        <w:r w:rsidRPr="00DA42A3">
          <w:rPr>
            <w:rStyle w:val="Hyperlink"/>
          </w:rPr>
          <w:t>https://www.worldbank.org/en/publication/worldwide-governance-indicators/project-updates</w:t>
        </w:r>
      </w:hyperlink>
    </w:p>
    <w:p w14:paraId="7D10F892" w14:textId="350004D9" w:rsidR="00B52990" w:rsidRDefault="00177C31">
      <w:r w:rsidRPr="00177C31">
        <w:t>https://www.linkedin.com/posts/pravin-kumar-singh-7b2193226_understanding-a-sovereigns-willingness-to-activity-7144198192094453760-0-nz/</w:t>
      </w:r>
    </w:p>
    <w:p w14:paraId="3A3E3A74" w14:textId="2FB435E8" w:rsidR="00FC6999" w:rsidRDefault="009B3F73">
      <w:r w:rsidRPr="009B3F73">
        <w:t>https://www.tandfonline.com/doi/full/10.1080/00220380902952399#d1e489</w:t>
      </w:r>
    </w:p>
    <w:p w14:paraId="646F3E6A" w14:textId="77777777" w:rsidR="00FC6999" w:rsidRDefault="00FC6999" w:rsidP="006C2013"/>
    <w:p w14:paraId="4888F46A" w14:textId="491554A8" w:rsidR="006C2013" w:rsidRDefault="006C2013" w:rsidP="006C2013">
      <w:r>
        <w:t xml:space="preserve">See Laura </w:t>
      </w:r>
      <w:proofErr w:type="spellStart"/>
      <w:r>
        <w:t>Langbein</w:t>
      </w:r>
      <w:proofErr w:type="spellEnd"/>
      <w:r>
        <w:t xml:space="preserve"> &amp; Stephen Knack (2010), "The Worldwide Governance Indicators: Six, One, or None?", </w:t>
      </w:r>
      <w:r>
        <w:rPr>
          <w:rStyle w:val="Emphasis"/>
        </w:rPr>
        <w:t>The Journal of Development Studies</w:t>
      </w:r>
      <w:r>
        <w:t>, 46:2, 350-370</w:t>
      </w:r>
    </w:p>
    <w:p w14:paraId="54AFBBC8" w14:textId="77777777" w:rsidR="00B450D6" w:rsidRDefault="00B450D6" w:rsidP="006C2013"/>
    <w:p w14:paraId="17EB13E5" w14:textId="72ACC8B6" w:rsidR="00B450D6" w:rsidRDefault="001B204D" w:rsidP="006C2013">
      <w:hyperlink r:id="rId17" w:history="1">
        <w:r w:rsidRPr="00DA42A3">
          <w:rPr>
            <w:rStyle w:val="Hyperlink"/>
          </w:rPr>
          <w:t>https://enterprise.press/wp-content/uploads/2017/05/Sovereign-Rating-Methodology.pdf</w:t>
        </w:r>
      </w:hyperlink>
    </w:p>
    <w:p w14:paraId="54F562C5" w14:textId="62A1B55D" w:rsidR="001B204D" w:rsidRDefault="001B204D" w:rsidP="006C2013">
      <w:hyperlink r:id="rId18" w:history="1">
        <w:r w:rsidRPr="00DA42A3">
          <w:rPr>
            <w:rStyle w:val="Hyperlink"/>
          </w:rPr>
          <w:t>https://www.researchgate.net/figure/Correlation-matrix-between-the-six-worldwide-governance-indicators_tbl2_354022546</w:t>
        </w:r>
      </w:hyperlink>
    </w:p>
    <w:p w14:paraId="4918396E" w14:textId="57193932" w:rsidR="001B204D" w:rsidRDefault="001B204D" w:rsidP="006C2013">
      <w:hyperlink r:id="rId19" w:history="1">
        <w:r w:rsidRPr="00DA42A3">
          <w:rPr>
            <w:rStyle w:val="Hyperlink"/>
          </w:rPr>
          <w:t>https://www.worldbank.org/en/publication/worldwide-governance-indicators/usage-advisory#:~:text=Interactive%20Data%20Access%20,or%20other%20critical%20financial%20decisions</w:t>
        </w:r>
      </w:hyperlink>
    </w:p>
    <w:p w14:paraId="3309AF9C" w14:textId="77777777" w:rsidR="001B204D" w:rsidRDefault="001B204D" w:rsidP="006C2013"/>
    <w:p w14:paraId="031B263B" w14:textId="344966B7" w:rsidR="001B204D" w:rsidRDefault="006F318C" w:rsidP="006C2013">
      <w:hyperlink r:id="rId20" w:history="1">
        <w:r w:rsidRPr="00DA42A3">
          <w:rPr>
            <w:rStyle w:val="Hyperlink"/>
          </w:rPr>
          <w:t>https://www.worldbank.org/content/dam/sites/govindicators/doc/wgireviewresponse.pdf#:~:text=credit%20rating%20agencies,Again</w:t>
        </w:r>
      </w:hyperlink>
    </w:p>
    <w:p w14:paraId="3F7BF6FB" w14:textId="77777777" w:rsidR="006F318C" w:rsidRDefault="006F318C" w:rsidP="006C2013"/>
    <w:p w14:paraId="48DFF88D" w14:textId="77777777" w:rsidR="006F318C" w:rsidRDefault="006F318C" w:rsidP="006C2013"/>
    <w:p w14:paraId="1A9E29DE" w14:textId="77777777" w:rsidR="006F318C" w:rsidRDefault="006F318C" w:rsidP="006C2013"/>
    <w:p w14:paraId="11918913" w14:textId="77777777" w:rsidR="006F318C" w:rsidRPr="006F318C" w:rsidRDefault="006F318C" w:rsidP="006C2013">
      <w:pPr>
        <w:rPr>
          <w:sz w:val="16"/>
          <w:szCs w:val="16"/>
        </w:rPr>
      </w:pPr>
    </w:p>
    <w:p w14:paraId="74EFB9A6" w14:textId="77777777" w:rsidR="006F318C" w:rsidRPr="006F318C" w:rsidRDefault="006F318C" w:rsidP="006F318C">
      <w:pPr>
        <w:pStyle w:val="NormalWeb"/>
        <w:rPr>
          <w:sz w:val="18"/>
          <w:szCs w:val="18"/>
        </w:rPr>
      </w:pPr>
      <w:r w:rsidRPr="006F318C">
        <w:rPr>
          <w:rFonts w:hAnsi="Symbol"/>
          <w:sz w:val="18"/>
          <w:szCs w:val="18"/>
        </w:rPr>
        <w:t></w:t>
      </w:r>
      <w:r w:rsidRPr="006F318C">
        <w:rPr>
          <w:sz w:val="18"/>
          <w:szCs w:val="18"/>
        </w:rPr>
        <w:t xml:space="preserve">  </w:t>
      </w:r>
      <w:r w:rsidRPr="006F318C">
        <w:rPr>
          <w:rStyle w:val="Strong"/>
          <w:rFonts w:eastAsiaTheme="majorEastAsia"/>
          <w:sz w:val="18"/>
          <w:szCs w:val="18"/>
        </w:rPr>
        <w:t>United Kingdom – ONS “Public Service Productivity” series</w:t>
      </w:r>
      <w:r w:rsidRPr="006F318C">
        <w:rPr>
          <w:sz w:val="18"/>
          <w:szCs w:val="18"/>
        </w:rPr>
        <w:br/>
      </w:r>
      <w:r w:rsidRPr="006F318C">
        <w:rPr>
          <w:rStyle w:val="Emphasis"/>
          <w:rFonts w:eastAsiaTheme="majorEastAsia"/>
          <w:sz w:val="18"/>
          <w:szCs w:val="18"/>
        </w:rPr>
        <w:t>Publishes annual and (now-cast) quarterly indices that weight service volumes by outcome quality.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Healthcare</w:t>
      </w:r>
      <w:r w:rsidRPr="006F318C">
        <w:rPr>
          <w:sz w:val="18"/>
          <w:szCs w:val="18"/>
        </w:rPr>
        <w:t>: adjusts activity counts with survival rates, health-gain scores and waiting-time changes.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Education</w:t>
      </w:r>
      <w:r w:rsidRPr="006F318C">
        <w:rPr>
          <w:sz w:val="18"/>
          <w:szCs w:val="18"/>
        </w:rPr>
        <w:t>: pupil-hours are uplifted (or reduced) by exam-grade performance.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Public order &amp; safety / adult social care</w:t>
      </w:r>
      <w:r w:rsidRPr="006F318C">
        <w:rPr>
          <w:sz w:val="18"/>
          <w:szCs w:val="18"/>
        </w:rPr>
        <w:t xml:space="preserve">: uses re-offending rates and user-experience scores to refine output. </w:t>
      </w:r>
      <w:hyperlink r:id="rId21" w:tgtFrame="_blank" w:history="1">
        <w:r w:rsidRPr="006F318C">
          <w:rPr>
            <w:rStyle w:val="max-w-full"/>
            <w:color w:val="0000FF"/>
            <w:sz w:val="18"/>
            <w:szCs w:val="18"/>
            <w:u w:val="single"/>
          </w:rPr>
          <w:t>Office for National Statistics</w:t>
        </w:r>
      </w:hyperlink>
    </w:p>
    <w:p w14:paraId="2BB20732" w14:textId="77777777" w:rsidR="006F318C" w:rsidRPr="006F318C" w:rsidRDefault="006F318C" w:rsidP="006F318C">
      <w:pPr>
        <w:pStyle w:val="NormalWeb"/>
        <w:rPr>
          <w:sz w:val="18"/>
          <w:szCs w:val="18"/>
        </w:rPr>
      </w:pPr>
      <w:r w:rsidRPr="006F318C">
        <w:rPr>
          <w:rFonts w:hAnsi="Symbol"/>
          <w:sz w:val="18"/>
          <w:szCs w:val="18"/>
        </w:rPr>
        <w:lastRenderedPageBreak/>
        <w:t></w:t>
      </w:r>
      <w:r w:rsidRPr="006F318C">
        <w:rPr>
          <w:sz w:val="18"/>
          <w:szCs w:val="18"/>
        </w:rPr>
        <w:t xml:space="preserve">  </w:t>
      </w:r>
      <w:r w:rsidRPr="006F318C">
        <w:rPr>
          <w:rStyle w:val="Strong"/>
          <w:rFonts w:eastAsiaTheme="majorEastAsia"/>
          <w:sz w:val="18"/>
          <w:szCs w:val="18"/>
        </w:rPr>
        <w:t>Netherlands – Statistics Netherlands (CBS) experimental indices</w:t>
      </w:r>
      <w:r w:rsidRPr="006F318C">
        <w:rPr>
          <w:sz w:val="18"/>
          <w:szCs w:val="18"/>
        </w:rPr>
        <w:br/>
      </w:r>
      <w:r w:rsidRPr="006F318C">
        <w:rPr>
          <w:rStyle w:val="Emphasis"/>
          <w:rFonts w:eastAsiaTheme="majorEastAsia"/>
          <w:sz w:val="18"/>
          <w:szCs w:val="18"/>
        </w:rPr>
        <w:t>Pilots sector-specific quality adjustments before rolling them into official accounts.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Libraries</w:t>
      </w:r>
      <w:r w:rsidRPr="006F318C">
        <w:rPr>
          <w:sz w:val="18"/>
          <w:szCs w:val="18"/>
        </w:rPr>
        <w:t>: loans, visits and events are re-weighted for the breadth of the physical-and-digital collection.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Fire services</w:t>
      </w:r>
      <w:r w:rsidRPr="006F318C">
        <w:rPr>
          <w:sz w:val="18"/>
          <w:szCs w:val="18"/>
        </w:rPr>
        <w:t xml:space="preserve">: intervention counts are scaled by the </w:t>
      </w:r>
      <w:r w:rsidRPr="006F318C">
        <w:rPr>
          <w:rStyle w:val="Strong"/>
          <w:rFonts w:eastAsiaTheme="majorEastAsia"/>
          <w:sz w:val="18"/>
          <w:szCs w:val="18"/>
        </w:rPr>
        <w:t>monetary value of property and health damage avoided</w:t>
      </w:r>
      <w:r w:rsidRPr="006F318C">
        <w:rPr>
          <w:sz w:val="18"/>
          <w:szCs w:val="18"/>
        </w:rPr>
        <w:t xml:space="preserve"> (a direct outcome proxy). </w:t>
      </w:r>
      <w:hyperlink r:id="rId22" w:tgtFrame="_blank" w:history="1">
        <w:proofErr w:type="spellStart"/>
        <w:r w:rsidRPr="006F318C">
          <w:rPr>
            <w:rStyle w:val="max-w-full"/>
            <w:color w:val="0000FF"/>
            <w:sz w:val="18"/>
            <w:szCs w:val="18"/>
            <w:u w:val="single"/>
          </w:rPr>
          <w:t>Centraal</w:t>
        </w:r>
        <w:proofErr w:type="spellEnd"/>
        <w:r w:rsidRPr="006F318C">
          <w:rPr>
            <w:rStyle w:val="max-w-full"/>
            <w:color w:val="0000FF"/>
            <w:sz w:val="18"/>
            <w:szCs w:val="18"/>
            <w:u w:val="single"/>
          </w:rPr>
          <w:t xml:space="preserve"> Bureau </w:t>
        </w:r>
        <w:proofErr w:type="spellStart"/>
        <w:r w:rsidRPr="006F318C">
          <w:rPr>
            <w:rStyle w:val="max-w-full"/>
            <w:color w:val="0000FF"/>
            <w:sz w:val="18"/>
            <w:szCs w:val="18"/>
            <w:u w:val="single"/>
          </w:rPr>
          <w:t>voor</w:t>
        </w:r>
        <w:proofErr w:type="spellEnd"/>
        <w:r w:rsidRPr="006F318C">
          <w:rPr>
            <w:rStyle w:val="max-w-full"/>
            <w:color w:val="0000FF"/>
            <w:sz w:val="18"/>
            <w:szCs w:val="18"/>
            <w:u w:val="single"/>
          </w:rPr>
          <w:t xml:space="preserve"> de </w:t>
        </w:r>
        <w:proofErr w:type="spellStart"/>
        <w:r w:rsidRPr="006F318C">
          <w:rPr>
            <w:rStyle w:val="max-w-full"/>
            <w:color w:val="0000FF"/>
            <w:sz w:val="18"/>
            <w:szCs w:val="18"/>
            <w:u w:val="single"/>
          </w:rPr>
          <w:t>Statistiek</w:t>
        </w:r>
        <w:proofErr w:type="spellEnd"/>
      </w:hyperlink>
    </w:p>
    <w:p w14:paraId="67CAE699" w14:textId="77777777" w:rsidR="006F318C" w:rsidRPr="006F318C" w:rsidRDefault="006F318C" w:rsidP="006F318C">
      <w:pPr>
        <w:pStyle w:val="NormalWeb"/>
        <w:rPr>
          <w:sz w:val="18"/>
          <w:szCs w:val="18"/>
        </w:rPr>
      </w:pPr>
      <w:proofErr w:type="gramStart"/>
      <w:r w:rsidRPr="006F318C">
        <w:rPr>
          <w:rFonts w:hAnsi="Symbol"/>
          <w:sz w:val="18"/>
          <w:szCs w:val="18"/>
        </w:rPr>
        <w:t></w:t>
      </w:r>
      <w:r w:rsidRPr="006F318C">
        <w:rPr>
          <w:sz w:val="18"/>
          <w:szCs w:val="18"/>
        </w:rPr>
        <w:t xml:space="preserve">  </w:t>
      </w:r>
      <w:r w:rsidRPr="006F318C">
        <w:rPr>
          <w:rStyle w:val="Strong"/>
          <w:rFonts w:eastAsiaTheme="majorEastAsia"/>
          <w:sz w:val="18"/>
          <w:szCs w:val="18"/>
        </w:rPr>
        <w:t>Denmark</w:t>
      </w:r>
      <w:proofErr w:type="gramEnd"/>
      <w:r w:rsidRPr="006F318C">
        <w:rPr>
          <w:rStyle w:val="Strong"/>
          <w:rFonts w:eastAsiaTheme="majorEastAsia"/>
          <w:sz w:val="18"/>
          <w:szCs w:val="18"/>
        </w:rPr>
        <w:t xml:space="preserve"> – Statistics Denmark output-based national-accounts method (since 2014)</w:t>
      </w:r>
      <w:r w:rsidRPr="006F318C">
        <w:rPr>
          <w:sz w:val="18"/>
          <w:szCs w:val="18"/>
        </w:rPr>
        <w:br/>
      </w:r>
      <w:r w:rsidRPr="006F318C">
        <w:rPr>
          <w:rStyle w:val="Emphasis"/>
          <w:rFonts w:eastAsiaTheme="majorEastAsia"/>
          <w:sz w:val="18"/>
          <w:szCs w:val="18"/>
        </w:rPr>
        <w:t>Replaces input-=-output with direct volume indicators and paves the way for quality layers.</w:t>
      </w:r>
      <w:r w:rsidRPr="006F318C">
        <w:rPr>
          <w:sz w:val="18"/>
          <w:szCs w:val="18"/>
        </w:rPr>
        <w:br/>
        <w:t xml:space="preserve">• Tracks numbers of hospital treatments, pupils taught, preschool and elder-care places; next step (under way) is to fold in waiting-time targets and student test results as quality modifiers. </w:t>
      </w:r>
      <w:hyperlink r:id="rId23" w:tgtFrame="_blank" w:history="1">
        <w:proofErr w:type="spellStart"/>
        <w:r w:rsidRPr="006F318C">
          <w:rPr>
            <w:rStyle w:val="max-w-full"/>
            <w:color w:val="0000FF"/>
            <w:sz w:val="18"/>
            <w:szCs w:val="18"/>
            <w:u w:val="single"/>
          </w:rPr>
          <w:t>Danmarks</w:t>
        </w:r>
        <w:proofErr w:type="spellEnd"/>
        <w:r w:rsidRPr="006F318C">
          <w:rPr>
            <w:rStyle w:val="max-w-full"/>
            <w:color w:val="0000FF"/>
            <w:sz w:val="18"/>
            <w:szCs w:val="18"/>
            <w:u w:val="single"/>
          </w:rPr>
          <w:t xml:space="preserve"> </w:t>
        </w:r>
        <w:proofErr w:type="spellStart"/>
        <w:r w:rsidRPr="006F318C">
          <w:rPr>
            <w:rStyle w:val="max-w-full"/>
            <w:color w:val="0000FF"/>
            <w:sz w:val="18"/>
            <w:szCs w:val="18"/>
            <w:u w:val="single"/>
          </w:rPr>
          <w:t>Statistik</w:t>
        </w:r>
        <w:proofErr w:type="spellEnd"/>
      </w:hyperlink>
    </w:p>
    <w:p w14:paraId="6DFD68D3" w14:textId="77777777" w:rsidR="006F318C" w:rsidRPr="006F318C" w:rsidRDefault="006F318C" w:rsidP="006F318C">
      <w:pPr>
        <w:pStyle w:val="NormalWeb"/>
        <w:rPr>
          <w:sz w:val="18"/>
          <w:szCs w:val="18"/>
        </w:rPr>
      </w:pPr>
      <w:proofErr w:type="gramStart"/>
      <w:r w:rsidRPr="006F318C">
        <w:rPr>
          <w:rFonts w:hAnsi="Symbol"/>
          <w:sz w:val="18"/>
          <w:szCs w:val="18"/>
        </w:rPr>
        <w:t></w:t>
      </w:r>
      <w:r w:rsidRPr="006F318C">
        <w:rPr>
          <w:sz w:val="18"/>
          <w:szCs w:val="18"/>
        </w:rPr>
        <w:t xml:space="preserve">  </w:t>
      </w:r>
      <w:r w:rsidRPr="006F318C">
        <w:rPr>
          <w:rStyle w:val="Strong"/>
          <w:rFonts w:eastAsiaTheme="majorEastAsia"/>
          <w:sz w:val="18"/>
          <w:szCs w:val="18"/>
        </w:rPr>
        <w:t>Nordic</w:t>
      </w:r>
      <w:proofErr w:type="gramEnd"/>
      <w:r w:rsidRPr="006F318C">
        <w:rPr>
          <w:rStyle w:val="Strong"/>
          <w:rFonts w:eastAsiaTheme="majorEastAsia"/>
          <w:sz w:val="18"/>
          <w:szCs w:val="18"/>
        </w:rPr>
        <w:t xml:space="preserve"> pioneers (Finland &amp; Sweden)</w:t>
      </w:r>
      <w:r w:rsidRPr="006F318C">
        <w:rPr>
          <w:sz w:val="18"/>
          <w:szCs w:val="18"/>
        </w:rPr>
        <w:br/>
      </w:r>
      <w:r w:rsidRPr="006F318C">
        <w:rPr>
          <w:rStyle w:val="Emphasis"/>
          <w:rFonts w:eastAsiaTheme="majorEastAsia"/>
          <w:sz w:val="18"/>
          <w:szCs w:val="18"/>
        </w:rPr>
        <w:t>Long-running “hospital benchmarking” and the seminal Swedish ESO study show how outcome markers enhance volume counts.</w:t>
      </w:r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Finland</w:t>
      </w:r>
      <w:r w:rsidRPr="006F318C">
        <w:rPr>
          <w:sz w:val="18"/>
          <w:szCs w:val="18"/>
        </w:rPr>
        <w:t xml:space="preserve"> pairs hospital activity with cost-and-productivity dashboards that compare units on case-mix-adjusted treatment outcomes. </w:t>
      </w:r>
      <w:hyperlink r:id="rId24" w:tgtFrame="_blank" w:history="1">
        <w:r w:rsidRPr="006F318C">
          <w:rPr>
            <w:rStyle w:val="max-w-full"/>
            <w:color w:val="0000FF"/>
            <w:sz w:val="18"/>
            <w:szCs w:val="18"/>
            <w:u w:val="single"/>
          </w:rPr>
          <w:t>Statistics Finland</w:t>
        </w:r>
      </w:hyperlink>
      <w:r w:rsidRPr="006F318C">
        <w:rPr>
          <w:sz w:val="18"/>
          <w:szCs w:val="18"/>
        </w:rPr>
        <w:br/>
        <w:t xml:space="preserve">• </w:t>
      </w:r>
      <w:r w:rsidRPr="006F318C">
        <w:rPr>
          <w:rStyle w:val="Strong"/>
          <w:rFonts w:eastAsiaTheme="majorEastAsia"/>
          <w:sz w:val="18"/>
          <w:szCs w:val="18"/>
        </w:rPr>
        <w:t>Sweden</w:t>
      </w:r>
      <w:r w:rsidRPr="006F318C">
        <w:rPr>
          <w:sz w:val="18"/>
          <w:szCs w:val="18"/>
        </w:rPr>
        <w:t xml:space="preserve"> (ESO, 1980s) weighted service outputs by patient-health improvements and school-exam results, demonstrating quality-adjusted productivity almost four decades ago. </w:t>
      </w:r>
      <w:hyperlink r:id="rId25" w:tgtFrame="_blank" w:history="1">
        <w:r w:rsidRPr="006F318C">
          <w:rPr>
            <w:rStyle w:val="max-w-full"/>
            <w:color w:val="0000FF"/>
            <w:sz w:val="18"/>
            <w:szCs w:val="18"/>
            <w:u w:val="single"/>
          </w:rPr>
          <w:t>nber.org</w:t>
        </w:r>
      </w:hyperlink>
    </w:p>
    <w:p w14:paraId="31495B0D" w14:textId="77777777" w:rsidR="006F318C" w:rsidRDefault="006F318C" w:rsidP="006C2013"/>
    <w:sectPr w:rsidR="006F318C" w:rsidSect="00B0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D672B"/>
    <w:multiLevelType w:val="hybridMultilevel"/>
    <w:tmpl w:val="3A228932"/>
    <w:lvl w:ilvl="0" w:tplc="5BA075E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2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AB"/>
    <w:rsid w:val="001461B9"/>
    <w:rsid w:val="00177C31"/>
    <w:rsid w:val="001A3EC7"/>
    <w:rsid w:val="001B204D"/>
    <w:rsid w:val="00410C97"/>
    <w:rsid w:val="00570F3B"/>
    <w:rsid w:val="006C2013"/>
    <w:rsid w:val="006F318C"/>
    <w:rsid w:val="00727C84"/>
    <w:rsid w:val="00757612"/>
    <w:rsid w:val="008A1254"/>
    <w:rsid w:val="008E6D88"/>
    <w:rsid w:val="009B3F73"/>
    <w:rsid w:val="00B003AB"/>
    <w:rsid w:val="00B450D6"/>
    <w:rsid w:val="00B52990"/>
    <w:rsid w:val="00BC4896"/>
    <w:rsid w:val="00C102AF"/>
    <w:rsid w:val="00DC6ECC"/>
    <w:rsid w:val="00E00338"/>
    <w:rsid w:val="00EE7F6B"/>
    <w:rsid w:val="00F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DDDD"/>
  <w15:chartTrackingRefBased/>
  <w15:docId w15:val="{5A210E8A-7C3A-CC43-B9BB-609C011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A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3A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A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A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A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A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A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A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A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A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AB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AB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AB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0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3AB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3A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6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C20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F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F318C"/>
    <w:rPr>
      <w:b/>
      <w:bCs/>
    </w:rPr>
  </w:style>
  <w:style w:type="character" w:customStyle="1" w:styleId="ms-1">
    <w:name w:val="ms-1"/>
    <w:basedOn w:val="DefaultParagraphFont"/>
    <w:rsid w:val="006F318C"/>
  </w:style>
  <w:style w:type="character" w:customStyle="1" w:styleId="max-w-full">
    <w:name w:val="max-w-full"/>
    <w:basedOn w:val="DefaultParagraphFont"/>
    <w:rsid w:val="006F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.moodys.com/rs/961-KCJ-308/images/PBM_1401432.pdf?version=0" TargetMode="External"/><Relationship Id="rId13" Type="http://schemas.openxmlformats.org/officeDocument/2006/relationships/hyperlink" Target="https://www.reuters.com/world/india/indias-economic-adviser-calls-review-sovereign-ratings-methods-2023-12-22/" TargetMode="External"/><Relationship Id="rId18" Type="http://schemas.openxmlformats.org/officeDocument/2006/relationships/hyperlink" Target="https://www.researchgate.net/figure/Correlation-matrix-between-the-six-worldwide-governance-indicators_tbl2_35402254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ons.gov.uk/economy/economicoutputandproductivity/publicservicesproductivity/articles/aguidetoqualityadjustmentinpublicserviceproductivitymeasures/2019-08-07" TargetMode="External"/><Relationship Id="rId7" Type="http://schemas.openxmlformats.org/officeDocument/2006/relationships/hyperlink" Target="https://ratings.moodys.com/api/rmc-documents/414455" TargetMode="External"/><Relationship Id="rId12" Type="http://schemas.openxmlformats.org/officeDocument/2006/relationships/hyperlink" Target="https://www.fitchratings.com/research/sovereigns/sovereign-rating-criteria-24-10-2024" TargetMode="External"/><Relationship Id="rId17" Type="http://schemas.openxmlformats.org/officeDocument/2006/relationships/hyperlink" Target="https://enterprise.press/wp-content/uploads/2017/05/Sovereign-Rating-Methodology.pdf" TargetMode="External"/><Relationship Id="rId25" Type="http://schemas.openxmlformats.org/officeDocument/2006/relationships/hyperlink" Target="https://www.nber.org/system/files/chapters/c7244/c724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rldbank.org/en/publication/worldwide-governance-indicators/project-updates" TargetMode="External"/><Relationship Id="rId20" Type="http://schemas.openxmlformats.org/officeDocument/2006/relationships/hyperlink" Target="https://www.worldbank.org/content/dam/sites/govindicators/doc/wgireviewresponse.pdf#:~:text=credit%20rating%20agencies,Aga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tings.moodys.com/api/rmc-documents/66129" TargetMode="External"/><Relationship Id="rId11" Type="http://schemas.openxmlformats.org/officeDocument/2006/relationships/hyperlink" Target="https://www.maalot.co.il/Publications/MT20190716132322.PDF" TargetMode="External"/><Relationship Id="rId24" Type="http://schemas.openxmlformats.org/officeDocument/2006/relationships/hyperlink" Target="https://stat.fi/en/statistics/sairt" TargetMode="External"/><Relationship Id="rId5" Type="http://schemas.openxmlformats.org/officeDocument/2006/relationships/hyperlink" Target="https://ratings.moodys.com/api/rmc-documents/395819" TargetMode="External"/><Relationship Id="rId15" Type="http://schemas.openxmlformats.org/officeDocument/2006/relationships/hyperlink" Target="https://dea.gov.in/sites/default/files/Final-Collection%20of%20essays_OoCEA_compressed.pdf" TargetMode="External"/><Relationship Id="rId23" Type="http://schemas.openxmlformats.org/officeDocument/2006/relationships/hyperlink" Target="https://www.dst.dk/pubomtale/18684" TargetMode="External"/><Relationship Id="rId10" Type="http://schemas.openxmlformats.org/officeDocument/2006/relationships/hyperlink" Target="https://www.spglobal.com/_assets/documents/ratings/research/101604201.pdf" TargetMode="External"/><Relationship Id="rId19" Type="http://schemas.openxmlformats.org/officeDocument/2006/relationships/hyperlink" Target="https://www.worldbank.org/en/publication/worldwide-governance-indicators/usage-advisory#:~:text=Interactive%20Data%20Access%20,or%20other%20critical%20financial%20deci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.moodys.com/rs/961-KCJ-308/images/PBM_1401434.pdf?version=0" TargetMode="External"/><Relationship Id="rId14" Type="http://schemas.openxmlformats.org/officeDocument/2006/relationships/hyperlink" Target="https://documents1.worldbank.org/curated/en/099951310312414964/pdf/IDU-433971de-1de5-4d9f-835a-026fc163b3b0.pdf" TargetMode="External"/><Relationship Id="rId22" Type="http://schemas.openxmlformats.org/officeDocument/2006/relationships/hyperlink" Target="https://www.cbs.nl/-/media/_pdf/2021/26/2021dp09-productivity-in-the-dutch-public-sector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Catherine Dai</cp:lastModifiedBy>
  <cp:revision>2</cp:revision>
  <dcterms:created xsi:type="dcterms:W3CDTF">2025-05-25T16:41:00Z</dcterms:created>
  <dcterms:modified xsi:type="dcterms:W3CDTF">2025-05-31T00:58:00Z</dcterms:modified>
</cp:coreProperties>
</file>