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7DE9D" w14:textId="0AD1117D" w:rsidR="00B35A9E" w:rsidRPr="00A61F8B" w:rsidRDefault="00B35A9E" w:rsidP="002B6E85">
      <w:pPr>
        <w:rPr>
          <w:b/>
          <w:bCs/>
          <w:lang w:val="en-US"/>
        </w:rPr>
      </w:pPr>
      <w:r w:rsidRPr="00A61F8B">
        <w:rPr>
          <w:b/>
          <w:bCs/>
          <w:lang w:val="en-US"/>
        </w:rPr>
        <w:t xml:space="preserve">Postdoctoral Position </w:t>
      </w:r>
    </w:p>
    <w:p w14:paraId="27C09835" w14:textId="77777777" w:rsidR="00B35A9E" w:rsidRDefault="00B35A9E" w:rsidP="002B6E85">
      <w:pPr>
        <w:rPr>
          <w:lang w:val="en-US"/>
        </w:rPr>
      </w:pPr>
    </w:p>
    <w:p w14:paraId="3123FDA7" w14:textId="30093FF8" w:rsidR="00A404DA" w:rsidRDefault="0030315B" w:rsidP="002B6E85">
      <w:pPr>
        <w:rPr>
          <w:lang w:val="en-US"/>
        </w:rPr>
      </w:pPr>
      <w:r>
        <w:rPr>
          <w:lang w:val="en-US"/>
        </w:rPr>
        <w:t xml:space="preserve">The </w:t>
      </w:r>
      <w:r w:rsidR="00CB433D">
        <w:rPr>
          <w:lang w:val="en-US"/>
        </w:rPr>
        <w:t xml:space="preserve">appropriate background </w:t>
      </w:r>
      <w:r>
        <w:rPr>
          <w:lang w:val="en-US"/>
        </w:rPr>
        <w:t>for a</w:t>
      </w:r>
      <w:r w:rsidR="00A404DA">
        <w:rPr>
          <w:lang w:val="en-US"/>
        </w:rPr>
        <w:t xml:space="preserve"> </w:t>
      </w:r>
      <w:r w:rsidR="00CB433D">
        <w:rPr>
          <w:lang w:val="en-US"/>
        </w:rPr>
        <w:t>p</w:t>
      </w:r>
      <w:r w:rsidR="00A404DA">
        <w:rPr>
          <w:lang w:val="en-US"/>
        </w:rPr>
        <w:t xml:space="preserve">ostdoctoral Researcher (1 to 1.5 years) depends on </w:t>
      </w:r>
      <w:r w:rsidR="00CB433D">
        <w:rPr>
          <w:lang w:val="en-US"/>
        </w:rPr>
        <w:t xml:space="preserve">the </w:t>
      </w:r>
      <w:r w:rsidR="00A404DA">
        <w:rPr>
          <w:lang w:val="en-US"/>
        </w:rPr>
        <w:t>Hub</w:t>
      </w:r>
      <w:r w:rsidR="00CB433D">
        <w:rPr>
          <w:lang w:val="en-US"/>
        </w:rPr>
        <w:t>’s research</w:t>
      </w:r>
      <w:r w:rsidR="00A404DA">
        <w:rPr>
          <w:lang w:val="en-US"/>
        </w:rPr>
        <w:t xml:space="preserve"> priorities</w:t>
      </w:r>
      <w:r w:rsidR="002B6E85">
        <w:rPr>
          <w:lang w:val="en-US"/>
        </w:rPr>
        <w:t xml:space="preserve">: </w:t>
      </w:r>
      <w:r w:rsidR="007D20A8" w:rsidRPr="002B6E85">
        <w:rPr>
          <w:b/>
          <w:bCs/>
          <w:lang w:val="en-US"/>
        </w:rPr>
        <w:t>public policy</w:t>
      </w:r>
      <w:r w:rsidR="00CB433D" w:rsidRPr="002B6E85">
        <w:rPr>
          <w:b/>
          <w:bCs/>
          <w:lang w:val="en-US"/>
        </w:rPr>
        <w:t xml:space="preserve"> </w:t>
      </w:r>
      <w:r w:rsidR="002B6E85" w:rsidRPr="002B6E85">
        <w:rPr>
          <w:b/>
          <w:bCs/>
          <w:lang w:val="en-US"/>
        </w:rPr>
        <w:t>&amp;</w:t>
      </w:r>
      <w:r w:rsidR="00CB433D" w:rsidRPr="002B6E85">
        <w:rPr>
          <w:b/>
          <w:bCs/>
          <w:lang w:val="en-US"/>
        </w:rPr>
        <w:t xml:space="preserve"> administration</w:t>
      </w:r>
      <w:r w:rsidR="00CB433D">
        <w:rPr>
          <w:lang w:val="en-US"/>
        </w:rPr>
        <w:t xml:space="preserve"> vs </w:t>
      </w:r>
      <w:r w:rsidR="00CB433D" w:rsidRPr="002B6E85">
        <w:rPr>
          <w:b/>
          <w:bCs/>
          <w:lang w:val="en-US"/>
        </w:rPr>
        <w:t xml:space="preserve">computer science </w:t>
      </w:r>
      <w:r w:rsidR="002B6E85" w:rsidRPr="002B6E85">
        <w:rPr>
          <w:b/>
          <w:bCs/>
          <w:lang w:val="en-US"/>
        </w:rPr>
        <w:t xml:space="preserve">&amp; </w:t>
      </w:r>
      <w:r w:rsidR="00CB433D" w:rsidRPr="002B6E85">
        <w:rPr>
          <w:b/>
          <w:bCs/>
          <w:lang w:val="en-US"/>
        </w:rPr>
        <w:t>engineering</w:t>
      </w:r>
      <w:r w:rsidR="002B6E85">
        <w:rPr>
          <w:lang w:val="en-US"/>
        </w:rPr>
        <w:t xml:space="preserve">. </w:t>
      </w:r>
      <w:r w:rsidR="00ED4632">
        <w:rPr>
          <w:lang w:val="en-US"/>
        </w:rPr>
        <w:t>Because the</w:t>
      </w:r>
      <w:r w:rsidR="00114EE8">
        <w:rPr>
          <w:lang w:val="en-US"/>
        </w:rPr>
        <w:t xml:space="preserve"> Hub is based in the school of computer science and engineering</w:t>
      </w:r>
      <w:r w:rsidR="00ED4632">
        <w:rPr>
          <w:lang w:val="en-US"/>
        </w:rPr>
        <w:t>,</w:t>
      </w:r>
      <w:r w:rsidR="00114EE8">
        <w:rPr>
          <w:lang w:val="en-US"/>
        </w:rPr>
        <w:t xml:space="preserve"> it may be </w:t>
      </w:r>
      <w:r w:rsidR="003A4476">
        <w:rPr>
          <w:lang w:val="en-US"/>
        </w:rPr>
        <w:t>easier</w:t>
      </w:r>
      <w:r w:rsidR="00114EE8">
        <w:rPr>
          <w:lang w:val="en-US"/>
        </w:rPr>
        <w:t xml:space="preserve"> to</w:t>
      </w:r>
      <w:r w:rsidR="002B6E85">
        <w:rPr>
          <w:lang w:val="en-US"/>
        </w:rPr>
        <w:t xml:space="preserve"> recruit a postdoctoral researcher and</w:t>
      </w:r>
      <w:r w:rsidR="00114EE8">
        <w:rPr>
          <w:lang w:val="en-US"/>
        </w:rPr>
        <w:t xml:space="preserve"> supervise </w:t>
      </w:r>
      <w:r w:rsidR="002B6E85">
        <w:rPr>
          <w:lang w:val="en-US"/>
        </w:rPr>
        <w:t xml:space="preserve">projects </w:t>
      </w:r>
      <w:r w:rsidR="00114EE8">
        <w:rPr>
          <w:lang w:val="en-US"/>
        </w:rPr>
        <w:t xml:space="preserve">closer to this field. </w:t>
      </w:r>
    </w:p>
    <w:p w14:paraId="443BE3D2" w14:textId="77777777" w:rsidR="0030315B" w:rsidRDefault="0030315B" w:rsidP="00A404DA">
      <w:pPr>
        <w:rPr>
          <w:lang w:val="en-US"/>
        </w:rPr>
      </w:pPr>
    </w:p>
    <w:p w14:paraId="419CBF9A" w14:textId="77777777" w:rsidR="002B6E85" w:rsidRDefault="00894536" w:rsidP="00A404DA">
      <w:pPr>
        <w:rPr>
          <w:lang w:val="en-US"/>
        </w:rPr>
      </w:pPr>
      <w:r>
        <w:rPr>
          <w:lang w:val="en-US"/>
        </w:rPr>
        <w:t xml:space="preserve">The </w:t>
      </w:r>
      <w:r w:rsidR="00A404DA">
        <w:rPr>
          <w:lang w:val="en-US"/>
        </w:rPr>
        <w:t>Global Trust Index</w:t>
      </w:r>
      <w:r w:rsidR="00CB433D">
        <w:rPr>
          <w:lang w:val="en-US"/>
        </w:rPr>
        <w:t xml:space="preserve"> </w:t>
      </w:r>
      <w:r w:rsidR="0030315B">
        <w:rPr>
          <w:lang w:val="en-US"/>
        </w:rPr>
        <w:t>pro</w:t>
      </w:r>
      <w:r w:rsidR="003A4476">
        <w:rPr>
          <w:lang w:val="en-US"/>
        </w:rPr>
        <w:t xml:space="preserve">poses an ambitious </w:t>
      </w:r>
      <w:r w:rsidR="002B6E85">
        <w:rPr>
          <w:lang w:val="en-US"/>
        </w:rPr>
        <w:t xml:space="preserve">long-term </w:t>
      </w:r>
      <w:r w:rsidR="003A4476">
        <w:rPr>
          <w:lang w:val="en-US"/>
        </w:rPr>
        <w:t>project</w:t>
      </w:r>
      <w:r>
        <w:rPr>
          <w:lang w:val="en-US"/>
        </w:rPr>
        <w:t xml:space="preserve"> that would </w:t>
      </w:r>
      <w:r w:rsidR="00CB433D">
        <w:rPr>
          <w:lang w:val="en-US"/>
        </w:rPr>
        <w:t>involve cooperation with</w:t>
      </w:r>
      <w:r w:rsidR="002B6E85">
        <w:rPr>
          <w:lang w:val="en-US"/>
        </w:rPr>
        <w:t xml:space="preserve"> (at first) Australian</w:t>
      </w:r>
      <w:r>
        <w:rPr>
          <w:lang w:val="en-US"/>
        </w:rPr>
        <w:t xml:space="preserve"> </w:t>
      </w:r>
      <w:r w:rsidR="00F62B28">
        <w:rPr>
          <w:lang w:val="en-US"/>
        </w:rPr>
        <w:t>local, state and federal and (ultimately) international government bodies</w:t>
      </w:r>
      <w:r w:rsidR="00CB433D">
        <w:rPr>
          <w:lang w:val="en-US"/>
        </w:rPr>
        <w:t>.</w:t>
      </w:r>
      <w:r w:rsidR="00A404DA">
        <w:rPr>
          <w:lang w:val="en-US"/>
        </w:rPr>
        <w:t xml:space="preserve"> </w:t>
      </w:r>
      <w:r w:rsidR="00CB433D">
        <w:rPr>
          <w:lang w:val="en-US"/>
        </w:rPr>
        <w:t>A</w:t>
      </w:r>
      <w:r>
        <w:rPr>
          <w:lang w:val="en-US"/>
        </w:rPr>
        <w:t xml:space="preserve"> project of this scale</w:t>
      </w:r>
      <w:r w:rsidR="002B6E85">
        <w:rPr>
          <w:lang w:val="en-US"/>
        </w:rPr>
        <w:t xml:space="preserve"> would be suitable for</w:t>
      </w:r>
      <w:r w:rsidR="00A404DA">
        <w:rPr>
          <w:lang w:val="en-US"/>
        </w:rPr>
        <w:t xml:space="preserve"> a CRC</w:t>
      </w:r>
      <w:r w:rsidR="002B6E85">
        <w:rPr>
          <w:lang w:val="en-US"/>
        </w:rPr>
        <w:t xml:space="preserve">, especially one that is also undertaking research on related themes like </w:t>
      </w:r>
      <w:r w:rsidR="00ED4632">
        <w:rPr>
          <w:lang w:val="en-US"/>
        </w:rPr>
        <w:t>government data sharing.</w:t>
      </w:r>
      <w:r w:rsidR="00CB433D">
        <w:rPr>
          <w:lang w:val="en-US"/>
        </w:rPr>
        <w:t xml:space="preserve"> </w:t>
      </w:r>
    </w:p>
    <w:p w14:paraId="09950B0B" w14:textId="77777777" w:rsidR="002B6E85" w:rsidRDefault="002B6E85" w:rsidP="00A404DA">
      <w:pPr>
        <w:rPr>
          <w:lang w:val="en-US"/>
        </w:rPr>
      </w:pPr>
    </w:p>
    <w:p w14:paraId="386E9E9C" w14:textId="36D52AFA" w:rsidR="00894536" w:rsidRDefault="00ED4632" w:rsidP="00A404DA">
      <w:pPr>
        <w:rPr>
          <w:lang w:val="en-US"/>
        </w:rPr>
      </w:pPr>
      <w:r>
        <w:rPr>
          <w:lang w:val="en-US"/>
        </w:rPr>
        <w:t xml:space="preserve">The Hub </w:t>
      </w:r>
      <w:r w:rsidR="002B6E85">
        <w:rPr>
          <w:lang w:val="en-US"/>
        </w:rPr>
        <w:t>should</w:t>
      </w:r>
      <w:r>
        <w:rPr>
          <w:lang w:val="en-US"/>
        </w:rPr>
        <w:t xml:space="preserve"> consider what type of</w:t>
      </w:r>
      <w:r w:rsidR="002B6E85">
        <w:rPr>
          <w:lang w:val="en-US"/>
        </w:rPr>
        <w:t xml:space="preserve"> stand-alone</w:t>
      </w:r>
      <w:r>
        <w:rPr>
          <w:lang w:val="en-US"/>
        </w:rPr>
        <w:t xml:space="preserve"> academic contribution</w:t>
      </w:r>
      <w:r w:rsidR="002B6E85">
        <w:rPr>
          <w:lang w:val="en-US"/>
        </w:rPr>
        <w:t xml:space="preserve"> relating to the Global Trust Index</w:t>
      </w:r>
      <w:r>
        <w:rPr>
          <w:lang w:val="en-US"/>
        </w:rPr>
        <w:t xml:space="preserve"> could be completed by an individual postdoctoral researcher in a </w:t>
      </w:r>
      <w:proofErr w:type="gramStart"/>
      <w:r>
        <w:rPr>
          <w:lang w:val="en-US"/>
        </w:rPr>
        <w:t>1-1.5 year</w:t>
      </w:r>
      <w:proofErr w:type="gramEnd"/>
      <w:r>
        <w:rPr>
          <w:lang w:val="en-US"/>
        </w:rPr>
        <w:t xml:space="preserve"> period</w:t>
      </w:r>
      <w:r w:rsidR="002B6E85">
        <w:rPr>
          <w:lang w:val="en-US"/>
        </w:rPr>
        <w:t xml:space="preserve">, considering the differences between outputs suitable for consulting vs academic work. </w:t>
      </w:r>
    </w:p>
    <w:p w14:paraId="319F67B2" w14:textId="77777777" w:rsidR="00894536" w:rsidRDefault="00894536" w:rsidP="00A404DA">
      <w:pPr>
        <w:rPr>
          <w:lang w:val="en-US"/>
        </w:rPr>
      </w:pPr>
    </w:p>
    <w:p w14:paraId="11DE18A3" w14:textId="797E07AC" w:rsidR="0030315B" w:rsidRDefault="00894536" w:rsidP="00A404DA">
      <w:pPr>
        <w:rPr>
          <w:lang w:val="en-US"/>
        </w:rPr>
      </w:pPr>
      <w:r>
        <w:rPr>
          <w:lang w:val="en-US"/>
        </w:rPr>
        <w:t>A</w:t>
      </w:r>
      <w:r w:rsidR="00A404DA">
        <w:rPr>
          <w:lang w:val="en-US"/>
        </w:rPr>
        <w:t xml:space="preserve">n </w:t>
      </w:r>
      <w:r w:rsidR="00663790">
        <w:rPr>
          <w:lang w:val="en-US"/>
        </w:rPr>
        <w:t xml:space="preserve">engineering-based project of </w:t>
      </w:r>
      <w:proofErr w:type="gramStart"/>
      <w:r w:rsidR="00663790">
        <w:rPr>
          <w:lang w:val="en-US"/>
        </w:rPr>
        <w:t>1-1.5 year</w:t>
      </w:r>
      <w:proofErr w:type="gramEnd"/>
      <w:r w:rsidR="00663790">
        <w:rPr>
          <w:lang w:val="en-US"/>
        </w:rPr>
        <w:t xml:space="preserve"> duration may be able to explore technologies related to trust-indexing, for example, identity-verifi</w:t>
      </w:r>
      <w:r w:rsidR="00114EE8">
        <w:rPr>
          <w:lang w:val="en-US"/>
        </w:rPr>
        <w:t>ed</w:t>
      </w:r>
      <w:r w:rsidR="00663790">
        <w:rPr>
          <w:lang w:val="en-US"/>
        </w:rPr>
        <w:t xml:space="preserve"> public engagement</w:t>
      </w:r>
      <w:r w:rsidR="00114EE8">
        <w:rPr>
          <w:lang w:val="en-US"/>
        </w:rPr>
        <w:t xml:space="preserve"> systems using local LLMs</w:t>
      </w:r>
      <w:r w:rsidR="00663790">
        <w:rPr>
          <w:lang w:val="en-US"/>
        </w:rPr>
        <w:t xml:space="preserve">. </w:t>
      </w:r>
      <w:r w:rsidR="00114EE8">
        <w:rPr>
          <w:lang w:val="en-US"/>
        </w:rPr>
        <w:t>A prototype application could potentially be developed and trailed</w:t>
      </w:r>
      <w:r w:rsidR="00ED4632">
        <w:rPr>
          <w:lang w:val="en-US"/>
        </w:rPr>
        <w:t>, with one possible trial being</w:t>
      </w:r>
      <w:r w:rsidR="00114EE8">
        <w:rPr>
          <w:lang w:val="en-US"/>
        </w:rPr>
        <w:t xml:space="preserve"> for student engagement at UNSW</w:t>
      </w:r>
      <w:r w:rsidR="00ED4632">
        <w:rPr>
          <w:lang w:val="en-US"/>
        </w:rPr>
        <w:t>.</w:t>
      </w:r>
    </w:p>
    <w:p w14:paraId="5DDA2B7C" w14:textId="77777777" w:rsidR="00ED4632" w:rsidRDefault="00ED4632" w:rsidP="00A404DA">
      <w:pPr>
        <w:rPr>
          <w:lang w:val="en-US"/>
        </w:rPr>
      </w:pPr>
    </w:p>
    <w:p w14:paraId="4278B8D4" w14:textId="2C2D8791" w:rsidR="00B35A9E" w:rsidRPr="00A61F8B" w:rsidRDefault="00B35A9E" w:rsidP="00A404DA">
      <w:pPr>
        <w:rPr>
          <w:b/>
          <w:bCs/>
          <w:lang w:val="en-US"/>
        </w:rPr>
      </w:pPr>
      <w:r w:rsidRPr="00A61F8B">
        <w:rPr>
          <w:b/>
          <w:bCs/>
          <w:lang w:val="en-US"/>
        </w:rPr>
        <w:t>Cooperative Research Center</w:t>
      </w:r>
    </w:p>
    <w:p w14:paraId="296558B7" w14:textId="77777777" w:rsidR="00B35A9E" w:rsidRDefault="00B35A9E" w:rsidP="00A404DA">
      <w:pPr>
        <w:rPr>
          <w:lang w:val="en-US"/>
        </w:rPr>
      </w:pPr>
    </w:p>
    <w:p w14:paraId="0397C3E4" w14:textId="77777777" w:rsidR="00347028" w:rsidRDefault="00B35A9E" w:rsidP="00A404DA">
      <w:pPr>
        <w:rPr>
          <w:lang w:val="en-US"/>
        </w:rPr>
      </w:pPr>
      <w:r>
        <w:rPr>
          <w:lang w:val="en-US"/>
        </w:rPr>
        <w:t xml:space="preserve">Now is a </w:t>
      </w:r>
      <w:proofErr w:type="spellStart"/>
      <w:r>
        <w:rPr>
          <w:lang w:val="en-US"/>
        </w:rPr>
        <w:t>favourable</w:t>
      </w:r>
      <w:proofErr w:type="spellEnd"/>
      <w:r>
        <w:rPr>
          <w:lang w:val="en-US"/>
        </w:rPr>
        <w:t xml:space="preserve"> time to make </w:t>
      </w:r>
      <w:proofErr w:type="gramStart"/>
      <w:r>
        <w:rPr>
          <w:lang w:val="en-US"/>
        </w:rPr>
        <w:t>an  application</w:t>
      </w:r>
      <w:proofErr w:type="gramEnd"/>
      <w:r>
        <w:rPr>
          <w:lang w:val="en-US"/>
        </w:rPr>
        <w:t xml:space="preserve"> for </w:t>
      </w:r>
      <w:r w:rsidR="00ED4632">
        <w:rPr>
          <w:lang w:val="en-US"/>
        </w:rPr>
        <w:t>a CRC</w:t>
      </w:r>
      <w:r>
        <w:rPr>
          <w:lang w:val="en-US"/>
        </w:rPr>
        <w:t xml:space="preserve"> that appeals to the Australian Government’s </w:t>
      </w:r>
      <w:r w:rsidRPr="00B35A9E">
        <w:rPr>
          <w:lang w:val="en-US"/>
        </w:rPr>
        <w:t>Data and Digital Government Strategy</w:t>
      </w:r>
      <w:r>
        <w:rPr>
          <w:lang w:val="en-US"/>
        </w:rPr>
        <w:t xml:space="preserve"> (launched in 2023) and accompanying Implementation Plan</w:t>
      </w:r>
      <w:r w:rsidR="00347028">
        <w:rPr>
          <w:lang w:val="en-US"/>
        </w:rPr>
        <w:t xml:space="preserve"> (released in 2024).</w:t>
      </w:r>
      <w:r>
        <w:rPr>
          <w:lang w:val="en-US"/>
        </w:rPr>
        <w:t xml:space="preserve"> </w:t>
      </w:r>
    </w:p>
    <w:p w14:paraId="497A4B49" w14:textId="77777777" w:rsidR="00347028" w:rsidRDefault="00347028" w:rsidP="00A404DA">
      <w:pPr>
        <w:rPr>
          <w:lang w:val="en-US"/>
        </w:rPr>
      </w:pPr>
    </w:p>
    <w:p w14:paraId="787F7D8C" w14:textId="78C9A418" w:rsidR="00ED4632" w:rsidRDefault="00B35A9E" w:rsidP="00A404DA">
      <w:pPr>
        <w:rPr>
          <w:lang w:val="en-US"/>
        </w:rPr>
      </w:pPr>
      <w:r>
        <w:rPr>
          <w:lang w:val="en-US"/>
        </w:rPr>
        <w:t>The</w:t>
      </w:r>
      <w:r w:rsidR="00347028">
        <w:rPr>
          <w:lang w:val="en-US"/>
        </w:rPr>
        <w:t xml:space="preserve"> Strategy’s</w:t>
      </w:r>
      <w:r>
        <w:rPr>
          <w:lang w:val="en-US"/>
        </w:rPr>
        <w:t xml:space="preserve"> </w:t>
      </w:r>
      <w:hyperlink r:id="rId5" w:history="1">
        <w:r w:rsidRPr="00B35A9E">
          <w:rPr>
            <w:rStyle w:val="Hyperlink"/>
            <w:lang w:val="en-US"/>
          </w:rPr>
          <w:t>2030 Vision</w:t>
        </w:r>
      </w:hyperlink>
      <w:r>
        <w:rPr>
          <w:lang w:val="en-US"/>
        </w:rPr>
        <w:t xml:space="preserve"> encompasses five missions:</w:t>
      </w:r>
    </w:p>
    <w:p w14:paraId="2B454B13" w14:textId="622FAE71" w:rsidR="00B35A9E" w:rsidRPr="0055405B" w:rsidRDefault="00B35A9E" w:rsidP="00B35A9E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55405B">
        <w:rPr>
          <w:b/>
          <w:bCs/>
          <w:lang w:val="en-US"/>
        </w:rPr>
        <w:t>Delivering for all people and businesses:</w:t>
      </w:r>
      <w:r>
        <w:rPr>
          <w:lang w:val="en-US"/>
        </w:rPr>
        <w:t xml:space="preserve"> </w:t>
      </w:r>
      <w:r w:rsidRPr="0055405B">
        <w:rPr>
          <w:i/>
          <w:iCs/>
        </w:rPr>
        <w:t>support</w:t>
      </w:r>
      <w:r w:rsidR="00347028" w:rsidRPr="0055405B">
        <w:rPr>
          <w:i/>
          <w:iCs/>
        </w:rPr>
        <w:t>ing</w:t>
      </w:r>
      <w:r w:rsidRPr="0055405B">
        <w:rPr>
          <w:i/>
          <w:iCs/>
        </w:rPr>
        <w:t xml:space="preserve"> digital literacy, connectivity, service design, and cross-jurisdictional data sharing, particularly for regional and Indigenous communities</w:t>
      </w:r>
      <w:r w:rsidR="0055405B">
        <w:rPr>
          <w:i/>
          <w:iCs/>
        </w:rPr>
        <w:t xml:space="preserve">; </w:t>
      </w:r>
      <w:r w:rsidR="0055405B" w:rsidRPr="0055405B">
        <w:rPr>
          <w:i/>
          <w:iCs/>
        </w:rPr>
        <w:t>remov</w:t>
      </w:r>
      <w:r w:rsidR="0055405B">
        <w:rPr>
          <w:i/>
          <w:iCs/>
        </w:rPr>
        <w:t>ing</w:t>
      </w:r>
      <w:r w:rsidR="0055405B" w:rsidRPr="0055405B">
        <w:rPr>
          <w:i/>
          <w:iCs/>
        </w:rPr>
        <w:t xml:space="preserve"> barriers to ethical and secure data sharing, mandate open access to non-sensitive data, and invest</w:t>
      </w:r>
      <w:r w:rsidR="0055405B">
        <w:rPr>
          <w:i/>
          <w:iCs/>
        </w:rPr>
        <w:t>ing</w:t>
      </w:r>
      <w:r w:rsidR="0055405B" w:rsidRPr="0055405B">
        <w:rPr>
          <w:i/>
          <w:iCs/>
        </w:rPr>
        <w:t xml:space="preserve"> in analytical tools and integration platforms like the Australian National Data Integration Infrastructure.</w:t>
      </w:r>
    </w:p>
    <w:p w14:paraId="0F1FC18F" w14:textId="6AFC264E" w:rsidR="00ED4632" w:rsidRPr="0055405B" w:rsidRDefault="00347028" w:rsidP="00A404DA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55405B">
        <w:rPr>
          <w:b/>
          <w:bCs/>
          <w:lang w:val="en-US"/>
        </w:rPr>
        <w:t xml:space="preserve">Simple and seamless services: </w:t>
      </w:r>
      <w:r w:rsidRPr="0055405B">
        <w:rPr>
          <w:i/>
          <w:iCs/>
          <w:lang w:val="en-US"/>
        </w:rPr>
        <w:t>t</w:t>
      </w:r>
      <w:r w:rsidRPr="0055405B">
        <w:rPr>
          <w:i/>
          <w:iCs/>
          <w:lang w:val="en-US"/>
        </w:rPr>
        <w:t>he Australian Public Service operat</w:t>
      </w:r>
      <w:r w:rsidRPr="0055405B">
        <w:rPr>
          <w:i/>
          <w:iCs/>
          <w:lang w:val="en-US"/>
        </w:rPr>
        <w:t>ing</w:t>
      </w:r>
      <w:r w:rsidRPr="0055405B">
        <w:rPr>
          <w:i/>
          <w:iCs/>
          <w:lang w:val="en-US"/>
        </w:rPr>
        <w:t xml:space="preserve"> as a unified enterprise using technology, data, and analytics to deliver simple, accessible services</w:t>
      </w:r>
      <w:r w:rsidRPr="0055405B">
        <w:rPr>
          <w:i/>
          <w:iCs/>
          <w:lang w:val="en-US"/>
        </w:rPr>
        <w:t xml:space="preserve">, </w:t>
      </w:r>
      <w:proofErr w:type="spellStart"/>
      <w:r w:rsidRPr="0055405B">
        <w:rPr>
          <w:i/>
          <w:iCs/>
          <w:lang w:val="en-US"/>
        </w:rPr>
        <w:t>organise</w:t>
      </w:r>
      <w:r w:rsidRPr="0055405B">
        <w:rPr>
          <w:i/>
          <w:iCs/>
          <w:lang w:val="en-US"/>
        </w:rPr>
        <w:t>d</w:t>
      </w:r>
      <w:proofErr w:type="spellEnd"/>
      <w:r w:rsidRPr="0055405B">
        <w:rPr>
          <w:i/>
          <w:iCs/>
          <w:lang w:val="en-US"/>
        </w:rPr>
        <w:t xml:space="preserve"> around individuals’ needs, proactively using data to predict service requirements</w:t>
      </w:r>
      <w:r w:rsidRPr="0055405B">
        <w:rPr>
          <w:i/>
          <w:iCs/>
          <w:lang w:val="en-US"/>
        </w:rPr>
        <w:t>, with</w:t>
      </w:r>
      <w:r w:rsidRPr="0055405B">
        <w:rPr>
          <w:i/>
          <w:iCs/>
          <w:lang w:val="en-US"/>
        </w:rPr>
        <w:t xml:space="preserve"> cross-jurisdictional collaboration, a national Digital ID system, and unified service experiences like ‘tell us once’.</w:t>
      </w:r>
    </w:p>
    <w:p w14:paraId="73B954CA" w14:textId="1EBCDF0E" w:rsidR="0055405B" w:rsidRPr="0055405B" w:rsidRDefault="00347028" w:rsidP="0055405B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55405B">
        <w:rPr>
          <w:b/>
          <w:bCs/>
          <w:lang w:val="en-US"/>
        </w:rPr>
        <w:t xml:space="preserve">Government for the future: </w:t>
      </w:r>
      <w:r w:rsidRPr="0055405B">
        <w:rPr>
          <w:i/>
          <w:iCs/>
          <w:lang w:val="en-US"/>
        </w:rPr>
        <w:t>adopt</w:t>
      </w:r>
      <w:r w:rsidRPr="0055405B">
        <w:rPr>
          <w:i/>
          <w:iCs/>
          <w:lang w:val="en-US"/>
        </w:rPr>
        <w:t>ing</w:t>
      </w:r>
      <w:r w:rsidRPr="0055405B">
        <w:rPr>
          <w:i/>
          <w:iCs/>
          <w:lang w:val="en-US"/>
        </w:rPr>
        <w:t xml:space="preserve"> emerging technologies like AI, quantum computing, and digital twins, with strong human oversight, transparency, and guidance to manage risks</w:t>
      </w:r>
      <w:r w:rsidR="0055405B">
        <w:rPr>
          <w:i/>
          <w:iCs/>
          <w:lang w:val="en-US"/>
        </w:rPr>
        <w:t xml:space="preserve">; </w:t>
      </w:r>
      <w:r w:rsidR="0055405B" w:rsidRPr="0055405B">
        <w:rPr>
          <w:i/>
          <w:iCs/>
          <w:lang w:val="en-US"/>
        </w:rPr>
        <w:t>requiring all government entities to develop and submit digital and ICT plans as part of the I</w:t>
      </w:r>
      <w:r w:rsidR="0055405B">
        <w:rPr>
          <w:i/>
          <w:iCs/>
          <w:lang w:val="en-US"/>
        </w:rPr>
        <w:t>CT Oversight Framework</w:t>
      </w:r>
      <w:r w:rsidR="0055405B" w:rsidRPr="0055405B">
        <w:rPr>
          <w:i/>
          <w:iCs/>
          <w:lang w:val="en-US"/>
        </w:rPr>
        <w:t xml:space="preserve"> process</w:t>
      </w:r>
    </w:p>
    <w:p w14:paraId="4D9D69FB" w14:textId="416CD1F5" w:rsidR="0055405B" w:rsidRPr="00A61F8B" w:rsidRDefault="0055405B" w:rsidP="00A61F8B">
      <w:pPr>
        <w:pStyle w:val="ListParagraph"/>
        <w:numPr>
          <w:ilvl w:val="0"/>
          <w:numId w:val="3"/>
        </w:numPr>
        <w:rPr>
          <w:lang w:val="en-US"/>
        </w:rPr>
      </w:pPr>
      <w:r w:rsidRPr="00A61F8B">
        <w:rPr>
          <w:b/>
          <w:bCs/>
          <w:lang w:val="en-US"/>
        </w:rPr>
        <w:lastRenderedPageBreak/>
        <w:t>Trusted and secure:</w:t>
      </w:r>
      <w:r>
        <w:rPr>
          <w:lang w:val="en-US"/>
        </w:rPr>
        <w:t xml:space="preserve"> </w:t>
      </w:r>
      <w:r w:rsidRPr="00A61F8B">
        <w:rPr>
          <w:i/>
          <w:iCs/>
          <w:lang w:val="en-US"/>
        </w:rPr>
        <w:t>adoption of a whole-of-government Data Ethics Framework</w:t>
      </w:r>
      <w:r w:rsidRPr="00A61F8B">
        <w:rPr>
          <w:i/>
          <w:iCs/>
          <w:lang w:val="en-US"/>
        </w:rPr>
        <w:t>;</w:t>
      </w:r>
      <w:r w:rsidR="00A61F8B" w:rsidRPr="00A61F8B">
        <w:rPr>
          <w:i/>
          <w:iCs/>
          <w:lang w:val="en-US"/>
        </w:rPr>
        <w:t xml:space="preserve"> </w:t>
      </w:r>
      <w:r w:rsidRPr="00A61F8B">
        <w:rPr>
          <w:i/>
          <w:iCs/>
          <w:lang w:val="en-US"/>
        </w:rPr>
        <w:t>cyber resilience through initiatives like the 2023–2030 Australian Cyber Security Strategy, a strengthened Notifiable Data Breaches Scheme, the secure Digital ID system</w:t>
      </w:r>
      <w:r w:rsidRPr="00A61F8B">
        <w:rPr>
          <w:i/>
          <w:iCs/>
          <w:lang w:val="en-US"/>
        </w:rPr>
        <w:t xml:space="preserve">, </w:t>
      </w:r>
      <w:r w:rsidRPr="00A61F8B">
        <w:rPr>
          <w:i/>
          <w:iCs/>
          <w:lang w:val="en-US"/>
        </w:rPr>
        <w:t>the Hosting Certification Framework</w:t>
      </w:r>
      <w:r w:rsidRPr="00A61F8B">
        <w:rPr>
          <w:i/>
          <w:iCs/>
          <w:lang w:val="en-US"/>
        </w:rPr>
        <w:t>,</w:t>
      </w:r>
      <w:r w:rsidRPr="00A61F8B">
        <w:rPr>
          <w:i/>
          <w:iCs/>
          <w:lang w:val="en-US"/>
        </w:rPr>
        <w:t xml:space="preserve"> the Protective Security Policy Framework</w:t>
      </w:r>
      <w:r w:rsidRPr="00A61F8B">
        <w:rPr>
          <w:i/>
          <w:iCs/>
          <w:lang w:val="en-US"/>
        </w:rPr>
        <w:t>; le</w:t>
      </w:r>
      <w:r w:rsidRPr="00A61F8B">
        <w:rPr>
          <w:i/>
          <w:iCs/>
          <w:lang w:val="en-US"/>
        </w:rPr>
        <w:t>gisla</w:t>
      </w:r>
      <w:r w:rsidR="00A61F8B" w:rsidRPr="00A61F8B">
        <w:rPr>
          <w:i/>
          <w:iCs/>
          <w:lang w:val="en-US"/>
        </w:rPr>
        <w:t xml:space="preserve">tive </w:t>
      </w:r>
      <w:r w:rsidRPr="00A61F8B">
        <w:rPr>
          <w:i/>
          <w:iCs/>
          <w:lang w:val="en-US"/>
        </w:rPr>
        <w:t>reforms to the Privacy Act, continued review of the Data Availability and Transparency Act</w:t>
      </w:r>
      <w:r w:rsidR="00A61F8B" w:rsidRPr="00A61F8B">
        <w:rPr>
          <w:i/>
          <w:iCs/>
          <w:lang w:val="en-US"/>
        </w:rPr>
        <w:t>;</w:t>
      </w:r>
      <w:r w:rsidRPr="00A61F8B">
        <w:rPr>
          <w:i/>
          <w:iCs/>
          <w:lang w:val="en-US"/>
        </w:rPr>
        <w:t xml:space="preserve"> alignment </w:t>
      </w:r>
      <w:r w:rsidR="00A61F8B" w:rsidRPr="00A61F8B">
        <w:rPr>
          <w:i/>
          <w:iCs/>
          <w:lang w:val="en-US"/>
        </w:rPr>
        <w:t>to</w:t>
      </w:r>
      <w:r w:rsidRPr="00A61F8B">
        <w:rPr>
          <w:i/>
          <w:iCs/>
          <w:lang w:val="en-US"/>
        </w:rPr>
        <w:t xml:space="preserve"> international privacy standards.</w:t>
      </w:r>
    </w:p>
    <w:p w14:paraId="06E041CE" w14:textId="1A243099" w:rsidR="00A61F8B" w:rsidRDefault="00A61F8B" w:rsidP="00A61F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Data and digital foundations:</w:t>
      </w:r>
      <w:r>
        <w:rPr>
          <w:lang w:val="en-US"/>
        </w:rPr>
        <w:t xml:space="preserve"> </w:t>
      </w:r>
      <w:r w:rsidRPr="00A61F8B">
        <w:rPr>
          <w:i/>
          <w:iCs/>
          <w:lang w:val="en-US"/>
        </w:rPr>
        <w:t>manag</w:t>
      </w:r>
      <w:r w:rsidRPr="00A61F8B">
        <w:rPr>
          <w:i/>
          <w:iCs/>
          <w:lang w:val="en-US"/>
        </w:rPr>
        <w:t>ing</w:t>
      </w:r>
      <w:r w:rsidRPr="00A61F8B">
        <w:rPr>
          <w:i/>
          <w:iCs/>
          <w:lang w:val="en-US"/>
        </w:rPr>
        <w:t xml:space="preserve"> data as a national asset, requiring entities to appoint senior data leaders </w:t>
      </w:r>
      <w:r w:rsidRPr="00A61F8B">
        <w:rPr>
          <w:i/>
          <w:iCs/>
          <w:lang w:val="en-US"/>
        </w:rPr>
        <w:t xml:space="preserve">and </w:t>
      </w:r>
      <w:r w:rsidRPr="00A61F8B">
        <w:rPr>
          <w:i/>
          <w:iCs/>
          <w:lang w:val="en-US"/>
        </w:rPr>
        <w:t>embed best-practice stewardship, ensure data quality, and treat data infrastructure as critical</w:t>
      </w:r>
      <w:r w:rsidRPr="00A61F8B">
        <w:rPr>
          <w:i/>
          <w:iCs/>
          <w:lang w:val="en-US"/>
        </w:rPr>
        <w:t>, with</w:t>
      </w:r>
      <w:r w:rsidRPr="00A61F8B">
        <w:rPr>
          <w:i/>
          <w:iCs/>
          <w:lang w:val="en-US"/>
        </w:rPr>
        <w:t xml:space="preserve"> </w:t>
      </w:r>
      <w:r w:rsidRPr="00A61F8B">
        <w:rPr>
          <w:i/>
          <w:iCs/>
          <w:lang w:val="en-US"/>
        </w:rPr>
        <w:t>a</w:t>
      </w:r>
      <w:r w:rsidRPr="00A61F8B">
        <w:rPr>
          <w:i/>
          <w:iCs/>
          <w:lang w:val="en-US"/>
        </w:rPr>
        <w:t xml:space="preserve"> whole-of-government data governance framework support</w:t>
      </w:r>
      <w:r w:rsidRPr="00A61F8B">
        <w:rPr>
          <w:i/>
          <w:iCs/>
          <w:lang w:val="en-US"/>
        </w:rPr>
        <w:t>ing</w:t>
      </w:r>
      <w:r w:rsidRPr="00A61F8B">
        <w:rPr>
          <w:i/>
          <w:iCs/>
          <w:lang w:val="en-US"/>
        </w:rPr>
        <w:t xml:space="preserve"> consistent management across the APS, with improved data visibility through the Australian Government Data Catalogue and </w:t>
      </w:r>
      <w:proofErr w:type="spellStart"/>
      <w:r w:rsidRPr="00A61F8B">
        <w:rPr>
          <w:i/>
          <w:iCs/>
          <w:lang w:val="en-US"/>
        </w:rPr>
        <w:t>Dataplace</w:t>
      </w:r>
      <w:proofErr w:type="spellEnd"/>
      <w:r w:rsidRPr="00A61F8B">
        <w:rPr>
          <w:i/>
          <w:iCs/>
          <w:lang w:val="en-US"/>
        </w:rPr>
        <w:t>.</w:t>
      </w:r>
    </w:p>
    <w:p w14:paraId="552ACC56" w14:textId="77777777" w:rsidR="00A61F8B" w:rsidRDefault="00A61F8B" w:rsidP="00A61F8B">
      <w:pPr>
        <w:rPr>
          <w:lang w:val="en-US"/>
        </w:rPr>
      </w:pPr>
    </w:p>
    <w:p w14:paraId="7248D9CE" w14:textId="40637560" w:rsidR="00A61F8B" w:rsidRDefault="00A61F8B" w:rsidP="00A61F8B">
      <w:pPr>
        <w:rPr>
          <w:lang w:val="en-US"/>
        </w:rPr>
      </w:pPr>
      <w:r>
        <w:rPr>
          <w:lang w:val="en-US"/>
        </w:rPr>
        <w:t xml:space="preserve">A CRC application could </w:t>
      </w:r>
      <w:proofErr w:type="spellStart"/>
      <w:r>
        <w:rPr>
          <w:lang w:val="en-US"/>
        </w:rPr>
        <w:t>emphasise</w:t>
      </w:r>
      <w:proofErr w:type="spellEnd"/>
      <w:r>
        <w:rPr>
          <w:lang w:val="en-US"/>
        </w:rPr>
        <w:t xml:space="preserve"> the potential to support the government’s Strategy and </w:t>
      </w:r>
      <w:proofErr w:type="spellStart"/>
      <w:r>
        <w:rPr>
          <w:lang w:val="en-US"/>
        </w:rPr>
        <w:t>Implementaiton</w:t>
      </w:r>
      <w:proofErr w:type="spellEnd"/>
      <w:r>
        <w:rPr>
          <w:lang w:val="en-US"/>
        </w:rPr>
        <w:t xml:space="preserve"> Plan over the period to 2030, with a focus on research themes relating to these missions and</w:t>
      </w:r>
      <w:r w:rsidR="004D6367">
        <w:rPr>
          <w:lang w:val="en-US"/>
        </w:rPr>
        <w:t xml:space="preserve"> the related</w:t>
      </w:r>
      <w:r>
        <w:rPr>
          <w:lang w:val="en-US"/>
        </w:rPr>
        <w:t xml:space="preserve"> enablers. It can also highlight the potential of the Center to engage with international academic-industry-government bodies (e.g.</w:t>
      </w:r>
      <w:r w:rsidR="004D6367">
        <w:rPr>
          <w:lang w:val="en-US"/>
        </w:rPr>
        <w:t xml:space="preserve"> </w:t>
      </w:r>
      <w:hyperlink r:id="rId6" w:history="1">
        <w:r w:rsidR="004D6367" w:rsidRPr="004D6367">
          <w:rPr>
            <w:rStyle w:val="Hyperlink"/>
            <w:lang w:val="en-US"/>
          </w:rPr>
          <w:t>OECD Gov2Gov Incubator</w:t>
        </w:r>
      </w:hyperlink>
      <w:r w:rsidR="004D6367">
        <w:rPr>
          <w:lang w:val="en-US"/>
        </w:rPr>
        <w:t>,</w:t>
      </w:r>
      <w:r>
        <w:rPr>
          <w:lang w:val="en-US"/>
        </w:rPr>
        <w:t xml:space="preserve"> </w:t>
      </w:r>
      <w:hyperlink r:id="rId7" w:history="1">
        <w:r w:rsidRPr="00A61F8B">
          <w:rPr>
            <w:rStyle w:val="Hyperlink"/>
            <w:lang w:val="en-US"/>
          </w:rPr>
          <w:t xml:space="preserve">International </w:t>
        </w:r>
        <w:r w:rsidRPr="00A61F8B">
          <w:rPr>
            <w:rStyle w:val="Hyperlink"/>
            <w:lang w:val="en-US"/>
          </w:rPr>
          <w:t>Association for Safe and Ethical AI</w:t>
        </w:r>
      </w:hyperlink>
      <w:r>
        <w:rPr>
          <w:lang w:val="en-US"/>
        </w:rPr>
        <w:t>).</w:t>
      </w:r>
    </w:p>
    <w:p w14:paraId="655AAE01" w14:textId="77777777" w:rsidR="00A61F8B" w:rsidRDefault="00A61F8B" w:rsidP="00A61F8B">
      <w:pPr>
        <w:rPr>
          <w:lang w:val="en-US"/>
        </w:rPr>
      </w:pPr>
    </w:p>
    <w:p w14:paraId="386198F0" w14:textId="6FAFF168" w:rsidR="00A61F8B" w:rsidRDefault="00A61F8B" w:rsidP="00A61F8B">
      <w:pPr>
        <w:rPr>
          <w:lang w:val="en-US"/>
        </w:rPr>
      </w:pPr>
      <w:r>
        <w:rPr>
          <w:lang w:val="en-US"/>
        </w:rPr>
        <w:t xml:space="preserve">Some potential themes for a CRC application include: </w:t>
      </w:r>
    </w:p>
    <w:p w14:paraId="4CFA46E5" w14:textId="77777777" w:rsidR="00A61F8B" w:rsidRPr="00A61F8B" w:rsidRDefault="00A61F8B" w:rsidP="00A61F8B">
      <w:pPr>
        <w:rPr>
          <w:lang w:val="en-US"/>
        </w:rPr>
      </w:pPr>
    </w:p>
    <w:p w14:paraId="23677571" w14:textId="3D97B119" w:rsidR="00ED4632" w:rsidRDefault="00ED4632" w:rsidP="00ED4632">
      <w:pPr>
        <w:pStyle w:val="ListParagraph"/>
        <w:numPr>
          <w:ilvl w:val="0"/>
          <w:numId w:val="2"/>
        </w:numPr>
        <w:rPr>
          <w:lang w:val="en-US"/>
        </w:rPr>
      </w:pPr>
      <w:r w:rsidRPr="004D6367">
        <w:rPr>
          <w:b/>
          <w:bCs/>
          <w:lang w:val="en-US"/>
        </w:rPr>
        <w:t>Trust Indexing:</w:t>
      </w:r>
      <w:r>
        <w:rPr>
          <w:lang w:val="en-US"/>
        </w:rPr>
        <w:t xml:space="preserve"> developing indicators for government trustworthiness through</w:t>
      </w:r>
      <w:r w:rsidR="004D6367">
        <w:rPr>
          <w:lang w:val="en-US"/>
        </w:rPr>
        <w:t xml:space="preserve"> measuring</w:t>
      </w:r>
      <w:r>
        <w:rPr>
          <w:lang w:val="en-US"/>
        </w:rPr>
        <w:t xml:space="preserve"> the quality of public service provision</w:t>
      </w:r>
      <w:r w:rsidR="004D6367">
        <w:rPr>
          <w:lang w:val="en-US"/>
        </w:rPr>
        <w:t xml:space="preserve"> using objective and subjective indicators made available by </w:t>
      </w:r>
      <w:proofErr w:type="spellStart"/>
      <w:r w:rsidR="004D6367">
        <w:rPr>
          <w:lang w:val="en-US"/>
        </w:rPr>
        <w:t>digitisation</w:t>
      </w:r>
      <w:proofErr w:type="spellEnd"/>
    </w:p>
    <w:p w14:paraId="49839DB3" w14:textId="5D0E3A12" w:rsidR="00ED4632" w:rsidRPr="00ED4632" w:rsidRDefault="00ED4632" w:rsidP="00ED4632">
      <w:pPr>
        <w:pStyle w:val="ListParagraph"/>
        <w:numPr>
          <w:ilvl w:val="0"/>
          <w:numId w:val="2"/>
        </w:numPr>
        <w:rPr>
          <w:lang w:val="en-US"/>
        </w:rPr>
      </w:pPr>
      <w:r w:rsidRPr="004D6367">
        <w:rPr>
          <w:b/>
          <w:bCs/>
          <w:lang w:val="en-US"/>
        </w:rPr>
        <w:t>Government Data Sharing:</w:t>
      </w:r>
      <w:r>
        <w:rPr>
          <w:lang w:val="en-US"/>
        </w:rPr>
        <w:t xml:space="preserve"> </w:t>
      </w:r>
      <w:r w:rsidR="004D6367">
        <w:rPr>
          <w:lang w:val="en-US"/>
        </w:rPr>
        <w:t xml:space="preserve">the subject of the TDS </w:t>
      </w:r>
      <w:hyperlink r:id="rId8" w:history="1">
        <w:r w:rsidR="004D6367" w:rsidRPr="004D6367">
          <w:rPr>
            <w:rStyle w:val="Hyperlink"/>
            <w:i/>
            <w:iCs/>
            <w:lang w:val="en-US"/>
          </w:rPr>
          <w:t>Trustworthy Data Sharing</w:t>
        </w:r>
      </w:hyperlink>
      <w:r w:rsidR="004D6367">
        <w:rPr>
          <w:lang w:val="en-US"/>
        </w:rPr>
        <w:t xml:space="preserve"> whitepaper and a major element of the government’s Data and Digital Government strategy</w:t>
      </w:r>
      <w:r w:rsidR="00177C22">
        <w:rPr>
          <w:lang w:val="en-US"/>
        </w:rPr>
        <w:t xml:space="preserve"> and the </w:t>
      </w:r>
      <w:r w:rsidR="00177C22" w:rsidRPr="00177C22">
        <w:rPr>
          <w:i/>
          <w:iCs/>
          <w:lang w:val="en-US"/>
        </w:rPr>
        <w:t>Data Availability and Transparency Act 2022</w:t>
      </w:r>
      <w:r w:rsidR="004D6367">
        <w:rPr>
          <w:lang w:val="en-US"/>
        </w:rPr>
        <w:t xml:space="preserve"> – this theme is strongly related to the theme of Trust Indexing</w:t>
      </w:r>
      <w:r w:rsidR="00177C22">
        <w:rPr>
          <w:lang w:val="en-US"/>
        </w:rPr>
        <w:t>, which depends on the integration of data resources across governments.</w:t>
      </w:r>
      <w:r w:rsidR="004D6367">
        <w:rPr>
          <w:lang w:val="en-US"/>
        </w:rPr>
        <w:t xml:space="preserve"> </w:t>
      </w:r>
    </w:p>
    <w:p w14:paraId="65CEAD94" w14:textId="16511CC8" w:rsidR="00F62B28" w:rsidRDefault="00F62B28" w:rsidP="00ED4632">
      <w:pPr>
        <w:pStyle w:val="ListParagraph"/>
        <w:numPr>
          <w:ilvl w:val="0"/>
          <w:numId w:val="2"/>
        </w:numPr>
        <w:rPr>
          <w:lang w:val="en-US"/>
        </w:rPr>
      </w:pPr>
      <w:r w:rsidRPr="00090612">
        <w:rPr>
          <w:b/>
          <w:bCs/>
          <w:lang w:val="en-US"/>
        </w:rPr>
        <w:t xml:space="preserve">AI for </w:t>
      </w:r>
      <w:r w:rsidR="00177C22">
        <w:rPr>
          <w:b/>
          <w:bCs/>
          <w:lang w:val="en-US"/>
        </w:rPr>
        <w:t>P</w:t>
      </w:r>
      <w:r w:rsidRPr="00090612">
        <w:rPr>
          <w:b/>
          <w:bCs/>
          <w:lang w:val="en-US"/>
        </w:rPr>
        <w:t xml:space="preserve">ublic </w:t>
      </w:r>
      <w:r w:rsidR="00177C22">
        <w:rPr>
          <w:b/>
          <w:bCs/>
          <w:lang w:val="en-US"/>
        </w:rPr>
        <w:t>Engagement</w:t>
      </w:r>
      <w:r w:rsidR="004D6367" w:rsidRPr="00090612">
        <w:rPr>
          <w:b/>
          <w:bCs/>
          <w:lang w:val="en-US"/>
        </w:rPr>
        <w:t>:</w:t>
      </w:r>
      <w:r w:rsidR="004D6367">
        <w:rPr>
          <w:lang w:val="en-US"/>
        </w:rPr>
        <w:t xml:space="preserve"> the use of local and open-source LLMs for collecting </w:t>
      </w:r>
      <w:r w:rsidR="00090612">
        <w:rPr>
          <w:lang w:val="en-US"/>
        </w:rPr>
        <w:t xml:space="preserve">and processing </w:t>
      </w:r>
      <w:r w:rsidR="004D6367">
        <w:rPr>
          <w:lang w:val="en-US"/>
        </w:rPr>
        <w:t xml:space="preserve">unstructured feedback; </w:t>
      </w:r>
      <w:r w:rsidR="00177C22">
        <w:rPr>
          <w:lang w:val="en-US"/>
        </w:rPr>
        <w:t xml:space="preserve">this </w:t>
      </w:r>
      <w:r w:rsidR="004D6367">
        <w:rPr>
          <w:lang w:val="en-US"/>
        </w:rPr>
        <w:t>relate</w:t>
      </w:r>
      <w:r w:rsidR="00177C22">
        <w:rPr>
          <w:lang w:val="en-US"/>
        </w:rPr>
        <w:t>s</w:t>
      </w:r>
      <w:r w:rsidR="004D6367">
        <w:rPr>
          <w:lang w:val="en-US"/>
        </w:rPr>
        <w:t xml:space="preserve"> to the subject of trust-indexing</w:t>
      </w:r>
      <w:r w:rsidR="00177C22">
        <w:rPr>
          <w:lang w:val="en-US"/>
        </w:rPr>
        <w:t>,</w:t>
      </w:r>
      <w:r w:rsidR="004D6367">
        <w:rPr>
          <w:lang w:val="en-US"/>
        </w:rPr>
        <w:t xml:space="preserve"> questions of AI sovereignty and </w:t>
      </w:r>
      <w:r w:rsidR="00090612">
        <w:rPr>
          <w:lang w:val="en-US"/>
        </w:rPr>
        <w:t xml:space="preserve">the use of </w:t>
      </w:r>
      <w:r w:rsidR="004D6367">
        <w:rPr>
          <w:lang w:val="en-US"/>
        </w:rPr>
        <w:t>a</w:t>
      </w:r>
      <w:r w:rsidR="00090612">
        <w:rPr>
          <w:lang w:val="en-US"/>
        </w:rPr>
        <w:t>gentic AI in government</w:t>
      </w:r>
      <w:r w:rsidR="00177C22">
        <w:rPr>
          <w:lang w:val="en-US"/>
        </w:rPr>
        <w:t xml:space="preserve"> (“G4”)</w:t>
      </w:r>
      <w:r w:rsidR="00090612">
        <w:rPr>
          <w:lang w:val="en-US"/>
        </w:rPr>
        <w:t xml:space="preserve">; </w:t>
      </w:r>
      <w:r w:rsidR="00177C22">
        <w:rPr>
          <w:lang w:val="en-US"/>
        </w:rPr>
        <w:t>connected</w:t>
      </w:r>
      <w:r w:rsidR="00090612">
        <w:rPr>
          <w:lang w:val="en-US"/>
        </w:rPr>
        <w:t xml:space="preserve"> to the 2024 </w:t>
      </w:r>
      <w:hyperlink r:id="rId9" w:history="1">
        <w:r w:rsidR="00090612" w:rsidRPr="00090612">
          <w:rPr>
            <w:rStyle w:val="Hyperlink"/>
            <w:lang w:val="en-US"/>
          </w:rPr>
          <w:t>Policy for the Responsible use of AI in Government</w:t>
        </w:r>
      </w:hyperlink>
      <w:r w:rsidR="00090612">
        <w:rPr>
          <w:lang w:val="en-US"/>
        </w:rPr>
        <w:t xml:space="preserve">.  </w:t>
      </w:r>
      <w:r w:rsidR="004D6367">
        <w:rPr>
          <w:lang w:val="en-US"/>
        </w:rPr>
        <w:t xml:space="preserve"> </w:t>
      </w:r>
    </w:p>
    <w:p w14:paraId="0621D0DD" w14:textId="0BD9DC4D" w:rsidR="00F62B28" w:rsidRDefault="00090612" w:rsidP="00ED4632">
      <w:pPr>
        <w:pStyle w:val="ListParagraph"/>
        <w:numPr>
          <w:ilvl w:val="0"/>
          <w:numId w:val="2"/>
        </w:numPr>
        <w:rPr>
          <w:lang w:val="en-US"/>
        </w:rPr>
      </w:pPr>
      <w:r w:rsidRPr="00090612">
        <w:rPr>
          <w:b/>
          <w:bCs/>
          <w:lang w:val="en-US"/>
        </w:rPr>
        <w:t xml:space="preserve">Digital </w:t>
      </w:r>
      <w:r w:rsidR="00F62B28" w:rsidRPr="00090612">
        <w:rPr>
          <w:b/>
          <w:bCs/>
          <w:lang w:val="en-US"/>
        </w:rPr>
        <w:t>Inclusivity</w:t>
      </w:r>
      <w:r w:rsidRPr="00090612">
        <w:rPr>
          <w:b/>
          <w:bCs/>
          <w:lang w:val="en-US"/>
        </w:rPr>
        <w:t>:</w:t>
      </w:r>
      <w:r>
        <w:rPr>
          <w:lang w:val="en-US"/>
        </w:rPr>
        <w:t xml:space="preserve"> addressing the “digital divide” </w:t>
      </w:r>
      <w:r w:rsidR="009A7ACB">
        <w:rPr>
          <w:lang w:val="en-US"/>
        </w:rPr>
        <w:t xml:space="preserve">and accessibility for </w:t>
      </w:r>
      <w:r>
        <w:rPr>
          <w:lang w:val="en-US"/>
        </w:rPr>
        <w:t xml:space="preserve"> disadvantage</w:t>
      </w:r>
      <w:r w:rsidR="009A7ACB">
        <w:rPr>
          <w:lang w:val="en-US"/>
        </w:rPr>
        <w:t xml:space="preserve">d and remote populations; relating to the government’s </w:t>
      </w:r>
      <w:hyperlink r:id="rId10" w:history="1">
        <w:r w:rsidR="009A7ACB" w:rsidRPr="009A7ACB">
          <w:rPr>
            <w:rStyle w:val="Hyperlink"/>
            <w:lang w:val="en-US"/>
          </w:rPr>
          <w:t>D</w:t>
        </w:r>
        <w:r w:rsidR="009A7ACB" w:rsidRPr="009A7ACB">
          <w:rPr>
            <w:rStyle w:val="Hyperlink"/>
            <w:lang w:val="en-US"/>
          </w:rPr>
          <w:t>i</w:t>
        </w:r>
        <w:r w:rsidR="009A7ACB" w:rsidRPr="009A7ACB">
          <w:rPr>
            <w:rStyle w:val="Hyperlink"/>
            <w:lang w:val="en-US"/>
          </w:rPr>
          <w:t>gital Inclusion Standard</w:t>
        </w:r>
      </w:hyperlink>
      <w:r>
        <w:rPr>
          <w:lang w:val="en-US"/>
        </w:rPr>
        <w:t xml:space="preserve"> </w:t>
      </w:r>
      <w:r w:rsidR="009A7ACB">
        <w:rPr>
          <w:lang w:val="en-US"/>
        </w:rPr>
        <w:t xml:space="preserve">and in particular </w:t>
      </w:r>
      <w:r>
        <w:rPr>
          <w:lang w:val="en-US"/>
        </w:rPr>
        <w:t xml:space="preserve">the </w:t>
      </w:r>
      <w:hyperlink r:id="rId11" w:history="1">
        <w:r w:rsidRPr="00090612">
          <w:rPr>
            <w:rStyle w:val="Hyperlink"/>
            <w:lang w:val="en-US"/>
          </w:rPr>
          <w:t>First Nations Digital Inclusion Plan (FNDIP)</w:t>
        </w:r>
      </w:hyperlink>
      <w:r w:rsidR="009A7ACB">
        <w:rPr>
          <w:lang w:val="en-US"/>
        </w:rPr>
        <w:t>.</w:t>
      </w:r>
      <w:r>
        <w:rPr>
          <w:lang w:val="en-US"/>
        </w:rPr>
        <w:t xml:space="preserve"> </w:t>
      </w:r>
      <w:r w:rsidR="00177C22">
        <w:rPr>
          <w:lang w:val="en-US"/>
        </w:rPr>
        <w:t>(This also relates to trust indexing insofar as accessibility and inclusivity can be measurable trust elements.)</w:t>
      </w:r>
      <w:r>
        <w:rPr>
          <w:lang w:val="en-US"/>
        </w:rPr>
        <w:t xml:space="preserve"> </w:t>
      </w:r>
      <w:r w:rsidR="00F62B28">
        <w:rPr>
          <w:lang w:val="en-US"/>
        </w:rPr>
        <w:t xml:space="preserve"> </w:t>
      </w:r>
    </w:p>
    <w:p w14:paraId="65313172" w14:textId="6C7EE747" w:rsidR="00ED4632" w:rsidRPr="00A13517" w:rsidRDefault="00F62B28" w:rsidP="00BE215A">
      <w:pPr>
        <w:pStyle w:val="ListParagraph"/>
        <w:numPr>
          <w:ilvl w:val="0"/>
          <w:numId w:val="2"/>
        </w:numPr>
        <w:rPr>
          <w:lang w:val="en-US"/>
        </w:rPr>
      </w:pPr>
      <w:r w:rsidRPr="00A13517">
        <w:rPr>
          <w:b/>
          <w:bCs/>
          <w:lang w:val="en-US"/>
        </w:rPr>
        <w:t>Life Events</w:t>
      </w:r>
      <w:r w:rsidR="001F15D9" w:rsidRPr="00A13517">
        <w:rPr>
          <w:b/>
          <w:bCs/>
          <w:lang w:val="en-US"/>
        </w:rPr>
        <w:t>:</w:t>
      </w:r>
      <w:r w:rsidR="00177C22" w:rsidRPr="00A13517">
        <w:rPr>
          <w:lang w:val="en-US"/>
        </w:rPr>
        <w:t xml:space="preserve"> </w:t>
      </w:r>
      <w:r w:rsidR="00F4304B" w:rsidRPr="00A13517">
        <w:rPr>
          <w:lang w:val="en-US"/>
        </w:rPr>
        <w:t>governments worldwide are increasingly adopting a</w:t>
      </w:r>
      <w:r w:rsidR="001F15D9" w:rsidRPr="00A13517">
        <w:rPr>
          <w:lang w:val="en-US"/>
        </w:rPr>
        <w:t xml:space="preserve"> </w:t>
      </w:r>
      <w:r w:rsidR="001F15D9" w:rsidRPr="00A13517">
        <w:rPr>
          <w:lang w:val="en-US"/>
        </w:rPr>
        <w:t>user-centered</w:t>
      </w:r>
      <w:r w:rsidR="00177C22" w:rsidRPr="00A13517">
        <w:rPr>
          <w:lang w:val="en-US"/>
        </w:rPr>
        <w:t xml:space="preserve"> “life events” approach to government service improvement</w:t>
      </w:r>
      <w:r w:rsidR="00F4304B" w:rsidRPr="00A13517">
        <w:rPr>
          <w:lang w:val="en-US"/>
        </w:rPr>
        <w:t xml:space="preserve"> that</w:t>
      </w:r>
      <w:r w:rsidR="001F15D9" w:rsidRPr="00A13517">
        <w:rPr>
          <w:lang w:val="en-US"/>
        </w:rPr>
        <w:t xml:space="preserve"> considers </w:t>
      </w:r>
      <w:r w:rsidR="00177C22" w:rsidRPr="00A13517">
        <w:rPr>
          <w:lang w:val="en-US"/>
        </w:rPr>
        <w:t>how individuals interact</w:t>
      </w:r>
      <w:r w:rsidR="00F4304B" w:rsidRPr="00A13517">
        <w:rPr>
          <w:lang w:val="en-US"/>
        </w:rPr>
        <w:t xml:space="preserve"> with</w:t>
      </w:r>
      <w:r w:rsidR="00177C22" w:rsidRPr="00A13517">
        <w:rPr>
          <w:lang w:val="en-US"/>
        </w:rPr>
        <w:t xml:space="preserve"> government </w:t>
      </w:r>
      <w:r w:rsidR="00F4304B" w:rsidRPr="00A13517">
        <w:rPr>
          <w:lang w:val="en-US"/>
        </w:rPr>
        <w:t>across service, agency, or jurisdictional boundaries</w:t>
      </w:r>
      <w:r w:rsidR="00F4304B" w:rsidRPr="00A13517">
        <w:rPr>
          <w:lang w:val="en-US"/>
        </w:rPr>
        <w:t xml:space="preserve"> </w:t>
      </w:r>
      <w:r w:rsidR="00177C22" w:rsidRPr="00A13517">
        <w:rPr>
          <w:lang w:val="en-US"/>
        </w:rPr>
        <w:t xml:space="preserve">and third parties during key life events (e.g. </w:t>
      </w:r>
      <w:r w:rsidR="00F4304B" w:rsidRPr="00A13517">
        <w:rPr>
          <w:lang w:val="en-US"/>
        </w:rPr>
        <w:t>“</w:t>
      </w:r>
      <w:r w:rsidR="00177C22" w:rsidRPr="00A13517">
        <w:rPr>
          <w:lang w:val="en-US"/>
        </w:rPr>
        <w:t>birth of a child</w:t>
      </w:r>
      <w:proofErr w:type="gramStart"/>
      <w:r w:rsidR="00F4304B" w:rsidRPr="00A13517">
        <w:rPr>
          <w:lang w:val="en-US"/>
        </w:rPr>
        <w:t xml:space="preserve">” </w:t>
      </w:r>
      <w:r w:rsidR="00177C22" w:rsidRPr="00A13517">
        <w:rPr>
          <w:lang w:val="en-US"/>
        </w:rPr>
        <w:t>)</w:t>
      </w:r>
      <w:proofErr w:type="gramEnd"/>
      <w:r w:rsidR="00177C22" w:rsidRPr="00A13517">
        <w:rPr>
          <w:lang w:val="en-US"/>
        </w:rPr>
        <w:t>.</w:t>
      </w:r>
      <w:r w:rsidR="00177C22" w:rsidRPr="00A13517">
        <w:rPr>
          <w:lang w:val="en-US"/>
        </w:rPr>
        <w:t xml:space="preserve"> </w:t>
      </w:r>
      <w:r w:rsidR="001F15D9" w:rsidRPr="00A13517">
        <w:rPr>
          <w:lang w:val="en-US"/>
        </w:rPr>
        <w:t>In 2024</w:t>
      </w:r>
      <w:r w:rsidR="00F4304B" w:rsidRPr="00A13517">
        <w:rPr>
          <w:lang w:val="en-US"/>
        </w:rPr>
        <w:t xml:space="preserve">, </w:t>
      </w:r>
      <w:r w:rsidR="00E34AAB" w:rsidRPr="00A13517">
        <w:rPr>
          <w:lang w:val="en-US"/>
        </w:rPr>
        <w:t>Australia’s</w:t>
      </w:r>
      <w:r w:rsidR="00F4304B" w:rsidRPr="00A13517">
        <w:rPr>
          <w:lang w:val="en-US"/>
        </w:rPr>
        <w:t xml:space="preserve"> </w:t>
      </w:r>
      <w:r w:rsidR="001F15D9" w:rsidRPr="00A13517">
        <w:rPr>
          <w:lang w:val="en-US"/>
        </w:rPr>
        <w:t xml:space="preserve">National Life Events program </w:t>
      </w:r>
      <w:r w:rsidR="00F4304B" w:rsidRPr="00A13517">
        <w:rPr>
          <w:lang w:val="en-US"/>
        </w:rPr>
        <w:t>(a five-year plan for mapping key life events and working with</w:t>
      </w:r>
      <w:r w:rsidR="001F15D9" w:rsidRPr="00A13517">
        <w:rPr>
          <w:lang w:val="en-US"/>
        </w:rPr>
        <w:t xml:space="preserve"> </w:t>
      </w:r>
      <w:r w:rsidR="001F15D9" w:rsidRPr="00A13517">
        <w:rPr>
          <w:lang w:val="en-US"/>
        </w:rPr>
        <w:t xml:space="preserve">Commonwealth </w:t>
      </w:r>
      <w:r w:rsidR="00F4304B" w:rsidRPr="00A13517">
        <w:rPr>
          <w:lang w:val="en-US"/>
        </w:rPr>
        <w:t xml:space="preserve">and </w:t>
      </w:r>
      <w:r w:rsidR="001F15D9" w:rsidRPr="00A13517">
        <w:rPr>
          <w:lang w:val="en-US"/>
        </w:rPr>
        <w:t>state</w:t>
      </w:r>
      <w:r w:rsidR="00F4304B" w:rsidRPr="00A13517">
        <w:rPr>
          <w:lang w:val="en-US"/>
        </w:rPr>
        <w:t>/</w:t>
      </w:r>
      <w:r w:rsidR="001F15D9" w:rsidRPr="00A13517">
        <w:rPr>
          <w:lang w:val="en-US"/>
        </w:rPr>
        <w:t>territor</w:t>
      </w:r>
      <w:r w:rsidR="00F4304B" w:rsidRPr="00A13517">
        <w:rPr>
          <w:lang w:val="en-US"/>
        </w:rPr>
        <w:t>y governments on a “</w:t>
      </w:r>
      <w:r w:rsidR="00F4304B" w:rsidRPr="00A13517">
        <w:rPr>
          <w:lang w:val="en-US"/>
        </w:rPr>
        <w:t>proof of concept for a</w:t>
      </w:r>
      <w:r w:rsidR="00F4304B" w:rsidRPr="00A13517">
        <w:rPr>
          <w:lang w:val="en-US"/>
        </w:rPr>
        <w:t xml:space="preserve"> </w:t>
      </w:r>
      <w:r w:rsidR="00F4304B" w:rsidRPr="00A13517">
        <w:rPr>
          <w:lang w:val="en-US"/>
        </w:rPr>
        <w:t xml:space="preserve">life-event-based checklist function in the </w:t>
      </w:r>
      <w:proofErr w:type="spellStart"/>
      <w:r w:rsidR="00F4304B" w:rsidRPr="00A13517">
        <w:rPr>
          <w:lang w:val="en-US"/>
        </w:rPr>
        <w:t>myGov</w:t>
      </w:r>
      <w:proofErr w:type="spellEnd"/>
      <w:r w:rsidR="00F4304B" w:rsidRPr="00A13517">
        <w:rPr>
          <w:lang w:val="en-US"/>
        </w:rPr>
        <w:t xml:space="preserve"> app</w:t>
      </w:r>
      <w:r w:rsidR="00F4304B" w:rsidRPr="00A13517">
        <w:rPr>
          <w:lang w:val="en-US"/>
        </w:rPr>
        <w:t xml:space="preserve">”) </w:t>
      </w:r>
      <w:r w:rsidR="00F4304B" w:rsidRPr="00A13517">
        <w:rPr>
          <w:lang w:val="en-US"/>
        </w:rPr>
        <w:lastRenderedPageBreak/>
        <w:t>was</w:t>
      </w:r>
      <w:r w:rsidR="00E34AAB" w:rsidRPr="00A13517">
        <w:rPr>
          <w:lang w:val="en-US"/>
        </w:rPr>
        <w:t xml:space="preserve"> moved from the </w:t>
      </w:r>
      <w:r w:rsidR="00E34AAB" w:rsidRPr="00A13517">
        <w:rPr>
          <w:lang w:val="en-US"/>
        </w:rPr>
        <w:t>Digital Transformation Agency</w:t>
      </w:r>
      <w:r w:rsidR="00E34AAB" w:rsidRPr="00A13517">
        <w:rPr>
          <w:lang w:val="en-US"/>
        </w:rPr>
        <w:t xml:space="preserve"> and</w:t>
      </w:r>
      <w:r w:rsidR="00F4304B" w:rsidRPr="00A13517">
        <w:rPr>
          <w:lang w:val="en-US"/>
        </w:rPr>
        <w:t xml:space="preserve"> placed under the authority of Services Australia</w:t>
      </w:r>
      <w:r w:rsidR="00E34AAB" w:rsidRPr="00A13517">
        <w:rPr>
          <w:lang w:val="en-US"/>
        </w:rPr>
        <w:t xml:space="preserve">, but </w:t>
      </w:r>
      <w:hyperlink r:id="rId12" w:history="1">
        <w:r w:rsidR="00E34AAB" w:rsidRPr="00A13517">
          <w:rPr>
            <w:rStyle w:val="Hyperlink"/>
            <w:lang w:val="en-US"/>
          </w:rPr>
          <w:t>without any corresponding transfer of staff or resources</w:t>
        </w:r>
      </w:hyperlink>
      <w:r w:rsidR="00E34AAB" w:rsidRPr="00A13517">
        <w:rPr>
          <w:lang w:val="en-US"/>
        </w:rPr>
        <w:t>, meaning that progres</w:t>
      </w:r>
      <w:r w:rsidR="00A13517" w:rsidRPr="00A13517">
        <w:rPr>
          <w:lang w:val="en-US"/>
        </w:rPr>
        <w:t>s is likely to stall</w:t>
      </w:r>
      <w:r w:rsidR="00E34AAB" w:rsidRPr="00A13517">
        <w:rPr>
          <w:lang w:val="en-US"/>
        </w:rPr>
        <w:t>. A CRC could support</w:t>
      </w:r>
      <w:r w:rsidR="00A13517" w:rsidRPr="00A13517">
        <w:rPr>
          <w:lang w:val="en-US"/>
        </w:rPr>
        <w:t xml:space="preserve"> Commonwealth and state/territory governments</w:t>
      </w:r>
      <w:r w:rsidR="00E34AAB" w:rsidRPr="00A13517">
        <w:rPr>
          <w:lang w:val="en-US"/>
        </w:rPr>
        <w:t xml:space="preserve"> in the continued development of this program. Life events is related to the other themes </w:t>
      </w:r>
      <w:r w:rsidR="00A13517" w:rsidRPr="00A13517">
        <w:rPr>
          <w:lang w:val="en-US"/>
        </w:rPr>
        <w:t xml:space="preserve">such as digital inclusivity and data sharing, and a life events approach </w:t>
      </w:r>
      <w:r w:rsidR="00E34AAB" w:rsidRPr="00A13517">
        <w:rPr>
          <w:lang w:val="en-US"/>
        </w:rPr>
        <w:t>could</w:t>
      </w:r>
      <w:r w:rsidR="00A13517" w:rsidRPr="00A13517">
        <w:rPr>
          <w:lang w:val="en-US"/>
        </w:rPr>
        <w:t xml:space="preserve"> also</w:t>
      </w:r>
      <w:r w:rsidR="00E34AAB" w:rsidRPr="00A13517">
        <w:rPr>
          <w:lang w:val="en-US"/>
        </w:rPr>
        <w:t xml:space="preserve"> be</w:t>
      </w:r>
      <w:r w:rsidR="00A13517">
        <w:rPr>
          <w:lang w:val="en-US"/>
        </w:rPr>
        <w:t xml:space="preserve"> considered for trust indexing.</w:t>
      </w:r>
    </w:p>
    <w:p w14:paraId="00343687" w14:textId="77777777" w:rsidR="00114EE8" w:rsidRDefault="00114EE8" w:rsidP="00A404DA">
      <w:pPr>
        <w:rPr>
          <w:lang w:val="en-US"/>
        </w:rPr>
      </w:pPr>
    </w:p>
    <w:p w14:paraId="5555C5E8" w14:textId="67E93074" w:rsidR="00114EE8" w:rsidRDefault="00D90B5A" w:rsidP="00A404D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407826C4" w14:textId="60B8C5C9" w:rsidR="00A404DA" w:rsidRPr="00A404DA" w:rsidRDefault="00A404DA" w:rsidP="00A404DA">
      <w:pPr>
        <w:rPr>
          <w:lang w:val="en-US"/>
        </w:rPr>
      </w:pPr>
    </w:p>
    <w:sectPr w:rsidR="00A404DA" w:rsidRPr="00A4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5EA"/>
    <w:multiLevelType w:val="hybridMultilevel"/>
    <w:tmpl w:val="C7E082A2"/>
    <w:lvl w:ilvl="0" w:tplc="745C888C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07EB2"/>
    <w:multiLevelType w:val="hybridMultilevel"/>
    <w:tmpl w:val="0930DD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554CE"/>
    <w:multiLevelType w:val="hybridMultilevel"/>
    <w:tmpl w:val="44668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223220">
    <w:abstractNumId w:val="0"/>
  </w:num>
  <w:num w:numId="2" w16cid:durableId="4674812">
    <w:abstractNumId w:val="1"/>
  </w:num>
  <w:num w:numId="3" w16cid:durableId="1900552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DA"/>
    <w:rsid w:val="00090612"/>
    <w:rsid w:val="00114EE8"/>
    <w:rsid w:val="001461B9"/>
    <w:rsid w:val="00177C22"/>
    <w:rsid w:val="001F15D9"/>
    <w:rsid w:val="002B6E85"/>
    <w:rsid w:val="0030315B"/>
    <w:rsid w:val="00347028"/>
    <w:rsid w:val="003A4476"/>
    <w:rsid w:val="00442F65"/>
    <w:rsid w:val="00477D0F"/>
    <w:rsid w:val="004D6367"/>
    <w:rsid w:val="0055405B"/>
    <w:rsid w:val="00570F3B"/>
    <w:rsid w:val="00663790"/>
    <w:rsid w:val="00727C84"/>
    <w:rsid w:val="007C53B1"/>
    <w:rsid w:val="007D20A8"/>
    <w:rsid w:val="00894536"/>
    <w:rsid w:val="008E6D88"/>
    <w:rsid w:val="009A7ACB"/>
    <w:rsid w:val="00A13517"/>
    <w:rsid w:val="00A404DA"/>
    <w:rsid w:val="00A61F8B"/>
    <w:rsid w:val="00B35A9E"/>
    <w:rsid w:val="00B56EF9"/>
    <w:rsid w:val="00CB433D"/>
    <w:rsid w:val="00D90B5A"/>
    <w:rsid w:val="00E34AAB"/>
    <w:rsid w:val="00E85E3D"/>
    <w:rsid w:val="00ED4632"/>
    <w:rsid w:val="00EE7F6B"/>
    <w:rsid w:val="00F4304B"/>
    <w:rsid w:val="00F6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AAF4"/>
  <w15:chartTrackingRefBased/>
  <w15:docId w15:val="{7153A19A-ADDF-B744-ADEF-626AC9DE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4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4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4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4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4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4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4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4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5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A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5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update/urn:li:activity:731378098518191718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aseai.org/conference" TargetMode="External"/><Relationship Id="rId12" Type="http://schemas.openxmlformats.org/officeDocument/2006/relationships/hyperlink" Target="https://www.paulfletcher.com.au/paul-media/innovationauscom-dta-stripped-life-events-services-pu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ecd-opsi.org/work-areas/gov2gov-innovation-incubator/" TargetMode="External"/><Relationship Id="rId11" Type="http://schemas.openxmlformats.org/officeDocument/2006/relationships/hyperlink" Target="https://www.niaa.gov.au/our-work/employment-and-economic-development/first-nations-digital-inclusion-plan-fndip" TargetMode="External"/><Relationship Id="rId5" Type="http://schemas.openxmlformats.org/officeDocument/2006/relationships/hyperlink" Target="https://www.dataanddigital.gov.au/strategy" TargetMode="External"/><Relationship Id="rId10" Type="http://schemas.openxmlformats.org/officeDocument/2006/relationships/hyperlink" Target="https://www.digital.gov.au/policy/digital-experience/digital-inclusion-stand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.gov.au/policy/ai/poli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Kelly</dc:creator>
  <cp:keywords/>
  <dc:description/>
  <cp:lastModifiedBy>Catherine Dai</cp:lastModifiedBy>
  <cp:revision>4</cp:revision>
  <dcterms:created xsi:type="dcterms:W3CDTF">2025-04-23T03:37:00Z</dcterms:created>
  <dcterms:modified xsi:type="dcterms:W3CDTF">2025-04-28T01:37:00Z</dcterms:modified>
</cp:coreProperties>
</file>