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Guayaquil, 30 de julio de 2026</w:t>
      </w:r>
    </w:p>
    <w:p>
      <w:r>
        <w:t>Señor/a</w:t>
      </w:r>
    </w:p>
    <w:p>
      <w:r>
        <w:t>Director/a de Estadísticas Sociodemográficas</w:t>
      </w:r>
    </w:p>
    <w:p>
      <w:r>
        <w:t>Instituto Nacional de Estadística y Censos - INEC</w:t>
      </w:r>
    </w:p>
    <w:p>
      <w:r>
        <w:t>Presente.-</w:t>
      </w:r>
    </w:p>
    <w:p>
      <w:r>
        <w:rPr>
          <w:b/>
        </w:rPr>
        <w:t>Asunto: Hallazgos y recomendaciones derivados del procesamiento de Egresos Hospitalarios 2020-2024</w:t>
      </w:r>
    </w:p>
    <w:p>
      <w:pPr>
        <w:spacing w:after="100"/>
        <w:jc w:val="both"/>
      </w:pPr>
      <w:r>
        <w:t>Como parte de un proyecto académico, se procesaron 5,379,828 registros públicos de egresos hospitalarios correspondientes al periodo 2020-2024, con cobertura nacional, incluida la provincia de Galápagos.</w:t>
      </w:r>
    </w:p>
    <w:p>
      <w:pPr>
        <w:spacing w:after="100"/>
        <w:jc w:val="both"/>
      </w:pPr>
      <w:r>
        <w:t>En el equipo de prueba, que dispuso de dos núcleos de procesamiento, la solución distribuida no redujo el tiempo frente al procedimiento secuencial. El menor tiempo distribuido fue de 89.54 segundos con 2 workers. La relación entre ambos tiempos fue 0.979; al ser menor que uno, no se obtuvo aceleración en el equipo local. Este resultado se explica por el costo de dividir, coordinar y reunir el trabajo con recursos limitados.</w:t>
      </w:r>
    </w:p>
    <w:p>
      <w:pPr>
        <w:spacing w:after="100"/>
        <w:jc w:val="both"/>
      </w:pPr>
      <w:r>
        <w:t>El valor institucional de una arquitectura distribuida aparece principalmente ante bases de mayor volumen o infraestructura con más capacidad. En esos escenarios permite dividir el procesamiento, controlar el uso de memoria y evitar que toda la información deba cargarse simultáneamente en un solo proceso.</w:t>
      </w:r>
    </w:p>
    <w:p>
      <w:pPr>
        <w:spacing w:after="100"/>
        <w:jc w:val="both"/>
      </w:pPr>
      <w:r>
        <w:t>Para proteger la privacidad, los resultados se presentan de forma agregada. Los perfiles con menos de 50 registros se excluyen de las salidas publicables y los datos originales no se incorporan al archivo de entrega.</w:t>
      </w:r>
    </w:p>
    <w:p>
      <w:pPr>
        <w:spacing w:after="100"/>
        <w:jc w:val="both"/>
      </w:pPr>
      <w:r>
        <w:t>Se recomienda mantener enlaces permanentes de descarga, nombres de variables estables, diccionarios legibles por máquina y registros de cambios entre publicaciones anuales. Estas medidas facilitarían la reutilización y comparación de la información.</w:t>
      </w:r>
    </w:p>
    <w:p>
      <w:r>
        <w:t>Atentamente,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br/>
              <w:t>________________________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br/>
              <w:t>________________________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br/>
              <w:t>________________________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Gerardo Rocafuerte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Jull Licoa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Marcos Echeverría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