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F2" w:rsidRDefault="00C878F2" w:rsidP="00C24837">
      <w:pPr>
        <w:pStyle w:val="Heading1"/>
        <w:spacing w:before="120" w:after="120"/>
        <w:jc w:val="center"/>
        <w:rPr>
          <w:b/>
          <w:color w:val="404040" w:themeColor="text1" w:themeTint="BF"/>
        </w:rPr>
      </w:pPr>
    </w:p>
    <w:p w:rsidR="00A8379E" w:rsidRPr="00B8160D" w:rsidRDefault="00CA3BC3" w:rsidP="00C24837">
      <w:pPr>
        <w:pStyle w:val="Heading1"/>
        <w:spacing w:before="120" w:after="120"/>
        <w:jc w:val="center"/>
        <w:rPr>
          <w:rFonts w:ascii="Arial" w:hAnsi="Arial" w:cs="Arial"/>
          <w:b/>
          <w:color w:val="404040" w:themeColor="text1" w:themeTint="BF"/>
        </w:rPr>
      </w:pPr>
      <w:r w:rsidRPr="00B8160D">
        <w:rPr>
          <w:rFonts w:ascii="Arial" w:hAnsi="Arial" w:cs="Arial"/>
          <w:b/>
          <w:color w:val="404040" w:themeColor="text1" w:themeTint="BF"/>
        </w:rPr>
        <w:t>INFORME EJECUTIVO</w:t>
      </w:r>
    </w:p>
    <w:p w:rsidR="00CA3BC3" w:rsidRPr="00B8160D" w:rsidRDefault="00C24837" w:rsidP="00D16363">
      <w:pPr>
        <w:pStyle w:val="Heading2"/>
        <w:jc w:val="center"/>
        <w:rPr>
          <w:rFonts w:ascii="Arial" w:hAnsi="Arial" w:cs="Arial"/>
          <w:b/>
          <w:color w:val="404040" w:themeColor="text1" w:themeTint="BF"/>
        </w:rPr>
      </w:pPr>
      <w:r w:rsidRPr="00B8160D">
        <w:rPr>
          <w:rFonts w:ascii="Arial" w:hAnsi="Arial" w:cs="Arial"/>
          <w:b/>
          <w:color w:val="404040" w:themeColor="text1" w:themeTint="BF"/>
        </w:rPr>
        <w:t>ANÁLISIS DESCRIPTIVO DE TRANSFERENCIA DE CARGA EN PUERTOS MARÍTIMOS</w:t>
      </w:r>
    </w:p>
    <w:p w:rsidR="00CA3BC3" w:rsidRDefault="00CA3BC3" w:rsidP="00D16363">
      <w:pPr>
        <w:rPr>
          <w:color w:val="404040" w:themeColor="text1" w:themeTint="BF"/>
        </w:rPr>
      </w:pPr>
      <w:bookmarkStart w:id="0" w:name="_GoBack"/>
      <w:bookmarkEnd w:id="0"/>
    </w:p>
    <w:p w:rsidR="00C878F2" w:rsidRDefault="00C878F2" w:rsidP="00D16363">
      <w:pPr>
        <w:rPr>
          <w:color w:val="404040" w:themeColor="text1" w:themeTint="BF"/>
        </w:rPr>
      </w:pPr>
    </w:p>
    <w:p w:rsidR="004302DA" w:rsidRDefault="004302DA" w:rsidP="00D16363">
      <w:pPr>
        <w:rPr>
          <w:color w:val="404040" w:themeColor="text1" w:themeTint="BF"/>
        </w:rPr>
      </w:pPr>
    </w:p>
    <w:p w:rsidR="00C520EA" w:rsidRPr="00D16363" w:rsidRDefault="00576DB1" w:rsidP="00D16363">
      <w:pPr>
        <w:rPr>
          <w:color w:val="404040" w:themeColor="text1" w:themeTint="BF"/>
        </w:rPr>
      </w:pPr>
      <w:r w:rsidRPr="00D16363">
        <w:rPr>
          <w:color w:val="404040" w:themeColor="text1" w:themeTint="BF"/>
        </w:rPr>
        <w:t xml:space="preserve">El presente informe explora a nivel </w:t>
      </w:r>
      <w:r w:rsidR="00C520EA" w:rsidRPr="00D16363">
        <w:rPr>
          <w:color w:val="404040" w:themeColor="text1" w:themeTint="BF"/>
        </w:rPr>
        <w:t xml:space="preserve">agregado y </w:t>
      </w:r>
      <w:r w:rsidRPr="00D16363">
        <w:rPr>
          <w:color w:val="404040" w:themeColor="text1" w:themeTint="BF"/>
        </w:rPr>
        <w:t xml:space="preserve">descriptivo la </w:t>
      </w:r>
      <w:r w:rsidR="009D645C" w:rsidRPr="00D16363">
        <w:rPr>
          <w:color w:val="404040" w:themeColor="text1" w:themeTint="BF"/>
        </w:rPr>
        <w:t xml:space="preserve">transferencia </w:t>
      </w:r>
      <w:r w:rsidR="00C520EA" w:rsidRPr="00D16363">
        <w:rPr>
          <w:color w:val="404040" w:themeColor="text1" w:themeTint="BF"/>
        </w:rPr>
        <w:t>de carga de los puertos marítimos de Chile.</w:t>
      </w:r>
      <w:r w:rsidR="00C24837">
        <w:rPr>
          <w:color w:val="404040" w:themeColor="text1" w:themeTint="BF"/>
        </w:rPr>
        <w:t xml:space="preserve"> </w:t>
      </w:r>
      <w:r w:rsidR="005112A4" w:rsidRPr="00D16363">
        <w:rPr>
          <w:color w:val="404040" w:themeColor="text1" w:themeTint="BF"/>
        </w:rPr>
        <w:t xml:space="preserve">La información utilizada proviene de la información </w:t>
      </w:r>
      <w:proofErr w:type="spellStart"/>
      <w:r w:rsidR="005112A4" w:rsidRPr="00D16363">
        <w:rPr>
          <w:color w:val="404040" w:themeColor="text1" w:themeTint="BF"/>
        </w:rPr>
        <w:t>disponibilizada</w:t>
      </w:r>
      <w:proofErr w:type="spellEnd"/>
      <w:r w:rsidR="005112A4" w:rsidRPr="00D16363">
        <w:rPr>
          <w:color w:val="404040" w:themeColor="text1" w:themeTint="BF"/>
        </w:rPr>
        <w:t xml:space="preserve"> por el Observatorio Logístico</w:t>
      </w:r>
      <w:r w:rsidR="005112A4" w:rsidRPr="00D16363">
        <w:rPr>
          <w:rStyle w:val="FootnoteReference"/>
          <w:rFonts w:asciiTheme="minorHAnsi" w:hAnsiTheme="minorHAnsi"/>
          <w:color w:val="404040" w:themeColor="text1" w:themeTint="BF"/>
          <w:sz w:val="24"/>
        </w:rPr>
        <w:footnoteReference w:id="1"/>
      </w:r>
      <w:r w:rsidR="005112A4" w:rsidRPr="00D16363">
        <w:rPr>
          <w:color w:val="404040" w:themeColor="text1" w:themeTint="BF"/>
        </w:rPr>
        <w:t xml:space="preserve">. </w:t>
      </w:r>
    </w:p>
    <w:p w:rsidR="00C520EA" w:rsidRDefault="00C520EA" w:rsidP="00D16363">
      <w:pPr>
        <w:rPr>
          <w:color w:val="404040" w:themeColor="text1" w:themeTint="BF"/>
        </w:rPr>
      </w:pPr>
    </w:p>
    <w:p w:rsidR="00C24837" w:rsidRPr="00F80ACC" w:rsidRDefault="00C24837" w:rsidP="00C24837">
      <w:pPr>
        <w:spacing w:after="240"/>
        <w:rPr>
          <w:color w:val="404040" w:themeColor="text1" w:themeTint="BF"/>
          <w:sz w:val="24"/>
        </w:rPr>
      </w:pPr>
      <w:r w:rsidRPr="00F80ACC">
        <w:rPr>
          <w:color w:val="404040" w:themeColor="text1" w:themeTint="BF"/>
          <w:sz w:val="24"/>
        </w:rPr>
        <w:t>COMPOSICIÓN DE LAS TRANSFERENCIAS Y SU EVOLUCIÓN</w:t>
      </w:r>
    </w:p>
    <w:p w:rsidR="004F2B88" w:rsidRDefault="00D16363" w:rsidP="00D16363">
      <w:pPr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7AFCF4A1">
            <wp:simplePos x="0" y="0"/>
            <wp:positionH relativeFrom="margin">
              <wp:align>left</wp:align>
            </wp:positionH>
            <wp:positionV relativeFrom="paragraph">
              <wp:posOffset>13676</wp:posOffset>
            </wp:positionV>
            <wp:extent cx="2663825" cy="2019300"/>
            <wp:effectExtent l="0" t="0" r="3175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3C194-3828-46D2-93CF-58E253A9BC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allowOverlap="1" wp14:anchorId="751D3CD6">
            <wp:simplePos x="0" y="0"/>
            <wp:positionH relativeFrom="column">
              <wp:posOffset>2760260</wp:posOffset>
            </wp:positionH>
            <wp:positionV relativeFrom="paragraph">
              <wp:posOffset>13675</wp:posOffset>
            </wp:positionV>
            <wp:extent cx="3626485" cy="2019869"/>
            <wp:effectExtent l="0" t="0" r="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B2ADB85-14C5-4BBE-90E4-BB40F98D14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B88" w:rsidRDefault="004F2B88" w:rsidP="00D16363">
      <w:pPr>
        <w:rPr>
          <w:color w:val="404040" w:themeColor="text1" w:themeTint="BF"/>
        </w:rPr>
      </w:pPr>
    </w:p>
    <w:p w:rsidR="004F2B88" w:rsidRDefault="004F2B88" w:rsidP="00D16363">
      <w:pPr>
        <w:rPr>
          <w:color w:val="404040" w:themeColor="text1" w:themeTint="BF"/>
        </w:rPr>
      </w:pPr>
    </w:p>
    <w:p w:rsidR="004F2B88" w:rsidRDefault="004F2B88" w:rsidP="00D16363">
      <w:pPr>
        <w:rPr>
          <w:color w:val="404040" w:themeColor="text1" w:themeTint="BF"/>
        </w:rPr>
      </w:pPr>
    </w:p>
    <w:p w:rsidR="004F2B88" w:rsidRDefault="004F2B88" w:rsidP="00D16363">
      <w:pPr>
        <w:rPr>
          <w:color w:val="404040" w:themeColor="text1" w:themeTint="BF"/>
        </w:rPr>
      </w:pPr>
    </w:p>
    <w:p w:rsidR="004F2B88" w:rsidRDefault="004F2B88" w:rsidP="00D16363">
      <w:pPr>
        <w:rPr>
          <w:color w:val="404040" w:themeColor="text1" w:themeTint="BF"/>
        </w:rPr>
      </w:pPr>
    </w:p>
    <w:p w:rsidR="004F2B88" w:rsidRDefault="004F2B88" w:rsidP="00D16363">
      <w:pPr>
        <w:rPr>
          <w:color w:val="404040" w:themeColor="text1" w:themeTint="BF"/>
        </w:rPr>
      </w:pPr>
    </w:p>
    <w:p w:rsidR="005112A4" w:rsidRDefault="005112A4" w:rsidP="00D16363">
      <w:pPr>
        <w:rPr>
          <w:color w:val="404040" w:themeColor="text1" w:themeTint="BF"/>
        </w:rPr>
      </w:pPr>
    </w:p>
    <w:p w:rsidR="003A6B90" w:rsidRDefault="003A6B90" w:rsidP="00D16363">
      <w:pPr>
        <w:rPr>
          <w:color w:val="404040" w:themeColor="text1" w:themeTint="BF"/>
        </w:rPr>
      </w:pPr>
    </w:p>
    <w:p w:rsidR="00C520EA" w:rsidRPr="00D16363" w:rsidRDefault="005112A4" w:rsidP="00D16363">
      <w:pPr>
        <w:rPr>
          <w:color w:val="404040" w:themeColor="text1" w:themeTint="BF"/>
        </w:rPr>
      </w:pPr>
      <w:r w:rsidRPr="00D16363">
        <w:rPr>
          <w:color w:val="404040" w:themeColor="text1" w:themeTint="BF"/>
        </w:rPr>
        <w:t xml:space="preserve">El movimiento portuario en Chile </w:t>
      </w:r>
      <w:r w:rsidR="0008584E" w:rsidRPr="00D16363">
        <w:rPr>
          <w:color w:val="404040" w:themeColor="text1" w:themeTint="BF"/>
        </w:rPr>
        <w:t>está basado</w:t>
      </w:r>
      <w:r w:rsidRPr="00D16363">
        <w:rPr>
          <w:color w:val="404040" w:themeColor="text1" w:themeTint="BF"/>
        </w:rPr>
        <w:t xml:space="preserve"> principalmente</w:t>
      </w:r>
      <w:r w:rsidR="0008584E" w:rsidRPr="00D16363">
        <w:rPr>
          <w:color w:val="404040" w:themeColor="text1" w:themeTint="BF"/>
        </w:rPr>
        <w:t xml:space="preserve"> </w:t>
      </w:r>
      <w:r w:rsidR="00497315" w:rsidRPr="00D16363">
        <w:rPr>
          <w:color w:val="404040" w:themeColor="text1" w:themeTint="BF"/>
        </w:rPr>
        <w:t>en exportaciones e importaciones de bienes, abarcando un 78% del movimiento</w:t>
      </w:r>
      <w:r w:rsidR="00272765" w:rsidRPr="00D16363">
        <w:rPr>
          <w:color w:val="404040" w:themeColor="text1" w:themeTint="BF"/>
        </w:rPr>
        <w:t xml:space="preserve"> total de los puertos</w:t>
      </w:r>
      <w:r w:rsidR="00497315" w:rsidRPr="00D16363">
        <w:rPr>
          <w:color w:val="404040" w:themeColor="text1" w:themeTint="BF"/>
        </w:rPr>
        <w:t xml:space="preserve">, expresado en toneladas. </w:t>
      </w:r>
      <w:r w:rsidR="00272765" w:rsidRPr="00D16363">
        <w:rPr>
          <w:color w:val="404040" w:themeColor="text1" w:themeTint="BF"/>
        </w:rPr>
        <w:t>El cabotaje, o movimiento interno del país, abarca un 20% del movimiento portuario. El tránsito internacional abarca tan sólo e 2% del movimiento portuario. Esto implica que el dinamismo portuario en Chile obedece a entrada y salida de bienes del territorio nacional.</w:t>
      </w:r>
      <w:r w:rsidR="00C24837">
        <w:rPr>
          <w:color w:val="404040" w:themeColor="text1" w:themeTint="BF"/>
        </w:rPr>
        <w:t xml:space="preserve"> Esta distribución ha sido sostenida en el tiempo, </w:t>
      </w:r>
      <w:r w:rsidR="00663620">
        <w:rPr>
          <w:color w:val="404040" w:themeColor="text1" w:themeTint="BF"/>
        </w:rPr>
        <w:t>como se aprecia en el histórico de transferencias de carga.</w:t>
      </w:r>
    </w:p>
    <w:p w:rsidR="009041A4" w:rsidRDefault="00E15448" w:rsidP="00D16363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Con respecto a la evolución de la industria, </w:t>
      </w:r>
      <w:r w:rsidR="009041A4">
        <w:rPr>
          <w:color w:val="404040" w:themeColor="text1" w:themeTint="BF"/>
        </w:rPr>
        <w:t xml:space="preserve">se </w:t>
      </w:r>
      <w:r w:rsidR="00854C3F">
        <w:rPr>
          <w:color w:val="404040" w:themeColor="text1" w:themeTint="BF"/>
        </w:rPr>
        <w:t>observa</w:t>
      </w:r>
      <w:r w:rsidR="009041A4">
        <w:rPr>
          <w:color w:val="404040" w:themeColor="text1" w:themeTint="BF"/>
        </w:rPr>
        <w:t xml:space="preserve"> que el 2009 hubo una baja </w:t>
      </w:r>
      <w:r w:rsidR="00537F92">
        <w:rPr>
          <w:color w:val="404040" w:themeColor="text1" w:themeTint="BF"/>
        </w:rPr>
        <w:t xml:space="preserve">del 5,7% </w:t>
      </w:r>
      <w:r w:rsidR="009041A4">
        <w:rPr>
          <w:color w:val="404040" w:themeColor="text1" w:themeTint="BF"/>
        </w:rPr>
        <w:t xml:space="preserve">en las transferencias de carga. Esto se debió a las repercusiones de la crisis económica mundial del 2008, </w:t>
      </w:r>
      <w:r w:rsidR="00FD1C12">
        <w:rPr>
          <w:color w:val="404040" w:themeColor="text1" w:themeTint="BF"/>
        </w:rPr>
        <w:t>la que afectó fuertemente las exportaciones a nivel mundial y el cobre en el caso de Chile.</w:t>
      </w:r>
      <w:r w:rsidR="009B2A3F">
        <w:rPr>
          <w:color w:val="404040" w:themeColor="text1" w:themeTint="BF"/>
        </w:rPr>
        <w:t xml:space="preserve"> También hubo una baja en las transferencias el 2015</w:t>
      </w:r>
      <w:r w:rsidR="005A219D">
        <w:rPr>
          <w:color w:val="404040" w:themeColor="text1" w:themeTint="BF"/>
        </w:rPr>
        <w:t>, debido</w:t>
      </w:r>
      <w:r w:rsidR="005A219D">
        <w:rPr>
          <w:color w:val="404040" w:themeColor="text1" w:themeTint="BF"/>
        </w:rPr>
        <w:t xml:space="preserve"> a desaceleraciones de países como China y Brasil</w:t>
      </w:r>
      <w:r w:rsidR="005A219D">
        <w:rPr>
          <w:color w:val="404040" w:themeColor="text1" w:themeTint="BF"/>
        </w:rPr>
        <w:t>, aunque fue de un impacto menor, con una baja de 0,5%</w:t>
      </w:r>
      <w:r w:rsidR="009B2A3F">
        <w:rPr>
          <w:color w:val="404040" w:themeColor="text1" w:themeTint="BF"/>
        </w:rPr>
        <w:t>.</w:t>
      </w:r>
    </w:p>
    <w:p w:rsidR="00F80ACC" w:rsidRDefault="00F80ACC">
      <w:pPr>
        <w:spacing w:after="160"/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:rsidR="0012060C" w:rsidRDefault="006F2A42" w:rsidP="00F80ACC">
      <w:pPr>
        <w:spacing w:after="240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lastRenderedPageBreak/>
        <w:t>DISTRIBUCIÓN DE TRANSFERENCIAS</w:t>
      </w:r>
    </w:p>
    <w:p w:rsidR="000B7DEC" w:rsidRDefault="00EE3A29" w:rsidP="00D16363">
      <w:pPr>
        <w:rPr>
          <w:color w:val="404040" w:themeColor="text1" w:themeTint="BF"/>
        </w:rPr>
      </w:pPr>
      <w:r>
        <w:rPr>
          <w:noProof/>
          <w:color w:val="404040" w:themeColor="text1" w:themeTint="BF"/>
        </w:rPr>
        <mc:AlternateContent>
          <mc:Choice Requires="cx1">
            <w:drawing>
              <wp:inline distT="0" distB="0" distL="0" distR="0" wp14:anchorId="0A60C136" wp14:editId="6CB0511A">
                <wp:extent cx="6400800" cy="3176905"/>
                <wp:effectExtent l="0" t="0" r="0" b="444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00AC9A-60E2-42D2-9B4F-892AC94420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0A60C136" wp14:editId="6CB0511A">
                <wp:extent cx="6400800" cy="3176905"/>
                <wp:effectExtent l="0" t="0" r="0" b="444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00AC9A-60E2-42D2-9B4F-892AC944203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F800AC9A-60E2-42D2-9B4F-892AC944203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76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61AF1" w:rsidRDefault="00B61AF1" w:rsidP="00D16363">
      <w:pPr>
        <w:rPr>
          <w:color w:val="404040" w:themeColor="text1" w:themeTint="BF"/>
        </w:rPr>
      </w:pPr>
    </w:p>
    <w:p w:rsidR="00B61AF1" w:rsidRDefault="005651E4" w:rsidP="00B61AF1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</w:t>
      </w:r>
      <w:r w:rsidR="00B50CFF">
        <w:rPr>
          <w:color w:val="404040" w:themeColor="text1" w:themeTint="BF"/>
        </w:rPr>
        <w:t>77% de las transferencias de carga ocurre en 4 regiones de Chile: Valparaíso</w:t>
      </w:r>
      <w:r w:rsidR="00DF1194">
        <w:rPr>
          <w:color w:val="404040" w:themeColor="text1" w:themeTint="BF"/>
        </w:rPr>
        <w:t xml:space="preserve"> (29%)</w:t>
      </w:r>
      <w:r w:rsidR="00B50CFF">
        <w:rPr>
          <w:color w:val="404040" w:themeColor="text1" w:themeTint="BF"/>
        </w:rPr>
        <w:t>, con los puertos de San Antonio, Quintero y Valparaíso; Biobío</w:t>
      </w:r>
      <w:r w:rsidR="00DF1194">
        <w:rPr>
          <w:color w:val="404040" w:themeColor="text1" w:themeTint="BF"/>
        </w:rPr>
        <w:t xml:space="preserve"> (21%)</w:t>
      </w:r>
      <w:r w:rsidR="00B50CFF">
        <w:rPr>
          <w:color w:val="404040" w:themeColor="text1" w:themeTint="BF"/>
        </w:rPr>
        <w:t xml:space="preserve">, con los puertos de San Vicente, </w:t>
      </w:r>
      <w:proofErr w:type="gramStart"/>
      <w:r w:rsidR="00B50CFF">
        <w:rPr>
          <w:color w:val="404040" w:themeColor="text1" w:themeTint="BF"/>
        </w:rPr>
        <w:t>Coronel</w:t>
      </w:r>
      <w:proofErr w:type="gramEnd"/>
      <w:r w:rsidR="00B50CFF">
        <w:rPr>
          <w:color w:val="404040" w:themeColor="text1" w:themeTint="BF"/>
        </w:rPr>
        <w:t xml:space="preserve"> y Lirquén; Antofagasta</w:t>
      </w:r>
      <w:r w:rsidR="00DF1194">
        <w:rPr>
          <w:color w:val="404040" w:themeColor="text1" w:themeTint="BF"/>
        </w:rPr>
        <w:t xml:space="preserve"> (16%)</w:t>
      </w:r>
      <w:r w:rsidR="00B50CFF">
        <w:rPr>
          <w:color w:val="404040" w:themeColor="text1" w:themeTint="BF"/>
        </w:rPr>
        <w:t>, con una distribución más homogénea entre sus puertos, pero destacando el de Mejillones; y Atacama</w:t>
      </w:r>
      <w:r w:rsidR="00DF1194">
        <w:rPr>
          <w:color w:val="404040" w:themeColor="text1" w:themeTint="BF"/>
        </w:rPr>
        <w:t xml:space="preserve"> (12%)</w:t>
      </w:r>
      <w:r w:rsidR="00B50CFF">
        <w:rPr>
          <w:color w:val="404040" w:themeColor="text1" w:themeTint="BF"/>
        </w:rPr>
        <w:t>, con sus puertos de Huasco y Caldera.</w:t>
      </w:r>
    </w:p>
    <w:p w:rsidR="00B61AF1" w:rsidRDefault="00B61AF1" w:rsidP="00B61AF1">
      <w:pPr>
        <w:rPr>
          <w:color w:val="404040" w:themeColor="text1" w:themeTint="BF"/>
          <w:sz w:val="24"/>
        </w:rPr>
      </w:pPr>
    </w:p>
    <w:p w:rsidR="00B61AF1" w:rsidRDefault="00B61AF1" w:rsidP="00B61AF1">
      <w:pPr>
        <w:rPr>
          <w:color w:val="404040" w:themeColor="text1" w:themeTint="BF"/>
        </w:rPr>
      </w:pPr>
      <w:r>
        <w:rPr>
          <w:color w:val="404040" w:themeColor="text1" w:themeTint="BF"/>
          <w:sz w:val="24"/>
        </w:rPr>
        <w:t>CRECIMIENTO DE</w:t>
      </w:r>
      <w:r>
        <w:rPr>
          <w:color w:val="404040" w:themeColor="text1" w:themeTint="BF"/>
          <w:sz w:val="24"/>
        </w:rPr>
        <w:t xml:space="preserve"> LOS PUERTOS</w:t>
      </w:r>
      <w:r>
        <w:rPr>
          <w:noProof/>
          <w:color w:val="404040" w:themeColor="text1" w:themeTint="BF"/>
        </w:rPr>
        <w:t xml:space="preserve"> </w:t>
      </w:r>
    </w:p>
    <w:p w:rsidR="00924A9E" w:rsidRDefault="00DE4386" w:rsidP="00AF7C6E">
      <w:pPr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-1412240</wp:posOffset>
            </wp:positionV>
            <wp:extent cx="1901825" cy="4459605"/>
            <wp:effectExtent l="19050" t="19050" r="2222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44596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C6E">
        <w:rPr>
          <w:color w:val="404040" w:themeColor="text1" w:themeTint="BF"/>
        </w:rPr>
        <w:t xml:space="preserve">El escenario nacional no es estático. </w:t>
      </w:r>
      <w:r w:rsidR="00B61AF1">
        <w:rPr>
          <w:color w:val="404040" w:themeColor="text1" w:themeTint="BF"/>
        </w:rPr>
        <w:t>Como se aprecia en el mapa, e</w:t>
      </w:r>
      <w:r w:rsidR="00AF7C6E">
        <w:rPr>
          <w:color w:val="404040" w:themeColor="text1" w:themeTint="BF"/>
        </w:rPr>
        <w:t>n</w:t>
      </w:r>
      <w:r w:rsidR="00D32AB6">
        <w:rPr>
          <w:color w:val="404040" w:themeColor="text1" w:themeTint="BF"/>
        </w:rPr>
        <w:t xml:space="preserve"> los últimos 10 años, </w:t>
      </w:r>
      <w:r w:rsidR="00AF7C6E">
        <w:rPr>
          <w:color w:val="404040" w:themeColor="text1" w:themeTint="BF"/>
        </w:rPr>
        <w:t xml:space="preserve">el crecimiento de ciertos puertos ha sido significativo, como los de Calbuco y </w:t>
      </w:r>
      <w:proofErr w:type="spellStart"/>
      <w:r w:rsidR="00AF7C6E">
        <w:rPr>
          <w:color w:val="404040" w:themeColor="text1" w:themeTint="BF"/>
        </w:rPr>
        <w:t>Michilla</w:t>
      </w:r>
      <w:proofErr w:type="spellEnd"/>
      <w:r w:rsidR="00AF7C6E">
        <w:rPr>
          <w:color w:val="404040" w:themeColor="text1" w:themeTint="BF"/>
        </w:rPr>
        <w:t xml:space="preserve">. Otros, como </w:t>
      </w:r>
      <w:r w:rsidR="00AF7C6E">
        <w:rPr>
          <w:color w:val="404040" w:themeColor="text1" w:themeTint="BF"/>
        </w:rPr>
        <w:t>Coquimbo</w:t>
      </w:r>
      <w:r w:rsidR="00AF7C6E">
        <w:rPr>
          <w:color w:val="404040" w:themeColor="text1" w:themeTint="BF"/>
        </w:rPr>
        <w:t xml:space="preserve">, </w:t>
      </w:r>
      <w:r w:rsidR="00AF7C6E">
        <w:rPr>
          <w:color w:val="404040" w:themeColor="text1" w:themeTint="BF"/>
        </w:rPr>
        <w:t>Caldera</w:t>
      </w:r>
      <w:r w:rsidR="00AF7C6E">
        <w:rPr>
          <w:color w:val="404040" w:themeColor="text1" w:themeTint="BF"/>
        </w:rPr>
        <w:t xml:space="preserve">, </w:t>
      </w:r>
      <w:r w:rsidR="00AF7C6E">
        <w:rPr>
          <w:color w:val="404040" w:themeColor="text1" w:themeTint="BF"/>
        </w:rPr>
        <w:t>Quellón</w:t>
      </w:r>
      <w:r w:rsidR="00AF7C6E">
        <w:rPr>
          <w:color w:val="404040" w:themeColor="text1" w:themeTint="BF"/>
        </w:rPr>
        <w:t xml:space="preserve">, </w:t>
      </w:r>
      <w:r w:rsidR="00AF7C6E">
        <w:rPr>
          <w:color w:val="404040" w:themeColor="text1" w:themeTint="BF"/>
        </w:rPr>
        <w:t>Tres Puentes</w:t>
      </w:r>
      <w:r w:rsidR="00AF7C6E">
        <w:rPr>
          <w:color w:val="404040" w:themeColor="text1" w:themeTint="BF"/>
        </w:rPr>
        <w:t xml:space="preserve"> y </w:t>
      </w:r>
      <w:r w:rsidR="00AF7C6E">
        <w:rPr>
          <w:color w:val="404040" w:themeColor="text1" w:themeTint="BF"/>
        </w:rPr>
        <w:t>Porvenir</w:t>
      </w:r>
      <w:r w:rsidR="00AF7C6E">
        <w:rPr>
          <w:color w:val="404040" w:themeColor="text1" w:themeTint="BF"/>
        </w:rPr>
        <w:t>, han incluso cuadr</w:t>
      </w:r>
      <w:r w:rsidR="00B21E7E">
        <w:rPr>
          <w:color w:val="404040" w:themeColor="text1" w:themeTint="BF"/>
        </w:rPr>
        <w:t>u</w:t>
      </w:r>
      <w:r w:rsidR="00AF7C6E">
        <w:rPr>
          <w:color w:val="404040" w:themeColor="text1" w:themeTint="BF"/>
        </w:rPr>
        <w:t>plicado sus operaciones.</w:t>
      </w:r>
    </w:p>
    <w:p w:rsidR="003329C4" w:rsidRDefault="003329C4" w:rsidP="00AF7C6E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Estas variaciones </w:t>
      </w:r>
      <w:r w:rsidR="00DE4386">
        <w:rPr>
          <w:color w:val="404040" w:themeColor="text1" w:themeTint="BF"/>
        </w:rPr>
        <w:t xml:space="preserve">pueden ocurrir por industrias en las que sus operaciones están </w:t>
      </w:r>
      <w:r w:rsidR="00DE4386">
        <w:rPr>
          <w:color w:val="404040" w:themeColor="text1" w:themeTint="BF"/>
        </w:rPr>
        <w:t xml:space="preserve">fuertemente </w:t>
      </w:r>
      <w:r w:rsidR="00DE4386">
        <w:rPr>
          <w:color w:val="404040" w:themeColor="text1" w:themeTint="BF"/>
        </w:rPr>
        <w:t xml:space="preserve">vinculadas con el transporte de sus bienes. Tal fue el caso de Calbuco, en donde inversiones de empresas como Cementos Melón ha impulsado de forma vinculante el crecimiento del puerto y su </w:t>
      </w:r>
      <w:r w:rsidR="00B21E7E">
        <w:rPr>
          <w:color w:val="404040" w:themeColor="text1" w:themeTint="BF"/>
        </w:rPr>
        <w:t>operación.</w:t>
      </w:r>
    </w:p>
    <w:p w:rsidR="00EE3A29" w:rsidRDefault="00EE3A29" w:rsidP="00D16363">
      <w:pPr>
        <w:rPr>
          <w:color w:val="404040" w:themeColor="text1" w:themeTint="BF"/>
        </w:rPr>
      </w:pPr>
    </w:p>
    <w:p w:rsidR="00EE3A29" w:rsidRDefault="00EE3A29" w:rsidP="00D16363">
      <w:pPr>
        <w:rPr>
          <w:color w:val="404040" w:themeColor="text1" w:themeTint="BF"/>
        </w:rPr>
      </w:pPr>
    </w:p>
    <w:p w:rsidR="00EE3A29" w:rsidRDefault="00EE3A29" w:rsidP="00D16363">
      <w:pPr>
        <w:rPr>
          <w:color w:val="404040" w:themeColor="text1" w:themeTint="BF"/>
        </w:rPr>
      </w:pPr>
    </w:p>
    <w:sectPr w:rsidR="00EE3A29" w:rsidSect="00DD6EFC">
      <w:head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545" w:rsidRDefault="001E4545" w:rsidP="00D16363">
      <w:pPr>
        <w:rPr>
          <w:color w:val="404040" w:themeColor="text1" w:themeTint="BF"/>
        </w:rPr>
      </w:pPr>
      <w:r>
        <w:rPr>
          <w:color w:val="404040" w:themeColor="text1" w:themeTint="BF"/>
        </w:rPr>
        <w:separator/>
      </w:r>
    </w:p>
  </w:endnote>
  <w:endnote w:type="continuationSeparator" w:id="0">
    <w:p w:rsidR="001E4545" w:rsidRDefault="001E4545" w:rsidP="00D16363">
      <w:pPr>
        <w:rPr>
          <w:color w:val="404040" w:themeColor="text1" w:themeTint="BF"/>
        </w:rPr>
      </w:pPr>
      <w:r>
        <w:rPr>
          <w:color w:val="404040" w:themeColor="text1" w:themeTint="BF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545" w:rsidRDefault="001E4545" w:rsidP="00D16363">
      <w:pPr>
        <w:rPr>
          <w:color w:val="404040" w:themeColor="text1" w:themeTint="BF"/>
        </w:rPr>
      </w:pPr>
      <w:r>
        <w:rPr>
          <w:color w:val="404040" w:themeColor="text1" w:themeTint="BF"/>
        </w:rPr>
        <w:separator/>
      </w:r>
    </w:p>
  </w:footnote>
  <w:footnote w:type="continuationSeparator" w:id="0">
    <w:p w:rsidR="001E4545" w:rsidRDefault="001E4545" w:rsidP="00D16363">
      <w:pPr>
        <w:rPr>
          <w:color w:val="404040" w:themeColor="text1" w:themeTint="BF"/>
        </w:rPr>
      </w:pPr>
      <w:r>
        <w:rPr>
          <w:color w:val="404040" w:themeColor="text1" w:themeTint="BF"/>
        </w:rPr>
        <w:continuationSeparator/>
      </w:r>
    </w:p>
  </w:footnote>
  <w:footnote w:id="1">
    <w:p w:rsidR="005112A4" w:rsidRPr="005112A4" w:rsidRDefault="005112A4" w:rsidP="00D16363">
      <w:pPr>
        <w:pStyle w:val="FootnoteText"/>
        <w:rPr>
          <w:color w:val="404040" w:themeColor="text1" w:themeTint="BF"/>
        </w:rPr>
      </w:pPr>
      <w:r w:rsidRPr="005112A4">
        <w:rPr>
          <w:rStyle w:val="FootnoteReference"/>
          <w:color w:val="404040" w:themeColor="text1" w:themeTint="BF"/>
          <w:sz w:val="16"/>
        </w:rPr>
        <w:footnoteRef/>
      </w:r>
      <w:r w:rsidRPr="005112A4">
        <w:rPr>
          <w:color w:val="404040" w:themeColor="text1" w:themeTint="BF"/>
        </w:rPr>
        <w:t xml:space="preserve"> </w:t>
      </w:r>
      <w:r w:rsidRPr="005112A4">
        <w:rPr>
          <w:color w:val="404040" w:themeColor="text1" w:themeTint="BF"/>
        </w:rPr>
        <w:t>https://datos.observatoriologistico.cl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2DA" w:rsidRDefault="004302DA" w:rsidP="00D16363">
    <w:pPr>
      <w:pStyle w:val="Header"/>
      <w:rPr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-442265</wp:posOffset>
          </wp:positionV>
          <wp:extent cx="1765310" cy="512613"/>
          <wp:effectExtent l="0" t="0" r="6350" b="190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10" cy="5126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C3"/>
    <w:rsid w:val="0008584E"/>
    <w:rsid w:val="000B7DEC"/>
    <w:rsid w:val="000E0E3E"/>
    <w:rsid w:val="00101DB9"/>
    <w:rsid w:val="0012060C"/>
    <w:rsid w:val="001E4545"/>
    <w:rsid w:val="00227B5A"/>
    <w:rsid w:val="00272765"/>
    <w:rsid w:val="00303715"/>
    <w:rsid w:val="003329C4"/>
    <w:rsid w:val="00384C07"/>
    <w:rsid w:val="003A6B90"/>
    <w:rsid w:val="003C55C8"/>
    <w:rsid w:val="004302DA"/>
    <w:rsid w:val="00497315"/>
    <w:rsid w:val="004F2B88"/>
    <w:rsid w:val="005112A4"/>
    <w:rsid w:val="00537F92"/>
    <w:rsid w:val="005651E4"/>
    <w:rsid w:val="00576DB1"/>
    <w:rsid w:val="005A219D"/>
    <w:rsid w:val="00663620"/>
    <w:rsid w:val="006A257D"/>
    <w:rsid w:val="006B59CB"/>
    <w:rsid w:val="006F2A42"/>
    <w:rsid w:val="007214CA"/>
    <w:rsid w:val="00854C3F"/>
    <w:rsid w:val="009041A4"/>
    <w:rsid w:val="009159A5"/>
    <w:rsid w:val="00924A9E"/>
    <w:rsid w:val="009B2A3F"/>
    <w:rsid w:val="009D645C"/>
    <w:rsid w:val="00A005BC"/>
    <w:rsid w:val="00A238FF"/>
    <w:rsid w:val="00A8379E"/>
    <w:rsid w:val="00AF7C6E"/>
    <w:rsid w:val="00B21E7E"/>
    <w:rsid w:val="00B50CFF"/>
    <w:rsid w:val="00B61AF1"/>
    <w:rsid w:val="00B63B00"/>
    <w:rsid w:val="00B8160D"/>
    <w:rsid w:val="00C06B3C"/>
    <w:rsid w:val="00C24837"/>
    <w:rsid w:val="00C520EA"/>
    <w:rsid w:val="00C878F2"/>
    <w:rsid w:val="00C9290E"/>
    <w:rsid w:val="00CA3BC3"/>
    <w:rsid w:val="00D11066"/>
    <w:rsid w:val="00D152A2"/>
    <w:rsid w:val="00D16363"/>
    <w:rsid w:val="00D21641"/>
    <w:rsid w:val="00D32AB6"/>
    <w:rsid w:val="00DD6EFC"/>
    <w:rsid w:val="00DE4386"/>
    <w:rsid w:val="00DF1194"/>
    <w:rsid w:val="00E02157"/>
    <w:rsid w:val="00E15448"/>
    <w:rsid w:val="00E44A3F"/>
    <w:rsid w:val="00ED2508"/>
    <w:rsid w:val="00EE3A29"/>
    <w:rsid w:val="00F400D3"/>
    <w:rsid w:val="00F80ACC"/>
    <w:rsid w:val="00FD1C12"/>
    <w:rsid w:val="00F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E20DCF"/>
  <w15:chartTrackingRefBased/>
  <w15:docId w15:val="{67669A64-D642-4995-A2F7-5CAAFAD2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363"/>
    <w:pPr>
      <w:spacing w:after="120"/>
      <w:jc w:val="both"/>
    </w:pPr>
    <w:rPr>
      <w:rFonts w:ascii="Arial" w:hAnsi="Arial" w:cs="Arial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5112A4"/>
    <w:pPr>
      <w:spacing w:after="0" w:line="240" w:lineRule="auto"/>
    </w:pPr>
    <w:rPr>
      <w:color w:val="404040" w:themeColor="text1" w:themeTint="BF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2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12A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302DA"/>
    <w:pPr>
      <w:tabs>
        <w:tab w:val="center" w:pos="4419"/>
        <w:tab w:val="right" w:pos="8838"/>
      </w:tabs>
      <w:spacing w:after="0" w:line="240" w:lineRule="auto"/>
    </w:pPr>
    <w:rPr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302DA"/>
  </w:style>
  <w:style w:type="paragraph" w:styleId="Footer">
    <w:name w:val="footer"/>
    <w:basedOn w:val="Normal"/>
    <w:link w:val="FooterChar"/>
    <w:uiPriority w:val="99"/>
    <w:unhideWhenUsed/>
    <w:rsid w:val="004302DA"/>
    <w:pPr>
      <w:tabs>
        <w:tab w:val="center" w:pos="4419"/>
        <w:tab w:val="right" w:pos="8838"/>
      </w:tabs>
      <w:spacing w:after="0" w:line="240" w:lineRule="auto"/>
    </w:pPr>
    <w:rPr>
      <w:color w:val="404040" w:themeColor="text1" w:themeTint="BF"/>
    </w:rPr>
  </w:style>
  <w:style w:type="character" w:customStyle="1" w:styleId="FooterChar">
    <w:name w:val="Footer Char"/>
    <w:basedOn w:val="DefaultParagraphFont"/>
    <w:link w:val="Footer"/>
    <w:uiPriority w:val="99"/>
    <w:rsid w:val="0043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ardo\Desktop\data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rardo\Desktop\data_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Gerardo\Desktop\data_analysis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1" i="0" u="none" strike="noStrike" kern="1200" spc="0" normalizeH="0" baseline="0">
                <a:solidFill>
                  <a:schemeClr val="tx1">
                    <a:lumMod val="75000"/>
                    <a:lumOff val="2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L" sz="900">
                <a:solidFill>
                  <a:schemeClr val="tx1">
                    <a:lumMod val="75000"/>
                    <a:lumOff val="25000"/>
                  </a:schemeClr>
                </a:solidFill>
              </a:rPr>
              <a:t>COMPOSICIÓN DE TRANSFERENCIA DE CARGA AÑO 2017</a:t>
            </a:r>
          </a:p>
        </c:rich>
      </c:tx>
      <c:layout>
        <c:manualLayout>
          <c:xMode val="edge"/>
          <c:yMode val="edge"/>
          <c:x val="0.11902245830713354"/>
          <c:y val="2.93040293040293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spc="0" normalizeH="0" baseline="0">
              <a:solidFill>
                <a:schemeClr val="tx1">
                  <a:lumMod val="75000"/>
                  <a:lumOff val="25000"/>
                </a:schemeClr>
              </a:solidFill>
              <a:latin typeface="+mj-lt"/>
              <a:ea typeface="+mj-ea"/>
              <a:cs typeface="+mj-cs"/>
            </a:defRPr>
          </a:pPr>
          <a:endParaRPr lang="es-CL"/>
        </a:p>
      </c:txPr>
    </c:title>
    <c:autoTitleDeleted val="0"/>
    <c:plotArea>
      <c:layout>
        <c:manualLayout>
          <c:layoutTarget val="inner"/>
          <c:xMode val="edge"/>
          <c:yMode val="edge"/>
          <c:x val="7.1881223428716223E-2"/>
          <c:y val="0.21582875253800823"/>
          <c:w val="0.48676057924225496"/>
          <c:h val="0.74797092671108401"/>
        </c:manualLayout>
      </c:layout>
      <c:pieChart>
        <c:varyColors val="1"/>
        <c:ser>
          <c:idx val="0"/>
          <c:order val="0"/>
          <c:spPr>
            <a:ln w="6350">
              <a:solidFill>
                <a:schemeClr val="tx1">
                  <a:lumMod val="65000"/>
                  <a:lumOff val="35000"/>
                </a:schemeClr>
              </a:solidFill>
            </a:ln>
          </c:spPr>
          <c:dPt>
            <c:idx val="0"/>
            <c:bubble3D val="0"/>
            <c:spPr>
              <a:solidFill>
                <a:schemeClr val="accent5"/>
              </a:solidFill>
              <a:ln w="6350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CD-4894-AF06-31A2F2EE3B3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6350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CD-4894-AF06-31A2F2EE3B3D}"/>
              </c:ext>
            </c:extLst>
          </c:dPt>
          <c:dPt>
            <c:idx val="2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6350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CD-4894-AF06-31A2F2EE3B3D}"/>
              </c:ext>
            </c:extLst>
          </c:dPt>
          <c:dPt>
            <c:idx val="3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6350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CD-4894-AF06-31A2F2EE3B3D}"/>
              </c:ext>
            </c:extLst>
          </c:dPt>
          <c:dPt>
            <c:idx val="4"/>
            <c:bubble3D val="0"/>
            <c:spPr>
              <a:solidFill>
                <a:schemeClr val="accent6"/>
              </a:solidFill>
              <a:ln w="6350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CD-4894-AF06-31A2F2EE3B3D}"/>
              </c:ext>
            </c:extLst>
          </c:dPt>
          <c:dLbls>
            <c:dLbl>
              <c:idx val="4"/>
              <c:layout>
                <c:manualLayout>
                  <c:x val="-0.1029219524642753"/>
                  <c:y val="1.454414352052147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ACD-4894-AF06-31A2F2EE3B3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tx1">
                      <a:lumMod val="75000"/>
                      <a:lumOff val="2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Sheet3!$B$2:$B$6</c:f>
              <c:strCache>
                <c:ptCount val="5"/>
                <c:pt idx="0">
                  <c:v>Exportación</c:v>
                </c:pt>
                <c:pt idx="1">
                  <c:v>Importación</c:v>
                </c:pt>
                <c:pt idx="2">
                  <c:v>Cabotaje embarcado</c:v>
                </c:pt>
                <c:pt idx="3">
                  <c:v>Cabotaje desembarcado</c:v>
                </c:pt>
                <c:pt idx="4">
                  <c:v>Tránsito</c:v>
                </c:pt>
              </c:strCache>
            </c:strRef>
          </c:cat>
          <c:val>
            <c:numRef>
              <c:f>Sheet3!$C$2:$C$6</c:f>
              <c:numCache>
                <c:formatCode>_-* #,##0_-;\-* #,##0_-;_-* "-"??_-;_-@_-</c:formatCode>
                <c:ptCount val="5"/>
                <c:pt idx="0">
                  <c:v>61303131</c:v>
                </c:pt>
                <c:pt idx="1">
                  <c:v>54268005</c:v>
                </c:pt>
                <c:pt idx="2">
                  <c:v>14216087</c:v>
                </c:pt>
                <c:pt idx="3">
                  <c:v>14216088</c:v>
                </c:pt>
                <c:pt idx="4">
                  <c:v>3324504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ACD-4894-AF06-31A2F2EE3B3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125712086942652"/>
          <c:y val="0.32006437874510968"/>
          <c:w val="0.34693824730242051"/>
          <c:h val="0.52603179319566185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bg1">
          <a:lumMod val="85000"/>
        </a:schemeClr>
      </a:fgClr>
      <a:bgClr>
        <a:schemeClr val="bg1"/>
      </a:bgClr>
    </a:pattFill>
    <a:ln w="9525" cap="flat" cmpd="sng" algn="ctr">
      <a:noFill/>
      <a:round/>
    </a:ln>
    <a:effectLst/>
  </c:spPr>
  <c:txPr>
    <a:bodyPr/>
    <a:lstStyle/>
    <a:p>
      <a:pPr>
        <a:defRPr sz="1000"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1" i="0" u="none" strike="noStrike" kern="1200" cap="none" spc="0" normalizeH="0" baseline="0">
                <a:solidFill>
                  <a:schemeClr val="tx1">
                    <a:lumMod val="75000"/>
                    <a:lumOff val="2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L" sz="900">
                <a:solidFill>
                  <a:schemeClr val="tx1">
                    <a:lumMod val="75000"/>
                    <a:lumOff val="25000"/>
                  </a:schemeClr>
                </a:solidFill>
                <a:latin typeface="+mj-lt"/>
              </a:rPr>
              <a:t>EVOLUCIÓN DE TRANSFERENCIA DE CARGA</a:t>
            </a:r>
          </a:p>
        </c:rich>
      </c:tx>
      <c:layout>
        <c:manualLayout>
          <c:xMode val="edge"/>
          <c:yMode val="edge"/>
          <c:x val="0.2567100407846184"/>
          <c:y val="2.88184438040345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cap="none" spc="0" normalizeH="0" baseline="0">
              <a:solidFill>
                <a:schemeClr val="tx1">
                  <a:lumMod val="75000"/>
                  <a:lumOff val="25000"/>
                </a:schemeClr>
              </a:solidFill>
              <a:latin typeface="+mj-lt"/>
              <a:ea typeface="+mj-ea"/>
              <a:cs typeface="+mj-cs"/>
            </a:defRPr>
          </a:pPr>
          <a:endParaRPr lang="es-CL"/>
        </a:p>
      </c:txPr>
    </c:title>
    <c:autoTitleDeleted val="0"/>
    <c:plotArea>
      <c:layout/>
      <c:areaChart>
        <c:grouping val="stacked"/>
        <c:varyColors val="0"/>
        <c:ser>
          <c:idx val="1"/>
          <c:order val="0"/>
          <c:tx>
            <c:strRef>
              <c:f>Sheet3!$C$17</c:f>
              <c:strCache>
                <c:ptCount val="1"/>
                <c:pt idx="0">
                  <c:v>Exportación</c:v>
                </c:pt>
              </c:strCache>
            </c:strRef>
          </c:tx>
          <c:spPr>
            <a:solidFill>
              <a:schemeClr val="accent5"/>
            </a:solidFill>
            <a:ln w="6350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  <c:cat>
            <c:numRef>
              <c:f>Sheet3!$B$18:$B$28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Sheet3!$C$18:$C$28</c:f>
              <c:numCache>
                <c:formatCode>_-* #,##0_-;\-* #,##0_-;_-* "-"??_-;_-@_-</c:formatCode>
                <c:ptCount val="11"/>
                <c:pt idx="0">
                  <c:v>44652607</c:v>
                </c:pt>
                <c:pt idx="1">
                  <c:v>46386475</c:v>
                </c:pt>
                <c:pt idx="2">
                  <c:v>48002278</c:v>
                </c:pt>
                <c:pt idx="3">
                  <c:v>49769836</c:v>
                </c:pt>
                <c:pt idx="4">
                  <c:v>53908191</c:v>
                </c:pt>
                <c:pt idx="5">
                  <c:v>53262823</c:v>
                </c:pt>
                <c:pt idx="6">
                  <c:v>56728045</c:v>
                </c:pt>
                <c:pt idx="7">
                  <c:v>63340516</c:v>
                </c:pt>
                <c:pt idx="8">
                  <c:v>60734831</c:v>
                </c:pt>
                <c:pt idx="9">
                  <c:v>61186520</c:v>
                </c:pt>
                <c:pt idx="10">
                  <c:v>61303131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43-4AA5-AB80-D955C3AA3375}"/>
            </c:ext>
          </c:extLst>
        </c:ser>
        <c:ser>
          <c:idx val="2"/>
          <c:order val="1"/>
          <c:tx>
            <c:strRef>
              <c:f>Sheet3!$D$17</c:f>
              <c:strCache>
                <c:ptCount val="1"/>
                <c:pt idx="0">
                  <c:v>Importación</c:v>
                </c:pt>
              </c:strCache>
            </c:strRef>
          </c:tx>
          <c:spPr>
            <a:solidFill>
              <a:schemeClr val="accent2"/>
            </a:solidFill>
            <a:ln w="6350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  <c:cat>
            <c:numRef>
              <c:f>Sheet3!$B$18:$B$28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Sheet3!$D$18:$D$28</c:f>
              <c:numCache>
                <c:formatCode>_-* #,##0_-;\-* #,##0_-;_-* "-"??_-;_-@_-</c:formatCode>
                <c:ptCount val="11"/>
                <c:pt idx="0">
                  <c:v>37744371</c:v>
                </c:pt>
                <c:pt idx="1">
                  <c:v>40904673</c:v>
                </c:pt>
                <c:pt idx="2">
                  <c:v>35100921</c:v>
                </c:pt>
                <c:pt idx="3">
                  <c:v>41610345</c:v>
                </c:pt>
                <c:pt idx="4">
                  <c:v>46856968</c:v>
                </c:pt>
                <c:pt idx="5">
                  <c:v>50199538</c:v>
                </c:pt>
                <c:pt idx="6">
                  <c:v>51649233</c:v>
                </c:pt>
                <c:pt idx="7">
                  <c:v>49845177</c:v>
                </c:pt>
                <c:pt idx="8">
                  <c:v>50591138</c:v>
                </c:pt>
                <c:pt idx="9">
                  <c:v>52575220</c:v>
                </c:pt>
                <c:pt idx="10">
                  <c:v>54268005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43-4AA5-AB80-D955C3AA3375}"/>
            </c:ext>
          </c:extLst>
        </c:ser>
        <c:ser>
          <c:idx val="3"/>
          <c:order val="2"/>
          <c:tx>
            <c:strRef>
              <c:f>Sheet3!$E$17</c:f>
              <c:strCache>
                <c:ptCount val="1"/>
                <c:pt idx="0">
                  <c:v>Cabotaje embarcado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 w="6350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  <c:cat>
            <c:numRef>
              <c:f>Sheet3!$B$18:$B$28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Sheet3!$E$18:$E$28</c:f>
              <c:numCache>
                <c:formatCode>_-* #,##0_-;\-* #,##0_-;_-* "-"??_-;_-@_-</c:formatCode>
                <c:ptCount val="11"/>
                <c:pt idx="0">
                  <c:v>12378123</c:v>
                </c:pt>
                <c:pt idx="1">
                  <c:v>12999350</c:v>
                </c:pt>
                <c:pt idx="2">
                  <c:v>11789929</c:v>
                </c:pt>
                <c:pt idx="3">
                  <c:v>11806559</c:v>
                </c:pt>
                <c:pt idx="4">
                  <c:v>12546086</c:v>
                </c:pt>
                <c:pt idx="5">
                  <c:v>12612197</c:v>
                </c:pt>
                <c:pt idx="6">
                  <c:v>13712937</c:v>
                </c:pt>
                <c:pt idx="7">
                  <c:v>14210007</c:v>
                </c:pt>
                <c:pt idx="8">
                  <c:v>14897895</c:v>
                </c:pt>
                <c:pt idx="9">
                  <c:v>13739584</c:v>
                </c:pt>
                <c:pt idx="10">
                  <c:v>14216087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43-4AA5-AB80-D955C3AA3375}"/>
            </c:ext>
          </c:extLst>
        </c:ser>
        <c:ser>
          <c:idx val="4"/>
          <c:order val="3"/>
          <c:tx>
            <c:strRef>
              <c:f>Sheet3!$F$17</c:f>
              <c:strCache>
                <c:ptCount val="1"/>
                <c:pt idx="0">
                  <c:v>Cabotaje desembarcado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 w="6350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  <c:cat>
            <c:numRef>
              <c:f>Sheet3!$B$18:$B$28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Sheet3!$F$18:$F$28</c:f>
              <c:numCache>
                <c:formatCode>_-* #,##0_-;\-* #,##0_-;_-* "-"??_-;_-@_-</c:formatCode>
                <c:ptCount val="11"/>
                <c:pt idx="0">
                  <c:v>12378123</c:v>
                </c:pt>
                <c:pt idx="1">
                  <c:v>12999350</c:v>
                </c:pt>
                <c:pt idx="2">
                  <c:v>11789929</c:v>
                </c:pt>
                <c:pt idx="3">
                  <c:v>11806559</c:v>
                </c:pt>
                <c:pt idx="4">
                  <c:v>12546086</c:v>
                </c:pt>
                <c:pt idx="5">
                  <c:v>12612197</c:v>
                </c:pt>
                <c:pt idx="6">
                  <c:v>13712937</c:v>
                </c:pt>
                <c:pt idx="7">
                  <c:v>14210007</c:v>
                </c:pt>
                <c:pt idx="8">
                  <c:v>14897895</c:v>
                </c:pt>
                <c:pt idx="9">
                  <c:v>13739587</c:v>
                </c:pt>
                <c:pt idx="10">
                  <c:v>14216088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43-4AA5-AB80-D955C3AA3375}"/>
            </c:ext>
          </c:extLst>
        </c:ser>
        <c:ser>
          <c:idx val="5"/>
          <c:order val="4"/>
          <c:tx>
            <c:strRef>
              <c:f>Sheet3!$G$17</c:f>
              <c:strCache>
                <c:ptCount val="1"/>
                <c:pt idx="0">
                  <c:v>Tránsito</c:v>
                </c:pt>
              </c:strCache>
            </c:strRef>
          </c:tx>
          <c:spPr>
            <a:solidFill>
              <a:schemeClr val="accent6"/>
            </a:solidFill>
            <a:ln w="6350">
              <a:solidFill>
                <a:schemeClr val="tx1">
                  <a:lumMod val="65000"/>
                  <a:lumOff val="35000"/>
                </a:schemeClr>
              </a:solidFill>
            </a:ln>
            <a:effectLst/>
          </c:spPr>
          <c:cat>
            <c:numRef>
              <c:f>Sheet3!$B$18:$B$28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Sheet3!$G$18:$G$28</c:f>
              <c:numCache>
                <c:formatCode>_-* #,##0_-;\-* #,##0_-;_-* "-"??_-;_-@_-</c:formatCode>
                <c:ptCount val="11"/>
                <c:pt idx="0">
                  <c:v>1502370</c:v>
                </c:pt>
                <c:pt idx="1">
                  <c:v>2089504</c:v>
                </c:pt>
                <c:pt idx="2">
                  <c:v>1813819</c:v>
                </c:pt>
                <c:pt idx="3">
                  <c:v>2704809</c:v>
                </c:pt>
                <c:pt idx="4">
                  <c:v>2158862</c:v>
                </c:pt>
                <c:pt idx="5">
                  <c:v>2451353</c:v>
                </c:pt>
                <c:pt idx="6">
                  <c:v>3094809</c:v>
                </c:pt>
                <c:pt idx="7">
                  <c:v>3579055</c:v>
                </c:pt>
                <c:pt idx="8">
                  <c:v>2959167</c:v>
                </c:pt>
                <c:pt idx="9">
                  <c:v>3731998</c:v>
                </c:pt>
                <c:pt idx="10">
                  <c:v>3324504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43-4AA5-AB80-D955C3AA3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719104"/>
        <c:axId val="1631870848"/>
      </c:areaChart>
      <c:catAx>
        <c:axId val="158871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65000"/>
                <a:lumOff val="3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631870848"/>
        <c:crosses val="autoZero"/>
        <c:auto val="1"/>
        <c:lblAlgn val="ctr"/>
        <c:lblOffset val="100"/>
        <c:noMultiLvlLbl val="0"/>
      </c:catAx>
      <c:valAx>
        <c:axId val="1631870848"/>
        <c:scaling>
          <c:orientation val="minMax"/>
          <c:max val="150000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500"/>
                  <a:t>TONELADAS</a:t>
                </a:r>
              </a:p>
            </c:rich>
          </c:tx>
          <c:layout>
            <c:manualLayout>
              <c:xMode val="edge"/>
              <c:yMode val="edge"/>
              <c:x val="2.3305496212856866E-2"/>
              <c:y val="0.357270416846309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_-* #,##0_-;\-* #,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588719104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layout>
        <c:manualLayout>
          <c:xMode val="edge"/>
          <c:yMode val="edge"/>
          <c:x val="4.6115827092792272E-2"/>
          <c:y val="0.89011720256869908"/>
          <c:w val="0.89999984707679648"/>
          <c:h val="9.5473575529283622E-2"/>
        </c:manualLayout>
      </c:layout>
      <c:overlay val="0"/>
      <c:spPr>
        <a:solidFill>
          <a:srgbClr val="FFFFFF">
            <a:alpha val="69804"/>
          </a:srgb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bg1">
          <a:lumMod val="85000"/>
        </a:schemeClr>
      </a:fgClr>
      <a:bgClr>
        <a:schemeClr val="bg1"/>
      </a:bgClr>
    </a:pattFill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Treemap!$A$2:$B$54</cx:f>
        <cx:lvl ptCount="53">
          <cx:pt idx="0">Antofagasta</cx:pt>
          <cx:pt idx="1">Caleta Coloso</cx:pt>
          <cx:pt idx="2">Caleta Michilla</cx:pt>
          <cx:pt idx="3">Mejillones</cx:pt>
          <cx:pt idx="4">Puerto Angamos</cx:pt>
          <cx:pt idx="5">Tocopilla</cx:pt>
          <cx:pt idx="6">Arica</cx:pt>
          <cx:pt idx="7">Caldera / Calderilla</cx:pt>
          <cx:pt idx="8">Chañaral / Barquito</cx:pt>
          <cx:pt idx="9">Huasco / Guacolda</cx:pt>
          <cx:pt idx="10">Chacabuco</cx:pt>
          <cx:pt idx="11">Lago General Carrera</cx:pt>
          <cx:pt idx="12">Melinka</cx:pt>
          <cx:pt idx="13">Puerto Aguirre</cx:pt>
          <cx:pt idx="14">Puerto Cisnes</cx:pt>
          <cx:pt idx="15">Coronel</cx:pt>
          <cx:pt idx="16">Lirquén</cx:pt>
          <cx:pt idx="17">Penco</cx:pt>
          <cx:pt idx="18">San Vicente</cx:pt>
          <cx:pt idx="19">Talcahuano</cx:pt>
          <cx:pt idx="20">Terminal OXIQUIM Coronel</cx:pt>
          <cx:pt idx="21">Terminal Siderúrgico Huachipato</cx:pt>
          <cx:pt idx="22">Coquimbo</cx:pt>
          <cx:pt idx="23">Guayacán</cx:pt>
          <cx:pt idx="24">Punta Chungo</cx:pt>
          <cx:pt idx="25">Calbuco</cx:pt>
          <cx:pt idx="26">Castro</cx:pt>
          <cx:pt idx="27">Chaitén</cx:pt>
          <cx:pt idx="28">Chonchi</cx:pt>
          <cx:pt idx="29">Puerto Montt</cx:pt>
          <cx:pt idx="30">Quellón</cx:pt>
          <cx:pt idx="31">Quemchi</cx:pt>
          <cx:pt idx="32">San José de Calbuco</cx:pt>
          <cx:pt idx="33">Corral</cx:pt>
          <cx:pt idx="34">Cabo Negro</cx:pt>
          <cx:pt idx="35">Isla Guarello</cx:pt>
          <cx:pt idx="36">Otway - Isla Riesco</cx:pt>
          <cx:pt idx="37">Porvenir</cx:pt>
          <cx:pt idx="38">Puerto Natales</cx:pt>
          <cx:pt idx="39">Puerto Williams</cx:pt>
          <cx:pt idx="40">Punta Arenas</cx:pt>
          <cx:pt idx="41">Tres Puentes</cx:pt>
          <cx:pt idx="42">Otros Puertos</cx:pt>
          <cx:pt idx="43">Iquique</cx:pt>
          <cx:pt idx="44">Patillos</cx:pt>
          <cx:pt idx="45">Punta Patache</cx:pt>
          <cx:pt idx="46">Isla de Pascua</cx:pt>
          <cx:pt idx="47">Isla Juan Fernández</cx:pt>
          <cx:pt idx="48">Quintero</cx:pt>
          <cx:pt idx="49">San Antonio</cx:pt>
          <cx:pt idx="50">Terminal OXIQUIM Quintero</cx:pt>
          <cx:pt idx="51">Valparaíso</cx:pt>
          <cx:pt idx="52">Ventanas</cx:pt>
        </cx:lvl>
        <cx:lvl ptCount="53">
          <cx:pt idx="0">Antofagasta</cx:pt>
          <cx:pt idx="1">Antofagasta</cx:pt>
          <cx:pt idx="2">Antofagasta</cx:pt>
          <cx:pt idx="3">Antofagasta</cx:pt>
          <cx:pt idx="4">Antofagasta</cx:pt>
          <cx:pt idx="5">Antofagasta</cx:pt>
          <cx:pt idx="6">Arica y Parinacota</cx:pt>
          <cx:pt idx="7">Atacama</cx:pt>
          <cx:pt idx="8">Atacama</cx:pt>
          <cx:pt idx="9">Atacama</cx:pt>
          <cx:pt idx="10">Aysén</cx:pt>
          <cx:pt idx="11">Aysén</cx:pt>
          <cx:pt idx="12">Aysén</cx:pt>
          <cx:pt idx="13">Aysén</cx:pt>
          <cx:pt idx="14">Aysén</cx:pt>
          <cx:pt idx="15">Biobío</cx:pt>
          <cx:pt idx="16">Biobío</cx:pt>
          <cx:pt idx="17">Biobío</cx:pt>
          <cx:pt idx="18">Biobío</cx:pt>
          <cx:pt idx="19">Biobío</cx:pt>
          <cx:pt idx="20">Biobío</cx:pt>
          <cx:pt idx="21">Biobío</cx:pt>
          <cx:pt idx="22">Coquimbo</cx:pt>
          <cx:pt idx="23">Coquimbo</cx:pt>
          <cx:pt idx="24">Coquimbo</cx:pt>
          <cx:pt idx="25">Los Lagos</cx:pt>
          <cx:pt idx="26">Los Lagos</cx:pt>
          <cx:pt idx="27">Los Lagos</cx:pt>
          <cx:pt idx="28">Los Lagos</cx:pt>
          <cx:pt idx="29">Los Lagos</cx:pt>
          <cx:pt idx="30">Los Lagos</cx:pt>
          <cx:pt idx="31">Los Lagos</cx:pt>
          <cx:pt idx="32">Los Lagos</cx:pt>
          <cx:pt idx="33">Los Ríos</cx:pt>
          <cx:pt idx="34">Magallanes</cx:pt>
          <cx:pt idx="35">Magallanes</cx:pt>
          <cx:pt idx="36">Magallanes</cx:pt>
          <cx:pt idx="37">Magallanes</cx:pt>
          <cx:pt idx="38">Magallanes</cx:pt>
          <cx:pt idx="39">Magallanes</cx:pt>
          <cx:pt idx="40">Magallanes</cx:pt>
          <cx:pt idx="41">Magallanes</cx:pt>
          <cx:pt idx="42">S/C</cx:pt>
          <cx:pt idx="43">Tarapacá</cx:pt>
          <cx:pt idx="44">Tarapacá</cx:pt>
          <cx:pt idx="45">Tarapacá</cx:pt>
          <cx:pt idx="46">Valparaíso</cx:pt>
          <cx:pt idx="47">Valparaíso</cx:pt>
          <cx:pt idx="48">Valparaíso</cx:pt>
          <cx:pt idx="49">Valparaíso</cx:pt>
          <cx:pt idx="50">Valparaíso</cx:pt>
          <cx:pt idx="51">Valparaíso</cx:pt>
          <cx:pt idx="52">Valparaíso</cx:pt>
        </cx:lvl>
      </cx:strDim>
      <cx:numDim type="size">
        <cx:f>Treemap!$C$2:$C$54</cx:f>
        <cx:lvl ptCount="53" formatCode="_-* #.##0_-;\-* #.##0_-;_-* &quot;-&quot;??_-;_-@_-">
          <cx:pt idx="0">2755971</cx:pt>
          <cx:pt idx="1">2101635</cx:pt>
          <cx:pt idx="2">846139</cx:pt>
          <cx:pt idx="3">8910602</cx:pt>
          <cx:pt idx="4">4578608</cx:pt>
          <cx:pt idx="5">3758842</cx:pt>
          <cx:pt idx="6">2937941</cx:pt>
          <cx:pt idx="7">7202336</cx:pt>
          <cx:pt idx="8">746083</cx:pt>
          <cx:pt idx="9">9687857</cx:pt>
          <cx:pt idx="10">607946</cx:pt>
          <cx:pt idx="11">68089</cx:pt>
          <cx:pt idx="12">5074</cx:pt>
          <cx:pt idx="13">10905</cx:pt>
          <cx:pt idx="14">29061</cx:pt>
          <cx:pt idx="15">8569012</cx:pt>
          <cx:pt idx="16">4377960</cx:pt>
          <cx:pt idx="17">302683</cx:pt>
          <cx:pt idx="18">15233051</cx:pt>
          <cx:pt idx="19">68243</cx:pt>
          <cx:pt idx="20">173930</cx:pt>
          <cx:pt idx="21">1520921</cx:pt>
          <cx:pt idx="22">947887</cx:pt>
          <cx:pt idx="23">1953906</cx:pt>
          <cx:pt idx="24">1382956</cx:pt>
          <cx:pt idx="25">3327905</cx:pt>
          <cx:pt idx="26">53179</cx:pt>
          <cx:pt idx="27">62021</cx:pt>
          <cx:pt idx="28">17488</cx:pt>
          <cx:pt idx="29">1698335</cx:pt>
          <cx:pt idx="30">463977</cx:pt>
          <cx:pt idx="31">285</cx:pt>
          <cx:pt idx="32">1522027</cx:pt>
          <cx:pt idx="33">1061318</cx:pt>
          <cx:pt idx="34">504985</cx:pt>
          <cx:pt idx="35">516051</cx:pt>
          <cx:pt idx="36">2289459</cx:pt>
          <cx:pt idx="37">159055</cx:pt>
          <cx:pt idx="38">168834</cx:pt>
          <cx:pt idx="39">25583</cx:pt>
          <cx:pt idx="40">292937</cx:pt>
          <cx:pt idx="41">159055</cx:pt>
          <cx:pt idx="42">4161729</cx:pt>
          <cx:pt idx="43">865041</cx:pt>
          <cx:pt idx="44">4443150</cx:pt>
          <cx:pt idx="45">3955609</cx:pt>
          <cx:pt idx="46">35692</cx:pt>
          <cx:pt idx="47">5360</cx:pt>
          <cx:pt idx="48">13085975</cx:pt>
          <cx:pt idx="49">14387939</cx:pt>
          <cx:pt idx="50">406137</cx:pt>
          <cx:pt idx="51">9478963</cx:pt>
          <cx:pt idx="52">5328442</cx:pt>
        </cx:lvl>
      </cx:numDim>
    </cx:data>
  </cx:chartData>
  <cx:chart>
    <cx:title pos="t" align="ctr" overlay="0">
      <cx:tx>
        <cx:txData>
          <cx:v>VOLUMEN DE TRANSFERENCIA DE CARGA EN PUERTOS DE CHILE AÑO 2017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chemeClr val="tx1">
                  <a:lumMod val="75000"/>
                  <a:lumOff val="25000"/>
                </a:schemeClr>
              </a:solidFill>
            </a:defRPr>
          </a:pPr>
          <a:r>
            <a:rPr lang="en-US" sz="1200" b="1" i="0" u="none" strike="noStrike" baseline="0">
              <a:solidFill>
                <a:schemeClr val="tx1">
                  <a:lumMod val="75000"/>
                  <a:lumOff val="25000"/>
                </a:schemeClr>
              </a:solidFill>
              <a:latin typeface="Calibri" panose="020F0502020204030204"/>
            </a:rPr>
            <a:t>VOLUMEN DE TRANSFERENCIA DE CARGA EN PUERTOS DE CHILE AÑO 2017</a:t>
          </a:r>
        </a:p>
      </cx:txPr>
    </cx:title>
    <cx:plotArea>
      <cx:plotAreaRegion>
        <cx:series layoutId="treemap" uniqueId="{9061A5B4-8A12-4CAB-B388-DF48FCFF3A34}">
          <cx:tx>
            <cx:txData>
              <cx:f>Treemap!$C$1</cx:f>
              <cx:v>TONELADAS</cx:v>
            </cx:txData>
          </cx:tx>
          <cx:spPr>
            <a:ln w="6350"/>
          </cx:spPr>
          <cx:dataLabels pos="inEnd">
            <cx:txPr>
              <a:bodyPr spcFirstLastPara="1" vertOverflow="ellipsis" horzOverflow="overflow" wrap="square" lIns="38100" tIns="19050" rIns="38100" bIns="19050" anchor="ctr" anchorCtr="1">
                <a:spAutoFit/>
              </a:bodyPr>
              <a:lstStyle/>
              <a:p>
                <a:pPr algn="ctr" rtl="0">
                  <a:defRPr sz="800" b="0">
                    <a:solidFill>
                      <a:schemeClr val="bg1"/>
                    </a:solidFill>
                  </a:defRPr>
                </a:pPr>
                <a:endParaRPr lang="en-US" sz="800" b="0" i="0" u="none" strike="noStrike" baseline="0">
                  <a:solidFill>
                    <a:schemeClr val="bg1"/>
                  </a:solidFill>
                  <a:latin typeface="Calibri" panose="020F0502020204030204"/>
                </a:endParaRPr>
              </a:p>
            </cx:txPr>
            <cx:visibility seriesName="0" categoryName="1" value="0"/>
            <cx:dataLabel idx="30">
              <cx:txPr>
                <a:bodyPr spcFirstLastPara="1" vertOverflow="ellipsis" horzOverflow="overflow" wrap="square" lIns="38100" tIns="19050" rIns="38100" bIns="19050" anchor="ctr" anchorCtr="1">
                  <a:spAutoFit/>
                </a:bodyPr>
                <a:lstStyle/>
                <a:p>
                  <a:pPr algn="ctr" rtl="0">
                    <a:defRPr sz="700"/>
                  </a:pPr>
                  <a:r>
                    <a:rPr lang="en-US" sz="700" b="0" i="0" u="none" strike="noStrike" baseline="0">
                      <a:solidFill>
                        <a:sysClr val="window" lastClr="FFFFFF"/>
                      </a:solidFill>
                      <a:latin typeface="Calibri" panose="020F0502020204030204"/>
                    </a:rPr>
                    <a:t>Punta Chungo</a:t>
                  </a:r>
                </a:p>
              </cx:txPr>
              <cx:visibility seriesName="0" categoryName="1" value="0"/>
            </cx:dataLabel>
          </cx:dataLabels>
          <cx:dataId val="0"/>
          <cx:layoutPr>
            <cx:parentLabelLayout val="overlapping"/>
          </cx:layoutPr>
        </cx:series>
      </cx:plotAreaRegion>
    </cx:plotArea>
  </cx:chart>
  <cx:spPr>
    <a:noFill/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17">
  <cs:axisTitle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bg1">
          <a:lumMod val="65000"/>
        </a:schemeClr>
      </a:solidFill>
      <a:ln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lt1"/>
    </cs:fontRef>
    <cs:defRPr sz="900" b="1"/>
    <cs:bodyPr lIns="38100" tIns="19050" rIns="38100" bIns="19050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3DEBE-20AD-4045-B628-69307865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Ayala</dc:creator>
  <cp:keywords/>
  <dc:description/>
  <cp:lastModifiedBy>Gerardo Ayala</cp:lastModifiedBy>
  <cp:revision>49</cp:revision>
  <dcterms:created xsi:type="dcterms:W3CDTF">2018-11-14T05:57:00Z</dcterms:created>
  <dcterms:modified xsi:type="dcterms:W3CDTF">2018-11-14T09:14:00Z</dcterms:modified>
</cp:coreProperties>
</file>