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Plantilla Orientadoras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Presentar tema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-Saludar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-Tema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-Opinión rápida sobre el tema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   2. Preguntas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   1.¿Como ha sido la transición entre MEYA-MEFI?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   2. ¿Ha habido un avance en el desarrollo académico de los alumnos?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   3. ¿Disminuyó el interés de los alumnos?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        -¿De qué manera?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       -¿Que pudo causar?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  4. Sobre su materia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      -Perspectiva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   5. Sobre adaptación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       ¿Qué tan difícil es adaptarse?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       ¿MEYA O MEFI?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   6. El problema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         ¿Qué opina?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      ¿Alguna resolución?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 7. Solución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      -¿Es relevante?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     -¿Que debería ser importante tomar en cuenta?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Maestro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¿Cuántos correos por ámbitos escolares hacia los alumnos envía a la semana?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¿En qué ocasiones llega hacer demasiada útil el sistema de correos?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¿En promedio, cuántos alumnos responde a los correos que usted manda?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¿Porque cree que se debe este promedio?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¿Existe información importante que pasa desapercibida por los alumnos?¿De qué tipo?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¿Qué herramientas se le hace útil en los correos?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i w:val="1"/>
          <w:rtl w:val="0"/>
        </w:rPr>
        <w:t xml:space="preserve">Alumnos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¿Para obtener información de la escuela, qué herramientas usas, o que haces para obtenerla?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¿Qué importancia le das a tus correos escolares? ¿Porque?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¿Cuántas veces al día te llegan correos?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¿Qué promedio de los correos que utiliza son de tu interés?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