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288" w:lineRule="auto"/>
      </w:pPr>
      <w:r>
        <w:rPr>
          <w:rFonts w:ascii="Calibri" w:hAnsi="Calibri"/>
          <w:b/>
          <w:i w:val="0"/>
          <w:color w:val="F04C1C"/>
          <w:sz w:val="24"/>
        </w:rPr>
        <w:t>BETXICO SOPORTE</w:t>
      </w:r>
    </w:p>
    <w:p>
      <w:pPr>
        <w:spacing w:before="0" w:after="160" w:line="288" w:lineRule="auto"/>
      </w:pPr>
      <w:r>
        <w:rPr>
          <w:rFonts w:ascii="Calibri" w:hAnsi="Calibri"/>
          <w:b/>
          <w:i w:val="0"/>
          <w:color w:val="083058"/>
          <w:sz w:val="54"/>
        </w:rPr>
        <w:t>Manual maestro integrado de operación y respuestas</w:t>
      </w:r>
    </w:p>
    <w:p>
      <w:pPr>
        <w:spacing w:before="0" w:after="440" w:line="288" w:lineRule="auto"/>
      </w:pPr>
      <w:r>
        <w:rPr>
          <w:rFonts w:ascii="Calibri" w:hAnsi="Calibri"/>
          <w:b w:val="0"/>
          <w:i w:val="0"/>
          <w:color w:val="0D5B97"/>
          <w:sz w:val="30"/>
        </w:rPr>
        <w:t>Reglas oficiales, herramientas de evidencia, decisiones y 91 escenarios de atención</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PROPÓSITO</w:t>
            </w:r>
          </w:p>
          <w:p>
            <w:pPr>
              <w:spacing w:after="0" w:line="283" w:lineRule="auto"/>
            </w:pPr>
            <w:r>
              <w:rPr>
                <w:rFonts w:ascii="Calibri" w:hAnsi="Calibri"/>
                <w:b w:val="0"/>
                <w:i w:val="0"/>
                <w:color w:val="1F2D3D"/>
                <w:sz w:val="20"/>
              </w:rPr>
              <w:t>Definir cómo debe funcionar la atención humana y el orquestador de IA: qué consultar, cómo interpretar la evidencia, cuándo retroceder o cambiar de rama, qué puede redactarse y qué requiere revisión o autorización humana.</w:t>
            </w:r>
          </w:p>
        </w:tc>
      </w:tr>
    </w:tbl>
    <w:p>
      <w:pPr>
        <w:spacing w:after="20"/>
      </w:pPr>
    </w:p>
    <w:p>
      <w:pPr>
        <w:spacing w:before="0" w:after="20" w:line="288" w:lineRule="auto"/>
      </w:pPr>
      <w:r>
        <w:rPr>
          <w:rFonts w:ascii="Calibri" w:hAnsi="Calibri"/>
          <w:b/>
          <w:i w:val="0"/>
          <w:color w:val="5B6C7E"/>
          <w:sz w:val="19"/>
        </w:rPr>
        <w:t>Fuentes combinadas</w:t>
      </w:r>
    </w:p>
    <w:p>
      <w:pPr>
        <w:spacing w:before="0" w:after="200" w:line="288" w:lineRule="auto"/>
      </w:pPr>
      <w:r>
        <w:rPr>
          <w:rFonts w:ascii="Calibri" w:hAnsi="Calibri"/>
          <w:b w:val="0"/>
          <w:i w:val="0"/>
          <w:color w:val="1F2D3D"/>
          <w:sz w:val="21"/>
        </w:rPr>
        <w:t>Manual Maestro interno de casos + términos, reglas, promociones, privacidad y juego consciente publicados por Betxico.</w:t>
      </w:r>
    </w:p>
    <w:p>
      <w:pPr>
        <w:spacing w:before="0" w:after="120" w:line="288" w:lineRule="auto"/>
      </w:pPr>
      <w:r>
        <w:rPr>
          <w:rFonts w:ascii="Calibri" w:hAnsi="Calibri"/>
          <w:b w:val="0"/>
          <w:i/>
          <w:color w:val="5B6C7E"/>
          <w:sz w:val="19"/>
        </w:rPr>
        <w:t>Uso interno • Documento vivo • No reemplaza la fuente actual ni autoriza pagos, aprobaciones, bloqueos, cambios de identidad o publicaciones automáticas.</w:t>
      </w:r>
    </w:p>
    <w:p>
      <w:r>
        <w:br w:type="page"/>
      </w:r>
    </w:p>
    <w:p>
      <w:pPr>
        <w:pStyle w:val="Heading1"/>
        <w:keepNext/>
      </w:pPr>
      <w:r>
        <w:t>Contenido</w:t>
      </w:r>
    </w:p>
    <w:p>
      <w:pPr>
        <w:pStyle w:val="ListBullet"/>
        <w:spacing w:after="60" w:line="283" w:lineRule="auto"/>
      </w:pPr>
      <w:r>
        <w:rPr>
          <w:rFonts w:ascii="Calibri" w:hAnsi="Calibri"/>
          <w:b w:val="0"/>
          <w:i w:val="0"/>
          <w:color w:val="1F2D3D"/>
          <w:sz w:val="21"/>
        </w:rPr>
        <w:t>Parte I. Modelo de funcionamiento</w:t>
      </w:r>
    </w:p>
    <w:p>
      <w:pPr>
        <w:pStyle w:val="ListBullet"/>
        <w:spacing w:after="60" w:line="283" w:lineRule="auto"/>
      </w:pPr>
      <w:r>
        <w:rPr>
          <w:rFonts w:ascii="Calibri" w:hAnsi="Calibri"/>
          <w:b w:val="0"/>
          <w:i w:val="0"/>
          <w:color w:val="1F2D3D"/>
          <w:sz w:val="21"/>
        </w:rPr>
        <w:t>1. Principios y jerarquía de evidencia</w:t>
      </w:r>
    </w:p>
    <w:p>
      <w:pPr>
        <w:pStyle w:val="ListBullet"/>
        <w:spacing w:after="60" w:line="283" w:lineRule="auto"/>
      </w:pPr>
      <w:r>
        <w:rPr>
          <w:rFonts w:ascii="Calibri" w:hAnsi="Calibri"/>
          <w:b w:val="0"/>
          <w:i w:val="0"/>
          <w:color w:val="1F2D3D"/>
          <w:sz w:val="21"/>
        </w:rPr>
        <w:t>2. Flujo completo de una conversación</w:t>
      </w:r>
    </w:p>
    <w:p>
      <w:pPr>
        <w:pStyle w:val="ListBullet"/>
        <w:spacing w:after="60" w:line="283" w:lineRule="auto"/>
      </w:pPr>
      <w:r>
        <w:rPr>
          <w:rFonts w:ascii="Calibri" w:hAnsi="Calibri"/>
          <w:b w:val="0"/>
          <w:i w:val="0"/>
          <w:color w:val="1F2D3D"/>
          <w:sz w:val="21"/>
        </w:rPr>
        <w:t>3. Herramientas y límites</w:t>
      </w:r>
    </w:p>
    <w:p>
      <w:pPr>
        <w:pStyle w:val="ListBullet"/>
        <w:spacing w:after="60" w:line="283" w:lineRule="auto"/>
      </w:pPr>
      <w:r>
        <w:rPr>
          <w:rFonts w:ascii="Calibri" w:hAnsi="Calibri"/>
          <w:b w:val="0"/>
          <w:i w:val="0"/>
          <w:color w:val="1F2D3D"/>
          <w:sz w:val="21"/>
        </w:rPr>
        <w:t>4. Motor de decisión, ramas y correcciones</w:t>
      </w:r>
    </w:p>
    <w:p>
      <w:pPr>
        <w:pStyle w:val="ListBullet"/>
        <w:spacing w:after="60" w:line="283" w:lineRule="auto"/>
      </w:pPr>
      <w:r>
        <w:rPr>
          <w:rFonts w:ascii="Calibri" w:hAnsi="Calibri"/>
          <w:b w:val="0"/>
          <w:i w:val="0"/>
          <w:color w:val="1F2D3D"/>
          <w:sz w:val="21"/>
        </w:rPr>
        <w:t>5. Adjuntos, borradores y revisión humana</w:t>
      </w:r>
    </w:p>
    <w:p>
      <w:pPr>
        <w:pStyle w:val="ListBullet"/>
        <w:spacing w:after="60" w:line="283" w:lineRule="auto"/>
      </w:pPr>
      <w:r>
        <w:rPr>
          <w:rFonts w:ascii="Calibri" w:hAnsi="Calibri"/>
          <w:b w:val="0"/>
          <w:i w:val="0"/>
          <w:color w:val="1F2D3D"/>
          <w:sz w:val="21"/>
        </w:rPr>
        <w:t>Parte II. Casos operativos integrados</w:t>
      </w:r>
    </w:p>
    <w:p>
      <w:pPr>
        <w:pStyle w:val="ListBullet"/>
        <w:spacing w:after="60" w:line="283" w:lineRule="auto"/>
      </w:pPr>
      <w:r>
        <w:rPr>
          <w:rFonts w:ascii="Calibri" w:hAnsi="Calibri"/>
          <w:b w:val="0"/>
          <w:i w:val="0"/>
          <w:color w:val="1F2D3D"/>
          <w:sz w:val="21"/>
        </w:rPr>
        <w:t>6. Retiros (14 casos)</w:t>
      </w:r>
    </w:p>
    <w:p>
      <w:pPr>
        <w:pStyle w:val="ListBullet"/>
        <w:spacing w:after="60" w:line="283" w:lineRule="auto"/>
      </w:pPr>
      <w:r>
        <w:rPr>
          <w:rFonts w:ascii="Calibri" w:hAnsi="Calibri"/>
          <w:b w:val="0"/>
          <w:i w:val="0"/>
          <w:color w:val="1F2D3D"/>
          <w:sz w:val="21"/>
        </w:rPr>
        <w:t>7. Depósitos y conciliación (9 casos)</w:t>
      </w:r>
    </w:p>
    <w:p>
      <w:pPr>
        <w:pStyle w:val="ListBullet"/>
        <w:spacing w:after="60" w:line="283" w:lineRule="auto"/>
      </w:pPr>
      <w:r>
        <w:rPr>
          <w:rFonts w:ascii="Calibri" w:hAnsi="Calibri"/>
          <w:b w:val="0"/>
          <w:i w:val="0"/>
          <w:color w:val="1F2D3D"/>
          <w:sz w:val="21"/>
        </w:rPr>
        <w:t>8. Bonos y promociones (10 casos)</w:t>
      </w:r>
    </w:p>
    <w:p>
      <w:pPr>
        <w:pStyle w:val="ListBullet"/>
        <w:spacing w:after="60" w:line="283" w:lineRule="auto"/>
      </w:pPr>
      <w:r>
        <w:rPr>
          <w:rFonts w:ascii="Calibri" w:hAnsi="Calibri"/>
          <w:b w:val="0"/>
          <w:i w:val="0"/>
          <w:color w:val="1F2D3D"/>
          <w:sz w:val="21"/>
        </w:rPr>
        <w:t>9. KYC, identidad y documentos (8 casos)</w:t>
      </w:r>
    </w:p>
    <w:p>
      <w:pPr>
        <w:pStyle w:val="ListBullet"/>
        <w:spacing w:after="60" w:line="283" w:lineRule="auto"/>
      </w:pPr>
      <w:r>
        <w:rPr>
          <w:rFonts w:ascii="Calibri" w:hAnsi="Calibri"/>
          <w:b w:val="0"/>
          <w:i w:val="0"/>
          <w:color w:val="1F2D3D"/>
          <w:sz w:val="21"/>
        </w:rPr>
        <w:t>10. Doble cuenta, titularidad y DevWallet (8 casos)</w:t>
      </w:r>
    </w:p>
    <w:p>
      <w:pPr>
        <w:pStyle w:val="ListBullet"/>
        <w:spacing w:after="60" w:line="283" w:lineRule="auto"/>
      </w:pPr>
      <w:r>
        <w:rPr>
          <w:rFonts w:ascii="Calibri" w:hAnsi="Calibri"/>
          <w:b w:val="0"/>
          <w:i w:val="0"/>
          <w:color w:val="1F2D3D"/>
          <w:sz w:val="21"/>
        </w:rPr>
        <w:t>11. Casino, juegos y saldo (7 casos)</w:t>
      </w:r>
    </w:p>
    <w:p>
      <w:pPr>
        <w:pStyle w:val="ListBullet"/>
        <w:spacing w:after="60" w:line="283" w:lineRule="auto"/>
      </w:pPr>
      <w:r>
        <w:rPr>
          <w:rFonts w:ascii="Calibri" w:hAnsi="Calibri"/>
          <w:b w:val="0"/>
          <w:i w:val="0"/>
          <w:color w:val="1F2D3D"/>
          <w:sz w:val="21"/>
        </w:rPr>
        <w:t>12. Apuestas deportivas (4 casos)</w:t>
      </w:r>
    </w:p>
    <w:p>
      <w:pPr>
        <w:pStyle w:val="ListBullet"/>
        <w:spacing w:after="60" w:line="283" w:lineRule="auto"/>
      </w:pPr>
      <w:r>
        <w:rPr>
          <w:rFonts w:ascii="Calibri" w:hAnsi="Calibri"/>
          <w:b w:val="0"/>
          <w:i w:val="0"/>
          <w:color w:val="1F2D3D"/>
          <w:sz w:val="21"/>
        </w:rPr>
        <w:t>13. Cuenta, acceso y datos (4 casos)</w:t>
      </w:r>
    </w:p>
    <w:p>
      <w:pPr>
        <w:pStyle w:val="ListBullet"/>
        <w:spacing w:after="60" w:line="283" w:lineRule="auto"/>
      </w:pPr>
      <w:r>
        <w:rPr>
          <w:rFonts w:ascii="Calibri" w:hAnsi="Calibri"/>
          <w:b w:val="0"/>
          <w:i w:val="0"/>
          <w:color w:val="1F2D3D"/>
          <w:sz w:val="21"/>
        </w:rPr>
        <w:t>14. Cierre, bloqueo y juego responsable (4 casos)</w:t>
      </w:r>
    </w:p>
    <w:p>
      <w:pPr>
        <w:pStyle w:val="ListBullet"/>
        <w:spacing w:after="60" w:line="283" w:lineRule="auto"/>
      </w:pPr>
      <w:r>
        <w:rPr>
          <w:rFonts w:ascii="Calibri" w:hAnsi="Calibri"/>
          <w:b w:val="0"/>
          <w:i w:val="0"/>
          <w:color w:val="1F2D3D"/>
          <w:sz w:val="21"/>
        </w:rPr>
        <w:t>15. Reclamos y manejo de cliente molesto (5 casos)</w:t>
      </w:r>
    </w:p>
    <w:p>
      <w:pPr>
        <w:pStyle w:val="ListBullet"/>
        <w:spacing w:after="60" w:line="283" w:lineRule="auto"/>
      </w:pPr>
      <w:r>
        <w:rPr>
          <w:rFonts w:ascii="Calibri" w:hAnsi="Calibri"/>
          <w:b w:val="0"/>
          <w:i w:val="0"/>
          <w:color w:val="1F2D3D"/>
          <w:sz w:val="21"/>
        </w:rPr>
        <w:t>16. Seguimiento y mensajes generales (5 casos)</w:t>
      </w:r>
    </w:p>
    <w:p>
      <w:pPr>
        <w:pStyle w:val="ListBullet"/>
        <w:spacing w:after="60" w:line="283" w:lineRule="auto"/>
      </w:pPr>
      <w:r>
        <w:rPr>
          <w:rFonts w:ascii="Calibri" w:hAnsi="Calibri"/>
          <w:b w:val="0"/>
          <w:i w:val="0"/>
          <w:color w:val="1F2D3D"/>
          <w:sz w:val="21"/>
        </w:rPr>
        <w:t>17. Solicitud de evidencias (5 casos)</w:t>
      </w:r>
    </w:p>
    <w:p>
      <w:pPr>
        <w:pStyle w:val="ListBullet"/>
        <w:spacing w:after="60" w:line="283" w:lineRule="auto"/>
      </w:pPr>
      <w:r>
        <w:rPr>
          <w:rFonts w:ascii="Calibri" w:hAnsi="Calibri"/>
          <w:b w:val="0"/>
          <w:i w:val="0"/>
          <w:color w:val="1F2D3D"/>
          <w:sz w:val="21"/>
        </w:rPr>
        <w:t>18. Plantillas internas: Jira, Slack y notas (8 casos)</w:t>
      </w:r>
    </w:p>
    <w:p>
      <w:pPr>
        <w:pStyle w:val="ListBullet"/>
        <w:spacing w:after="60" w:line="283" w:lineRule="auto"/>
      </w:pPr>
      <w:r>
        <w:rPr>
          <w:rFonts w:ascii="Calibri" w:hAnsi="Calibri"/>
          <w:b w:val="0"/>
          <w:i w:val="0"/>
          <w:color w:val="1F2D3D"/>
          <w:sz w:val="21"/>
        </w:rPr>
        <w:t>Parte III. Controles transversales</w:t>
      </w:r>
    </w:p>
    <w:p>
      <w:pPr>
        <w:pStyle w:val="ListBullet"/>
        <w:spacing w:after="60" w:line="283" w:lineRule="auto"/>
      </w:pPr>
      <w:r>
        <w:rPr>
          <w:rFonts w:ascii="Calibri" w:hAnsi="Calibri"/>
          <w:b w:val="0"/>
          <w:i w:val="0"/>
          <w:color w:val="1F2D3D"/>
          <w:sz w:val="21"/>
        </w:rPr>
        <w:t>19. Matriz de escalamiento</w:t>
      </w:r>
    </w:p>
    <w:p>
      <w:pPr>
        <w:pStyle w:val="ListBullet"/>
        <w:spacing w:after="60" w:line="283" w:lineRule="auto"/>
      </w:pPr>
      <w:r>
        <w:rPr>
          <w:rFonts w:ascii="Calibri" w:hAnsi="Calibri"/>
          <w:b w:val="0"/>
          <w:i w:val="0"/>
          <w:color w:val="1F2D3D"/>
          <w:sz w:val="21"/>
        </w:rPr>
        <w:t>20. Errores prohibidos</w:t>
      </w:r>
    </w:p>
    <w:p>
      <w:pPr>
        <w:pStyle w:val="ListBullet"/>
        <w:spacing w:after="60" w:line="283" w:lineRule="auto"/>
      </w:pPr>
      <w:r>
        <w:rPr>
          <w:rFonts w:ascii="Calibri" w:hAnsi="Calibri"/>
          <w:b w:val="0"/>
          <w:i w:val="0"/>
          <w:color w:val="1F2D3D"/>
          <w:sz w:val="21"/>
        </w:rPr>
        <w:t>21. Checklist de cierre</w:t>
      </w:r>
    </w:p>
    <w:p>
      <w:pPr>
        <w:pStyle w:val="ListBullet"/>
        <w:spacing w:after="60" w:line="283" w:lineRule="auto"/>
      </w:pPr>
      <w:r>
        <w:rPr>
          <w:rFonts w:ascii="Calibri" w:hAnsi="Calibri"/>
          <w:b w:val="0"/>
          <w:i w:val="0"/>
          <w:color w:val="1F2D3D"/>
          <w:sz w:val="21"/>
        </w:rPr>
        <w:t>22. Variables y contradicciones vigentes</w:t>
      </w:r>
    </w:p>
    <w:p>
      <w:pPr>
        <w:pStyle w:val="ListBullet"/>
        <w:spacing w:after="60" w:line="283" w:lineRule="auto"/>
      </w:pPr>
      <w:r>
        <w:rPr>
          <w:rFonts w:ascii="Calibri" w:hAnsi="Calibri"/>
          <w:b w:val="0"/>
          <w:i w:val="0"/>
          <w:color w:val="1F2D3D"/>
          <w:sz w:val="21"/>
        </w:rPr>
        <w:t>23. Referencia deportiva esencial</w:t>
      </w:r>
    </w:p>
    <w:p>
      <w:pPr>
        <w:pStyle w:val="ListBullet"/>
        <w:spacing w:after="60" w:line="283" w:lineRule="auto"/>
      </w:pPr>
      <w:r>
        <w:rPr>
          <w:rFonts w:ascii="Calibri" w:hAnsi="Calibri"/>
          <w:b w:val="0"/>
          <w:i w:val="0"/>
          <w:color w:val="1F2D3D"/>
          <w:sz w:val="21"/>
        </w:rPr>
        <w:t>24. Registro de fuentes</w:t>
      </w:r>
    </w:p>
    <w:p>
      <w:r>
        <w:br w:type="page"/>
      </w:r>
    </w:p>
    <w:p>
      <w:pPr>
        <w:spacing w:before="0" w:after="60" w:line="288" w:lineRule="auto"/>
      </w:pPr>
      <w:r>
        <w:rPr>
          <w:rFonts w:ascii="Calibri" w:hAnsi="Calibri"/>
          <w:b/>
          <w:i w:val="0"/>
          <w:color w:val="F04C1C"/>
          <w:sz w:val="20"/>
        </w:rPr>
        <w:t>PARTE I</w:t>
      </w:r>
    </w:p>
    <w:p>
      <w:pPr>
        <w:pStyle w:val="Heading1"/>
        <w:keepNext/>
      </w:pPr>
      <w:r>
        <w:t>Modelo de funcionamiento</w:t>
      </w:r>
    </w:p>
    <w:p>
      <w:pPr>
        <w:pStyle w:val="Heading2"/>
        <w:keepNext/>
      </w:pPr>
      <w:r>
        <w:t>1. Principios y jerarquía de evidencia</w:t>
      </w:r>
    </w:p>
    <w:tbl>
      <w:tblPr>
        <w:tblStyle w:val="TableGrid"/>
        <w:tblW w:type="dxa" w:w="9360"/>
        <w:jc w:val="center"/>
        <w:tblLayout w:type="fixed"/>
        <w:tblLook w:firstColumn="1" w:firstRow="1" w:lastColumn="0" w:lastRow="0" w:noHBand="0" w:noVBand="1" w:val="04A0"/>
      </w:tblPr>
      <w:tblGrid>
        <w:gridCol w:w="1800"/>
        <w:gridCol w:w="3528"/>
        <w:gridCol w:w="4031"/>
      </w:tblGrid>
      <w:tr>
        <w:trPr>
          <w:tblHeader/>
          <w:cantSplit/>
        </w:trPr>
        <w:tc>
          <w:tcPr>
            <w:tcW w:type="dxa" w:w="1800"/>
            <w:shd w:fill="083058"/>
            <w:tcMar>
              <w:top w:w="100" w:type="dxa"/>
              <w:bottom w:w="100" w:type="dxa"/>
              <w:start w:w="130" w:type="dxa"/>
              <w:end w:w="130" w:type="dxa"/>
            </w:tcMar>
            <w:vAlign w:val="center"/>
          </w:tcPr>
          <w:p>
            <w:r>
              <w:rPr>
                <w:rFonts w:ascii="Calibri" w:hAnsi="Calibri"/>
                <w:b/>
                <w:i w:val="0"/>
                <w:color w:val="FFFFFF"/>
                <w:sz w:val="18"/>
              </w:rPr>
              <w:t>Nivel</w:t>
            </w:r>
          </w:p>
        </w:tc>
        <w:tc>
          <w:tcPr>
            <w:tcW w:type="dxa" w:w="3528"/>
            <w:shd w:fill="083058"/>
            <w:tcMar>
              <w:top w:w="100" w:type="dxa"/>
              <w:bottom w:w="100" w:type="dxa"/>
              <w:start w:w="130" w:type="dxa"/>
              <w:end w:w="130" w:type="dxa"/>
            </w:tcMar>
            <w:vAlign w:val="center"/>
          </w:tcPr>
          <w:p>
            <w:r>
              <w:rPr>
                <w:rFonts w:ascii="Calibri" w:hAnsi="Calibri"/>
                <w:b/>
                <w:i w:val="0"/>
                <w:color w:val="FFFFFF"/>
                <w:sz w:val="18"/>
              </w:rPr>
              <w:t>Uso</w:t>
            </w:r>
          </w:p>
        </w:tc>
        <w:tc>
          <w:tcPr>
            <w:tcW w:type="dxa" w:w="4031"/>
            <w:shd w:fill="083058"/>
            <w:tcMar>
              <w:top w:w="100" w:type="dxa"/>
              <w:bottom w:w="100" w:type="dxa"/>
              <w:start w:w="130" w:type="dxa"/>
              <w:end w:w="130" w:type="dxa"/>
            </w:tcMar>
            <w:vAlign w:val="center"/>
          </w:tcPr>
          <w:p>
            <w:r>
              <w:rPr>
                <w:rFonts w:ascii="Calibri" w:hAnsi="Calibri"/>
                <w:b/>
                <w:i w:val="0"/>
                <w:color w:val="FFFFFF"/>
                <w:sz w:val="18"/>
              </w:rPr>
              <w:t>Ejemplo</w:t>
            </w:r>
          </w:p>
        </w:tc>
      </w:tr>
      <w:tr>
        <w:trPr>
          <w:cantSplit/>
        </w:trPr>
        <w:tc>
          <w:tcPr>
            <w:tcW w:type="dxa" w:w="1800"/>
            <w:tcMar>
              <w:top w:w="100" w:type="dxa"/>
              <w:bottom w:w="100" w:type="dxa"/>
              <w:start w:w="130" w:type="dxa"/>
              <w:end w:w="130" w:type="dxa"/>
            </w:tcMar>
            <w:vAlign w:val="center"/>
          </w:tcPr>
          <w:p>
            <w:pPr>
              <w:spacing w:after="0" w:line="259" w:lineRule="auto"/>
            </w:pPr>
            <w:r>
              <w:rPr>
                <w:rFonts w:ascii="Calibri" w:hAnsi="Calibri"/>
                <w:b w:val="0"/>
                <w:i w:val="0"/>
                <w:color w:val="1F2D3D"/>
                <w:sz w:val="18"/>
              </w:rPr>
              <w:t>1. Evidencia actual</w:t>
            </w:r>
          </w:p>
        </w:tc>
        <w:tc>
          <w:tcPr>
            <w:tcW w:type="dxa" w:w="3528"/>
            <w:tcMar>
              <w:top w:w="100" w:type="dxa"/>
              <w:bottom w:w="100" w:type="dxa"/>
              <w:start w:w="130" w:type="dxa"/>
              <w:end w:w="130" w:type="dxa"/>
            </w:tcMar>
            <w:vAlign w:val="center"/>
          </w:tcPr>
          <w:p>
            <w:pPr>
              <w:spacing w:after="0" w:line="259" w:lineRule="auto"/>
            </w:pPr>
            <w:r>
              <w:rPr>
                <w:rFonts w:ascii="Calibri" w:hAnsi="Calibri"/>
                <w:b w:val="0"/>
                <w:i w:val="0"/>
                <w:color w:val="1F2D3D"/>
                <w:sz w:val="18"/>
              </w:rPr>
              <w:t>Determina qué ocurre en el caso concreto.</w:t>
            </w:r>
          </w:p>
        </w:tc>
        <w:tc>
          <w:tcPr>
            <w:tcW w:type="dxa" w:w="4031"/>
            <w:tcMar>
              <w:top w:w="100" w:type="dxa"/>
              <w:bottom w:w="100" w:type="dxa"/>
              <w:start w:w="130" w:type="dxa"/>
              <w:end w:w="130" w:type="dxa"/>
            </w:tcMar>
            <w:vAlign w:val="center"/>
          </w:tcPr>
          <w:p>
            <w:pPr>
              <w:spacing w:after="0" w:line="259" w:lineRule="auto"/>
            </w:pPr>
            <w:r>
              <w:rPr>
                <w:rFonts w:ascii="Calibri" w:hAnsi="Calibri"/>
                <w:b w:val="0"/>
                <w:i w:val="0"/>
                <w:color w:val="1F2D3D"/>
                <w:sz w:val="18"/>
              </w:rPr>
              <w:t>Atena, KYC, Paybridge, Jira, Lista 7, proveedor y conversación actual.</w:t>
            </w:r>
          </w:p>
        </w:tc>
      </w:tr>
      <w:tr>
        <w:trPr>
          <w:cantSplit/>
        </w:trPr>
        <w:tc>
          <w:tcPr>
            <w:tcW w:type="dxa" w:w="180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2. Regla oficial</w:t>
            </w:r>
          </w:p>
        </w:tc>
        <w:tc>
          <w:tcPr>
            <w:tcW w:type="dxa" w:w="352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Explica lo permitido, requisitos y límites generales.</w:t>
            </w:r>
          </w:p>
        </w:tc>
        <w:tc>
          <w:tcPr>
            <w:tcW w:type="dxa" w:w="4031"/>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Términos, reglas deportivas, promociones y privacidad.</w:t>
            </w:r>
          </w:p>
        </w:tc>
      </w:tr>
      <w:tr>
        <w:trPr>
          <w:cantSplit/>
        </w:trPr>
        <w:tc>
          <w:tcPr>
            <w:tcW w:type="dxa" w:w="1800"/>
            <w:tcMar>
              <w:top w:w="100" w:type="dxa"/>
              <w:bottom w:w="100" w:type="dxa"/>
              <w:start w:w="130" w:type="dxa"/>
              <w:end w:w="130" w:type="dxa"/>
            </w:tcMar>
            <w:vAlign w:val="center"/>
          </w:tcPr>
          <w:p>
            <w:pPr>
              <w:spacing w:after="0" w:line="259" w:lineRule="auto"/>
            </w:pPr>
            <w:r>
              <w:rPr>
                <w:rFonts w:ascii="Calibri" w:hAnsi="Calibri"/>
                <w:b w:val="0"/>
                <w:i w:val="0"/>
                <w:color w:val="1F2D3D"/>
                <w:sz w:val="18"/>
              </w:rPr>
              <w:t>3. Guía operativa</w:t>
            </w:r>
          </w:p>
        </w:tc>
        <w:tc>
          <w:tcPr>
            <w:tcW w:type="dxa" w:w="3528"/>
            <w:tcMar>
              <w:top w:w="100" w:type="dxa"/>
              <w:bottom w:w="100" w:type="dxa"/>
              <w:start w:w="130" w:type="dxa"/>
              <w:end w:w="130" w:type="dxa"/>
            </w:tcMar>
            <w:vAlign w:val="center"/>
          </w:tcPr>
          <w:p>
            <w:pPr>
              <w:spacing w:after="0" w:line="259" w:lineRule="auto"/>
            </w:pPr>
            <w:r>
              <w:rPr>
                <w:rFonts w:ascii="Calibri" w:hAnsi="Calibri"/>
                <w:b w:val="0"/>
                <w:i w:val="0"/>
                <w:color w:val="1F2D3D"/>
                <w:sz w:val="18"/>
              </w:rPr>
              <w:t>Define cómo revisar, redactar y escalar.</w:t>
            </w:r>
          </w:p>
        </w:tc>
        <w:tc>
          <w:tcPr>
            <w:tcW w:type="dxa" w:w="4031"/>
            <w:tcMar>
              <w:top w:w="100" w:type="dxa"/>
              <w:bottom w:w="100" w:type="dxa"/>
              <w:start w:w="130" w:type="dxa"/>
              <w:end w:w="130" w:type="dxa"/>
            </w:tcMar>
            <w:vAlign w:val="center"/>
          </w:tcPr>
          <w:p>
            <w:pPr>
              <w:spacing w:after="0" w:line="259" w:lineRule="auto"/>
            </w:pPr>
            <w:r>
              <w:rPr>
                <w:rFonts w:ascii="Calibri" w:hAnsi="Calibri"/>
                <w:b w:val="0"/>
                <w:i w:val="0"/>
                <w:color w:val="1F2D3D"/>
                <w:sz w:val="18"/>
              </w:rPr>
              <w:t>Escenarios y plantillas de este manual.</w:t>
            </w:r>
          </w:p>
        </w:tc>
      </w:tr>
      <w:tr>
        <w:trPr>
          <w:cantSplit/>
        </w:trPr>
        <w:tc>
          <w:tcPr>
            <w:tcW w:type="dxa" w:w="180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4. Borrador de IA</w:t>
            </w:r>
          </w:p>
        </w:tc>
        <w:tc>
          <w:tcPr>
            <w:tcW w:type="dxa" w:w="352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Interpreta evidencia y prepara texto.</w:t>
            </w:r>
          </w:p>
        </w:tc>
        <w:tc>
          <w:tcPr>
            <w:tcW w:type="dxa" w:w="4031"/>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Nunca sustituye la revisión humana ni una autorización.</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878"/>
            <w:shd w:fill="FFF0E8"/>
            <w:tcMar>
              <w:top w:w="140" w:type="dxa"/>
              <w:bottom w:w="140" w:type="dxa"/>
              <w:start w:w="180" w:type="dxa"/>
              <w:end w:w="180" w:type="dxa"/>
            </w:tcMar>
          </w:tcPr>
          <w:p>
            <w:pPr>
              <w:spacing w:after="60"/>
            </w:pPr>
            <w:r>
              <w:rPr>
                <w:rFonts w:ascii="Calibri" w:hAnsi="Calibri"/>
                <w:b/>
                <w:i w:val="0"/>
                <w:color w:val="F04C1C"/>
                <w:sz w:val="21"/>
              </w:rPr>
              <w:t>REGLA CENTRAL</w:t>
            </w:r>
          </w:p>
          <w:p>
            <w:pPr>
              <w:spacing w:after="0" w:line="283" w:lineRule="auto"/>
            </w:pPr>
            <w:r>
              <w:rPr>
                <w:rFonts w:ascii="Calibri" w:hAnsi="Calibri"/>
                <w:b w:val="0"/>
                <w:i w:val="0"/>
                <w:color w:val="1F2D3D"/>
                <w:sz w:val="20"/>
              </w:rPr>
              <w:t>Una política explica qué puede ocurrir; no demuestra qué ocurrió. Una fuente caída no significa 'sin registros'. Un ticket cerrado no demuestra que una acción se ejecutó. La respuesta debe indicar qué evidencia respalda cada conclusión.</w:t>
            </w:r>
          </w:p>
        </w:tc>
      </w:tr>
    </w:tbl>
    <w:p>
      <w:pPr>
        <w:spacing w:after="20"/>
      </w:pPr>
    </w:p>
    <w:p>
      <w:pPr>
        <w:pStyle w:val="ListBullet"/>
        <w:spacing w:after="60" w:line="283" w:lineRule="auto"/>
      </w:pPr>
      <w:r>
        <w:rPr>
          <w:rFonts w:ascii="Calibri" w:hAnsi="Calibri"/>
          <w:b w:val="0"/>
          <w:i w:val="0"/>
          <w:color w:val="1F2D3D"/>
          <w:sz w:val="21"/>
        </w:rPr>
        <w:t>Diferenciar siempre: disponible, no encontrado, no disponible y vencido.</w:t>
      </w:r>
    </w:p>
    <w:p>
      <w:pPr>
        <w:pStyle w:val="ListBullet"/>
        <w:spacing w:after="60" w:line="283" w:lineRule="auto"/>
      </w:pPr>
      <w:r>
        <w:rPr>
          <w:rFonts w:ascii="Calibri" w:hAnsi="Calibri"/>
          <w:b w:val="0"/>
          <w:i w:val="0"/>
          <w:color w:val="1F2D3D"/>
          <w:sz w:val="21"/>
        </w:rPr>
        <w:t>Mantener separadas las evidencias de Atena, KYC, Paybridge, Jira, Lista 7 y proveedor.</w:t>
      </w:r>
    </w:p>
    <w:p>
      <w:pPr>
        <w:pStyle w:val="ListBullet"/>
        <w:spacing w:after="60" w:line="283" w:lineRule="auto"/>
      </w:pPr>
      <w:r>
        <w:rPr>
          <w:rFonts w:ascii="Calibri" w:hAnsi="Calibri"/>
          <w:b w:val="0"/>
          <w:i w:val="0"/>
          <w:color w:val="1F2D3D"/>
          <w:sz w:val="21"/>
        </w:rPr>
        <w:t>Las acciones sensibles quedan bajo revisión humana, aunque la IA tenga alta confianza.</w:t>
      </w:r>
    </w:p>
    <w:p>
      <w:pPr>
        <w:pStyle w:val="ListBullet"/>
        <w:spacing w:after="60" w:line="283" w:lineRule="auto"/>
      </w:pPr>
      <w:r>
        <w:rPr>
          <w:rFonts w:ascii="Calibri" w:hAnsi="Calibri"/>
          <w:b w:val="0"/>
          <w:i w:val="0"/>
          <w:color w:val="1F2D3D"/>
          <w:sz w:val="21"/>
        </w:rPr>
        <w:t>Las macros son borradores reutilizables; deben adaptarse a los hechos comprobados.</w:t>
      </w:r>
    </w:p>
    <w:p>
      <w:pPr>
        <w:pStyle w:val="Heading2"/>
        <w:keepNext/>
      </w:pPr>
      <w:r>
        <w:t>2. Flujo completo de una conversación</w:t>
      </w:r>
    </w:p>
    <w:p>
      <w:pPr>
        <w:spacing w:after="140" w:line="283" w:lineRule="auto"/>
        <w:ind w:left="115"/>
      </w:pPr>
      <w:r>
        <w:rPr>
          <w:rFonts w:ascii="Calibri" w:hAnsi="Calibri"/>
          <w:b/>
          <w:i w:val="0"/>
          <w:color w:val="0D5B97"/>
          <w:sz w:val="21"/>
        </w:rPr>
        <w:t xml:space="preserve">1. Recibir. </w:t>
      </w:r>
      <w:r>
        <w:rPr>
          <w:rFonts w:ascii="Calibri" w:hAnsi="Calibri"/>
          <w:b w:val="0"/>
          <w:i w:val="0"/>
          <w:color w:val="1F2D3D"/>
          <w:sz w:val="21"/>
        </w:rPr>
        <w:t>Enviar saludo y esperar que el cliente describa el problema antes de asumir la intención.</w:t>
      </w:r>
    </w:p>
    <w:p>
      <w:pPr>
        <w:spacing w:after="140" w:line="283" w:lineRule="auto"/>
        <w:ind w:left="115"/>
      </w:pPr>
      <w:r>
        <w:rPr>
          <w:rFonts w:ascii="Calibri" w:hAnsi="Calibri"/>
          <w:b/>
          <w:i w:val="0"/>
          <w:color w:val="0D5B97"/>
          <w:sz w:val="21"/>
        </w:rPr>
        <w:t xml:space="preserve">2. Identificar. </w:t>
      </w:r>
      <w:r>
        <w:rPr>
          <w:rFonts w:ascii="Calibri" w:hAnsi="Calibri"/>
          <w:b w:val="0"/>
          <w:i w:val="0"/>
          <w:color w:val="1F2D3D"/>
          <w:sz w:val="21"/>
        </w:rPr>
        <w:t>Detectar intención, correo, cuenta, movimiento, fecha, monto y cualquier dato indispensable.</w:t>
      </w:r>
    </w:p>
    <w:p>
      <w:pPr>
        <w:spacing w:after="140" w:line="283" w:lineRule="auto"/>
        <w:ind w:left="115"/>
      </w:pPr>
      <w:r>
        <w:rPr>
          <w:rFonts w:ascii="Calibri" w:hAnsi="Calibri"/>
          <w:b/>
          <w:i w:val="0"/>
          <w:color w:val="0D5B97"/>
          <w:sz w:val="21"/>
        </w:rPr>
        <w:t xml:space="preserve">3. Confirmar identidad de consulta. </w:t>
      </w:r>
      <w:r>
        <w:rPr>
          <w:rFonts w:ascii="Calibri" w:hAnsi="Calibri"/>
          <w:b w:val="0"/>
          <w:i w:val="0"/>
          <w:color w:val="1F2D3D"/>
          <w:sz w:val="21"/>
        </w:rPr>
        <w:t>Usar el correo detectado o escrito por el cliente. Si cambia el correo, invalidar resultados anteriores y volver a consultar.</w:t>
      </w:r>
    </w:p>
    <w:p>
      <w:pPr>
        <w:spacing w:after="140" w:line="283" w:lineRule="auto"/>
        <w:ind w:left="115"/>
      </w:pPr>
      <w:r>
        <w:rPr>
          <w:rFonts w:ascii="Calibri" w:hAnsi="Calibri"/>
          <w:b/>
          <w:i w:val="0"/>
          <w:color w:val="0D5B97"/>
          <w:sz w:val="21"/>
        </w:rPr>
        <w:t xml:space="preserve">4. Planear herramientas. </w:t>
      </w:r>
      <w:r>
        <w:rPr>
          <w:rFonts w:ascii="Calibri" w:hAnsi="Calibri"/>
          <w:b w:val="0"/>
          <w:i w:val="0"/>
          <w:color w:val="1F2D3D"/>
          <w:sz w:val="21"/>
        </w:rPr>
        <w:t>Seleccionar las fuentes por intención; en retiros pueden consultarse Atena y KYC en paralelo, manteniendo resultados separados.</w:t>
      </w:r>
    </w:p>
    <w:p>
      <w:pPr>
        <w:spacing w:after="140" w:line="283" w:lineRule="auto"/>
        <w:ind w:left="115"/>
      </w:pPr>
      <w:r>
        <w:rPr>
          <w:rFonts w:ascii="Calibri" w:hAnsi="Calibri"/>
          <w:b/>
          <w:i w:val="0"/>
          <w:color w:val="0D5B97"/>
          <w:sz w:val="21"/>
        </w:rPr>
        <w:t xml:space="preserve">5. Consultar. </w:t>
      </w:r>
      <w:r>
        <w:rPr>
          <w:rFonts w:ascii="Calibri" w:hAnsi="Calibri"/>
          <w:b w:val="0"/>
          <w:i w:val="0"/>
          <w:color w:val="1F2D3D"/>
          <w:sz w:val="21"/>
        </w:rPr>
        <w:t>Ejecutar solo lectura. Mostrar en la interfaz qué fuente está pendiente, disponible, no encontrada, vencida o no disponible.</w:t>
      </w:r>
    </w:p>
    <w:p>
      <w:pPr>
        <w:spacing w:after="140" w:line="283" w:lineRule="auto"/>
        <w:ind w:left="115"/>
      </w:pPr>
      <w:r>
        <w:rPr>
          <w:rFonts w:ascii="Calibri" w:hAnsi="Calibri"/>
          <w:b/>
          <w:i w:val="0"/>
          <w:color w:val="0D5B97"/>
          <w:sz w:val="21"/>
        </w:rPr>
        <w:t xml:space="preserve">6. Interpretar. </w:t>
      </w:r>
      <w:r>
        <w:rPr>
          <w:rFonts w:ascii="Calibri" w:hAnsi="Calibri"/>
          <w:b w:val="0"/>
          <w:i w:val="0"/>
          <w:color w:val="1F2D3D"/>
          <w:sz w:val="21"/>
        </w:rPr>
        <w:t>Extraer hechos, equivalencias semánticas y faltantes. Por ejemplo, 'identificación', 'INE' y 'documento oficial' pueden pertenecer a la misma necesidad documental.</w:t>
      </w:r>
    </w:p>
    <w:p>
      <w:pPr>
        <w:spacing w:after="140" w:line="283" w:lineRule="auto"/>
        <w:ind w:left="115"/>
      </w:pPr>
      <w:r>
        <w:rPr>
          <w:rFonts w:ascii="Calibri" w:hAnsi="Calibri"/>
          <w:b/>
          <w:i w:val="0"/>
          <w:color w:val="0D5B97"/>
          <w:sz w:val="21"/>
        </w:rPr>
        <w:t xml:space="preserve">7. Elegir rama. </w:t>
      </w:r>
      <w:r>
        <w:rPr>
          <w:rFonts w:ascii="Calibri" w:hAnsi="Calibri"/>
          <w:b w:val="0"/>
          <w:i w:val="0"/>
          <w:color w:val="1F2D3D"/>
          <w:sz w:val="21"/>
        </w:rPr>
        <w:t>Aplicar la ruta correspondiente: pedir evidencia, explicar estado, crear borrador, escalar o esperar una confirmación humana.</w:t>
      </w:r>
    </w:p>
    <w:p>
      <w:pPr>
        <w:spacing w:after="140" w:line="283" w:lineRule="auto"/>
        <w:ind w:left="115"/>
      </w:pPr>
      <w:r>
        <w:rPr>
          <w:rFonts w:ascii="Calibri" w:hAnsi="Calibri"/>
          <w:b/>
          <w:i w:val="0"/>
          <w:color w:val="0D5B97"/>
          <w:sz w:val="21"/>
        </w:rPr>
        <w:t xml:space="preserve">8. Conversar. </w:t>
      </w:r>
      <w:r>
        <w:rPr>
          <w:rFonts w:ascii="Calibri" w:hAnsi="Calibri"/>
          <w:b w:val="0"/>
          <w:i w:val="0"/>
          <w:color w:val="1F2D3D"/>
          <w:sz w:val="21"/>
        </w:rPr>
        <w:t>Responder de forma natural, explicar qué se revisó y solicitar únicamente el siguiente dato necesario.</w:t>
      </w:r>
    </w:p>
    <w:p>
      <w:pPr>
        <w:spacing w:after="140" w:line="283" w:lineRule="auto"/>
        <w:ind w:left="115"/>
      </w:pPr>
      <w:r>
        <w:rPr>
          <w:rFonts w:ascii="Calibri" w:hAnsi="Calibri"/>
          <w:b/>
          <w:i w:val="0"/>
          <w:color w:val="0D5B97"/>
          <w:sz w:val="21"/>
        </w:rPr>
        <w:t xml:space="preserve">9. Retroceder. </w:t>
      </w:r>
      <w:r>
        <w:rPr>
          <w:rFonts w:ascii="Calibri" w:hAnsi="Calibri"/>
          <w:b w:val="0"/>
          <w:i w:val="0"/>
          <w:color w:val="1F2D3D"/>
          <w:sz w:val="21"/>
        </w:rPr>
        <w:t>Si el cliente corrige correo, monto, fecha o problema, regresar al punto afectado y recalcular la ruta sin conservar conclusiones inválidas.</w:t>
      </w:r>
    </w:p>
    <w:p>
      <w:pPr>
        <w:spacing w:after="140" w:line="283" w:lineRule="auto"/>
        <w:ind w:left="115"/>
      </w:pPr>
      <w:r>
        <w:rPr>
          <w:rFonts w:ascii="Calibri" w:hAnsi="Calibri"/>
          <w:b/>
          <w:i w:val="0"/>
          <w:color w:val="0D5B97"/>
          <w:sz w:val="21"/>
        </w:rPr>
        <w:t xml:space="preserve">10. Preparar acción. </w:t>
      </w:r>
      <w:r>
        <w:rPr>
          <w:rFonts w:ascii="Calibri" w:hAnsi="Calibri"/>
          <w:b w:val="0"/>
          <w:i w:val="0"/>
          <w:color w:val="1F2D3D"/>
          <w:sz w:val="21"/>
        </w:rPr>
        <w:t>Redactar respuesta, nota o solicitud. No ejecutar cambios sensibles ni publicaciones automáticas.</w:t>
      </w:r>
    </w:p>
    <w:p>
      <w:pPr>
        <w:spacing w:after="140" w:line="283" w:lineRule="auto"/>
        <w:ind w:left="115"/>
      </w:pPr>
      <w:r>
        <w:rPr>
          <w:rFonts w:ascii="Calibri" w:hAnsi="Calibri"/>
          <w:b/>
          <w:i w:val="0"/>
          <w:color w:val="0D5B97"/>
          <w:sz w:val="21"/>
        </w:rPr>
        <w:t xml:space="preserve">11. Revisar. </w:t>
      </w:r>
      <w:r>
        <w:rPr>
          <w:rFonts w:ascii="Calibri" w:hAnsi="Calibri"/>
          <w:b w:val="0"/>
          <w:i w:val="0"/>
          <w:color w:val="1F2D3D"/>
          <w:sz w:val="21"/>
        </w:rPr>
        <w:t>Un agente valida evidencia, redacción, destinatario y alcance. Puede aprobar, editar o rechazar.</w:t>
      </w:r>
    </w:p>
    <w:p>
      <w:pPr>
        <w:spacing w:after="140" w:line="283" w:lineRule="auto"/>
        <w:ind w:left="115"/>
      </w:pPr>
      <w:r>
        <w:rPr>
          <w:rFonts w:ascii="Calibri" w:hAnsi="Calibri"/>
          <w:b/>
          <w:i w:val="0"/>
          <w:color w:val="0D5B97"/>
          <w:sz w:val="21"/>
        </w:rPr>
        <w:t xml:space="preserve">12. Ejecutar y verificar. </w:t>
      </w:r>
      <w:r>
        <w:rPr>
          <w:rFonts w:ascii="Calibri" w:hAnsi="Calibri"/>
          <w:b w:val="0"/>
          <w:i w:val="0"/>
          <w:color w:val="1F2D3D"/>
          <w:sz w:val="21"/>
        </w:rPr>
        <w:t>Cuando exista autorización, ejecutar la acción permitida y comprobar su resultado real; no confundir solicitud con ejecución.</w:t>
      </w:r>
    </w:p>
    <w:p>
      <w:pPr>
        <w:spacing w:after="140" w:line="283" w:lineRule="auto"/>
        <w:ind w:left="115"/>
      </w:pPr>
      <w:r>
        <w:rPr>
          <w:rFonts w:ascii="Calibri" w:hAnsi="Calibri"/>
          <w:b/>
          <w:i w:val="0"/>
          <w:color w:val="0D5B97"/>
          <w:sz w:val="21"/>
        </w:rPr>
        <w:t xml:space="preserve">13. Responder y registrar. </w:t>
      </w:r>
      <w:r>
        <w:rPr>
          <w:rFonts w:ascii="Calibri" w:hAnsi="Calibri"/>
          <w:b w:val="0"/>
          <w:i w:val="0"/>
          <w:color w:val="1F2D3D"/>
          <w:sz w:val="21"/>
        </w:rPr>
        <w:t>Enviar la respuesta aprobada, dejar trazabilidad de fuentes, hallazgo, acción y siguiente paso.</w:t>
      </w:r>
    </w:p>
    <w:p>
      <w:pPr>
        <w:pStyle w:val="Heading2"/>
        <w:keepNext/>
      </w:pPr>
      <w:r>
        <w:t>3. Herramientas y límites</w:t>
      </w:r>
    </w:p>
    <w:tbl>
      <w:tblPr>
        <w:tblStyle w:val="TableGrid"/>
        <w:tblW w:type="dxa" w:w="9360"/>
        <w:jc w:val="center"/>
        <w:tblLayout w:type="fixed"/>
        <w:tblLook w:firstColumn="1" w:firstRow="1" w:lastColumn="0" w:lastRow="0" w:noHBand="0" w:noVBand="1" w:val="04A0"/>
      </w:tblPr>
      <w:tblGrid>
        <w:gridCol w:w="1655"/>
        <w:gridCol w:w="4320"/>
        <w:gridCol w:w="3384"/>
      </w:tblGrid>
      <w:tr>
        <w:trPr>
          <w:tblHeader/>
          <w:cantSplit/>
        </w:trPr>
        <w:tc>
          <w:tcPr>
            <w:tcW w:type="dxa" w:w="1655"/>
            <w:shd w:fill="083058"/>
            <w:tcMar>
              <w:top w:w="100" w:type="dxa"/>
              <w:bottom w:w="100" w:type="dxa"/>
              <w:start w:w="130" w:type="dxa"/>
              <w:end w:w="130" w:type="dxa"/>
            </w:tcMar>
            <w:vAlign w:val="center"/>
          </w:tcPr>
          <w:p>
            <w:r>
              <w:rPr>
                <w:rFonts w:ascii="Calibri" w:hAnsi="Calibri"/>
                <w:b/>
                <w:i w:val="0"/>
                <w:color w:val="FFFFFF"/>
                <w:sz w:val="18"/>
              </w:rPr>
              <w:t>Herramienta</w:t>
            </w:r>
          </w:p>
        </w:tc>
        <w:tc>
          <w:tcPr>
            <w:tcW w:type="dxa" w:w="4320"/>
            <w:shd w:fill="083058"/>
            <w:tcMar>
              <w:top w:w="100" w:type="dxa"/>
              <w:bottom w:w="100" w:type="dxa"/>
              <w:start w:w="130" w:type="dxa"/>
              <w:end w:w="130" w:type="dxa"/>
            </w:tcMar>
            <w:vAlign w:val="center"/>
          </w:tcPr>
          <w:p>
            <w:r>
              <w:rPr>
                <w:rFonts w:ascii="Calibri" w:hAnsi="Calibri"/>
                <w:b/>
                <w:i w:val="0"/>
                <w:color w:val="FFFFFF"/>
                <w:sz w:val="18"/>
              </w:rPr>
              <w:t>Consulta</w:t>
            </w:r>
          </w:p>
        </w:tc>
        <w:tc>
          <w:tcPr>
            <w:tcW w:type="dxa" w:w="3384"/>
            <w:shd w:fill="083058"/>
            <w:tcMar>
              <w:top w:w="100" w:type="dxa"/>
              <w:bottom w:w="100" w:type="dxa"/>
              <w:start w:w="130" w:type="dxa"/>
              <w:end w:w="130" w:type="dxa"/>
            </w:tcMar>
            <w:vAlign w:val="center"/>
          </w:tcPr>
          <w:p>
            <w:r>
              <w:rPr>
                <w:rFonts w:ascii="Calibri" w:hAnsi="Calibri"/>
                <w:b/>
                <w:i w:val="0"/>
                <w:color w:val="FFFFFF"/>
                <w:sz w:val="18"/>
              </w:rPr>
              <w:t>No autoriza</w:t>
            </w:r>
          </w:p>
        </w:tc>
      </w:tr>
      <w:tr>
        <w:trPr>
          <w:cantSplit/>
        </w:trPr>
        <w:tc>
          <w:tcPr>
            <w:tcW w:type="dxa" w:w="1655"/>
            <w:tcMar>
              <w:top w:w="100" w:type="dxa"/>
              <w:bottom w:w="100" w:type="dxa"/>
              <w:start w:w="130" w:type="dxa"/>
              <w:end w:w="130" w:type="dxa"/>
            </w:tcMar>
            <w:vAlign w:val="center"/>
          </w:tcPr>
          <w:p>
            <w:pPr>
              <w:spacing w:after="0" w:line="259" w:lineRule="auto"/>
            </w:pPr>
            <w:r>
              <w:rPr>
                <w:rFonts w:ascii="Calibri" w:hAnsi="Calibri"/>
                <w:b w:val="0"/>
                <w:i w:val="0"/>
                <w:color w:val="1F2D3D"/>
                <w:sz w:val="18"/>
              </w:rPr>
              <w:t>LiveChat</w:t>
            </w:r>
          </w:p>
        </w:tc>
        <w:tc>
          <w:tcPr>
            <w:tcW w:type="dxa" w:w="4320"/>
            <w:tcMar>
              <w:top w:w="100" w:type="dxa"/>
              <w:bottom w:w="100" w:type="dxa"/>
              <w:start w:w="130" w:type="dxa"/>
              <w:end w:w="130" w:type="dxa"/>
            </w:tcMar>
            <w:vAlign w:val="center"/>
          </w:tcPr>
          <w:p>
            <w:pPr>
              <w:spacing w:after="0" w:line="259" w:lineRule="auto"/>
            </w:pPr>
            <w:r>
              <w:rPr>
                <w:rFonts w:ascii="Calibri" w:hAnsi="Calibri"/>
                <w:b w:val="0"/>
                <w:i w:val="0"/>
                <w:color w:val="1F2D3D"/>
                <w:sz w:val="18"/>
              </w:rPr>
              <w:t>Conversación, correo, contexto y adjuntos del caso.</w:t>
            </w:r>
          </w:p>
        </w:tc>
        <w:tc>
          <w:tcPr>
            <w:tcW w:type="dxa" w:w="3384"/>
            <w:tcMar>
              <w:top w:w="100" w:type="dxa"/>
              <w:bottom w:w="100" w:type="dxa"/>
              <w:start w:w="130" w:type="dxa"/>
              <w:end w:w="130" w:type="dxa"/>
            </w:tcMar>
            <w:vAlign w:val="center"/>
          </w:tcPr>
          <w:p>
            <w:pPr>
              <w:spacing w:after="0" w:line="259" w:lineRule="auto"/>
            </w:pPr>
            <w:r>
              <w:rPr>
                <w:rFonts w:ascii="Calibri" w:hAnsi="Calibri"/>
                <w:b w:val="0"/>
                <w:i w:val="0"/>
                <w:color w:val="1F2D3D"/>
                <w:sz w:val="18"/>
              </w:rPr>
              <w:t>Inferir identidad sin validación ni revelar datos de otra cuenta.</w:t>
            </w:r>
          </w:p>
        </w:tc>
      </w:tr>
      <w:tr>
        <w:trPr>
          <w:cantSplit/>
        </w:trPr>
        <w:tc>
          <w:tcPr>
            <w:tcW w:type="dxa" w:w="1655"/>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Atena</w:t>
            </w:r>
          </w:p>
        </w:tc>
        <w:tc>
          <w:tcPr>
            <w:tcW w:type="dxa" w:w="43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Cuenta, saldo, retiros, depósitos y movimientos operativos.</w:t>
            </w:r>
          </w:p>
        </w:tc>
        <w:tc>
          <w:tcPr>
            <w:tcW w:type="dxa" w:w="3384"/>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Aprobar, pagar, cancelar o modificar movimientos.</w:t>
            </w:r>
          </w:p>
        </w:tc>
      </w:tr>
      <w:tr>
        <w:trPr>
          <w:cantSplit/>
        </w:trPr>
        <w:tc>
          <w:tcPr>
            <w:tcW w:type="dxa" w:w="1655"/>
            <w:tcMar>
              <w:top w:w="100" w:type="dxa"/>
              <w:bottom w:w="100" w:type="dxa"/>
              <w:start w:w="130" w:type="dxa"/>
              <w:end w:w="130" w:type="dxa"/>
            </w:tcMar>
            <w:vAlign w:val="center"/>
          </w:tcPr>
          <w:p>
            <w:pPr>
              <w:spacing w:after="0" w:line="259" w:lineRule="auto"/>
            </w:pPr>
            <w:r>
              <w:rPr>
                <w:rFonts w:ascii="Calibri" w:hAnsi="Calibri"/>
                <w:b w:val="0"/>
                <w:i w:val="0"/>
                <w:color w:val="1F2D3D"/>
                <w:sz w:val="18"/>
              </w:rPr>
              <w:t>KYC</w:t>
            </w:r>
          </w:p>
        </w:tc>
        <w:tc>
          <w:tcPr>
            <w:tcW w:type="dxa" w:w="4320"/>
            <w:tcMar>
              <w:top w:w="100" w:type="dxa"/>
              <w:bottom w:w="100" w:type="dxa"/>
              <w:start w:w="130" w:type="dxa"/>
              <w:end w:w="130" w:type="dxa"/>
            </w:tcMar>
            <w:vAlign w:val="center"/>
          </w:tcPr>
          <w:p>
            <w:pPr>
              <w:spacing w:after="0" w:line="259" w:lineRule="auto"/>
            </w:pPr>
            <w:r>
              <w:rPr>
                <w:rFonts w:ascii="Calibri" w:hAnsi="Calibri"/>
                <w:b w:val="0"/>
                <w:i w:val="0"/>
                <w:color w:val="1F2D3D"/>
                <w:sz w:val="18"/>
              </w:rPr>
              <w:t>Usuarios KYC y Verificaciones; estado y faltantes documentales.</w:t>
            </w:r>
          </w:p>
        </w:tc>
        <w:tc>
          <w:tcPr>
            <w:tcW w:type="dxa" w:w="3384"/>
            <w:tcMar>
              <w:top w:w="100" w:type="dxa"/>
              <w:bottom w:w="100" w:type="dxa"/>
              <w:start w:w="130" w:type="dxa"/>
              <w:end w:w="130" w:type="dxa"/>
            </w:tcMar>
            <w:vAlign w:val="center"/>
          </w:tcPr>
          <w:p>
            <w:pPr>
              <w:spacing w:after="0" w:line="259" w:lineRule="auto"/>
            </w:pPr>
            <w:r>
              <w:rPr>
                <w:rFonts w:ascii="Calibri" w:hAnsi="Calibri"/>
                <w:b w:val="0"/>
                <w:i w:val="0"/>
                <w:color w:val="1F2D3D"/>
                <w:sz w:val="18"/>
              </w:rPr>
              <w:t>Aprobar identidad, modificar datos o exponer documentos.</w:t>
            </w:r>
          </w:p>
        </w:tc>
      </w:tr>
      <w:tr>
        <w:trPr>
          <w:cantSplit/>
        </w:trPr>
        <w:tc>
          <w:tcPr>
            <w:tcW w:type="dxa" w:w="1655"/>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Paybridge</w:t>
            </w:r>
          </w:p>
        </w:tc>
        <w:tc>
          <w:tcPr>
            <w:tcW w:type="dxa" w:w="43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Transferencias o pagos cuando el flujo financiero lo requiera.</w:t>
            </w:r>
          </w:p>
        </w:tc>
        <w:tc>
          <w:tcPr>
            <w:tcW w:type="dxa" w:w="3384"/>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Tratarlo como KYC o asumir que una transferencia fue acreditada.</w:t>
            </w:r>
          </w:p>
        </w:tc>
      </w:tr>
      <w:tr>
        <w:trPr>
          <w:cantSplit/>
        </w:trPr>
        <w:tc>
          <w:tcPr>
            <w:tcW w:type="dxa" w:w="1655"/>
            <w:tcMar>
              <w:top w:w="100" w:type="dxa"/>
              <w:bottom w:w="100" w:type="dxa"/>
              <w:start w:w="130" w:type="dxa"/>
              <w:end w:w="130" w:type="dxa"/>
            </w:tcMar>
            <w:vAlign w:val="center"/>
          </w:tcPr>
          <w:p>
            <w:pPr>
              <w:spacing w:after="0" w:line="259" w:lineRule="auto"/>
            </w:pPr>
            <w:r>
              <w:rPr>
                <w:rFonts w:ascii="Calibri" w:hAnsi="Calibri"/>
                <w:b w:val="0"/>
                <w:i w:val="0"/>
                <w:color w:val="1F2D3D"/>
                <w:sz w:val="18"/>
              </w:rPr>
              <w:t>Jira</w:t>
            </w:r>
          </w:p>
        </w:tc>
        <w:tc>
          <w:tcPr>
            <w:tcW w:type="dxa" w:w="4320"/>
            <w:tcMar>
              <w:top w:w="100" w:type="dxa"/>
              <w:bottom w:w="100" w:type="dxa"/>
              <w:start w:w="130" w:type="dxa"/>
              <w:end w:w="130" w:type="dxa"/>
            </w:tcMar>
            <w:vAlign w:val="center"/>
          </w:tcPr>
          <w:p>
            <w:pPr>
              <w:spacing w:after="0" w:line="259" w:lineRule="auto"/>
            </w:pPr>
            <w:r>
              <w:rPr>
                <w:rFonts w:ascii="Calibri" w:hAnsi="Calibri"/>
                <w:b w:val="0"/>
                <w:i w:val="0"/>
                <w:color w:val="1F2D3D"/>
                <w:sz w:val="18"/>
              </w:rPr>
              <w:t>Tickets, antecedentes, estado y comentarios autorizados.</w:t>
            </w:r>
          </w:p>
        </w:tc>
        <w:tc>
          <w:tcPr>
            <w:tcW w:type="dxa" w:w="3384"/>
            <w:tcMar>
              <w:top w:w="100" w:type="dxa"/>
              <w:bottom w:w="100" w:type="dxa"/>
              <w:start w:w="130" w:type="dxa"/>
              <w:end w:w="130" w:type="dxa"/>
            </w:tcMar>
            <w:vAlign w:val="center"/>
          </w:tcPr>
          <w:p>
            <w:pPr>
              <w:spacing w:after="0" w:line="259" w:lineRule="auto"/>
            </w:pPr>
            <w:r>
              <w:rPr>
                <w:rFonts w:ascii="Calibri" w:hAnsi="Calibri"/>
                <w:b w:val="0"/>
                <w:i w:val="0"/>
                <w:color w:val="1F2D3D"/>
                <w:sz w:val="18"/>
              </w:rPr>
              <w:t>Concluir que el dinero llegó solo porque el ticket cerró.</w:t>
            </w:r>
          </w:p>
        </w:tc>
      </w:tr>
      <w:tr>
        <w:trPr>
          <w:cantSplit/>
        </w:trPr>
        <w:tc>
          <w:tcPr>
            <w:tcW w:type="dxa" w:w="1655"/>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Slack Lista 7</w:t>
            </w:r>
          </w:p>
        </w:tc>
        <w:tc>
          <w:tcPr>
            <w:tcW w:type="dxa" w:w="43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Registro actual de retiros retenidos y motivo operativo.</w:t>
            </w:r>
          </w:p>
        </w:tc>
        <w:tc>
          <w:tcPr>
            <w:tcW w:type="dxa" w:w="3384"/>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Aprobar el retiro o usar listas antiguas para este flujo.</w:t>
            </w:r>
          </w:p>
        </w:tc>
      </w:tr>
      <w:tr>
        <w:trPr>
          <w:cantSplit/>
        </w:trPr>
        <w:tc>
          <w:tcPr>
            <w:tcW w:type="dxa" w:w="1655"/>
            <w:tcMar>
              <w:top w:w="100" w:type="dxa"/>
              <w:bottom w:w="100" w:type="dxa"/>
              <w:start w:w="130" w:type="dxa"/>
              <w:end w:w="130" w:type="dxa"/>
            </w:tcMar>
            <w:vAlign w:val="center"/>
          </w:tcPr>
          <w:p>
            <w:pPr>
              <w:spacing w:after="0" w:line="259" w:lineRule="auto"/>
            </w:pPr>
            <w:r>
              <w:rPr>
                <w:rFonts w:ascii="Calibri" w:hAnsi="Calibri"/>
                <w:b w:val="0"/>
                <w:i w:val="0"/>
                <w:color w:val="1F2D3D"/>
                <w:sz w:val="18"/>
              </w:rPr>
              <w:t>Proveedor</w:t>
            </w:r>
          </w:p>
        </w:tc>
        <w:tc>
          <w:tcPr>
            <w:tcW w:type="dxa" w:w="4320"/>
            <w:tcMar>
              <w:top w:w="100" w:type="dxa"/>
              <w:bottom w:w="100" w:type="dxa"/>
              <w:start w:w="130" w:type="dxa"/>
              <w:end w:w="130" w:type="dxa"/>
            </w:tcMar>
            <w:vAlign w:val="center"/>
          </w:tcPr>
          <w:p>
            <w:pPr>
              <w:spacing w:after="0" w:line="259" w:lineRule="auto"/>
            </w:pPr>
            <w:r>
              <w:rPr>
                <w:rFonts w:ascii="Calibri" w:hAnsi="Calibri"/>
                <w:b w:val="0"/>
                <w:i w:val="0"/>
                <w:color w:val="1F2D3D"/>
                <w:sz w:val="18"/>
              </w:rPr>
              <w:t>Validación de juego, ronda, premio o liquidación técnica.</w:t>
            </w:r>
          </w:p>
        </w:tc>
        <w:tc>
          <w:tcPr>
            <w:tcW w:type="dxa" w:w="3384"/>
            <w:tcMar>
              <w:top w:w="100" w:type="dxa"/>
              <w:bottom w:w="100" w:type="dxa"/>
              <w:start w:w="130" w:type="dxa"/>
              <w:end w:w="130" w:type="dxa"/>
            </w:tcMar>
            <w:vAlign w:val="center"/>
          </w:tcPr>
          <w:p>
            <w:pPr>
              <w:spacing w:after="0" w:line="259" w:lineRule="auto"/>
            </w:pPr>
            <w:r>
              <w:rPr>
                <w:rFonts w:ascii="Calibri" w:hAnsi="Calibri"/>
                <w:b w:val="0"/>
                <w:i w:val="0"/>
                <w:color w:val="1F2D3D"/>
                <w:sz w:val="18"/>
              </w:rPr>
              <w:t>Abonar o confirmar premio antes de la respuesta técnica.</w:t>
            </w:r>
          </w:p>
        </w:tc>
      </w:tr>
      <w:tr>
        <w:trPr>
          <w:cantSplit/>
        </w:trPr>
        <w:tc>
          <w:tcPr>
            <w:tcW w:type="dxa" w:w="1655"/>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IA</w:t>
            </w:r>
          </w:p>
        </w:tc>
        <w:tc>
          <w:tcPr>
            <w:tcW w:type="dxa" w:w="43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Clasificar, resumir, relacionar evidencia y redactar borradores.</w:t>
            </w:r>
          </w:p>
        </w:tc>
        <w:tc>
          <w:tcPr>
            <w:tcW w:type="dxa" w:w="3384"/>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Enviar respuesta final o ejecutar acciones sensibles sin revisión.</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878"/>
            <w:shd w:fill="EEEAFB"/>
            <w:tcMar>
              <w:top w:w="140" w:type="dxa"/>
              <w:bottom w:w="140" w:type="dxa"/>
              <w:start w:w="180" w:type="dxa"/>
              <w:end w:w="180" w:type="dxa"/>
            </w:tcMar>
          </w:tcPr>
          <w:p>
            <w:pPr>
              <w:spacing w:after="60"/>
            </w:pPr>
            <w:r>
              <w:rPr>
                <w:rFonts w:ascii="Calibri" w:hAnsi="Calibri"/>
                <w:b/>
                <w:i w:val="0"/>
                <w:color w:val="5B40B2"/>
                <w:sz w:val="21"/>
              </w:rPr>
              <w:t>PAYBRIDGE NO ES KYC</w:t>
            </w:r>
          </w:p>
          <w:p>
            <w:pPr>
              <w:spacing w:after="0" w:line="283" w:lineRule="auto"/>
            </w:pPr>
            <w:r>
              <w:rPr>
                <w:rFonts w:ascii="Calibri" w:hAnsi="Calibri"/>
                <w:b w:val="0"/>
                <w:i w:val="0"/>
                <w:color w:val="1F2D3D"/>
                <w:sz w:val="20"/>
              </w:rPr>
              <w:t>Paybridge se usa para evidencia de transferencias o pagos. KYC se usa para identidad y verificación documental. Sus resultados pueden relacionarse dentro de un caso, pero nunca deben mezclarse como una sola fuente.</w:t>
            </w:r>
          </w:p>
        </w:tc>
      </w:tr>
    </w:tbl>
    <w:p>
      <w:pPr>
        <w:spacing w:after="20"/>
      </w:pPr>
    </w:p>
    <w:p>
      <w:pPr>
        <w:pStyle w:val="Heading2"/>
        <w:keepNext/>
      </w:pPr>
      <w:r>
        <w:t>4. Motor de decisión, ramas y correcciones</w:t>
      </w:r>
    </w:p>
    <w:tbl>
      <w:tblPr>
        <w:tblStyle w:val="TableGrid"/>
        <w:tblW w:type="dxa" w:w="9360"/>
        <w:jc w:val="center"/>
        <w:tblLayout w:type="fixed"/>
        <w:tblLook w:firstColumn="1" w:firstRow="1" w:lastColumn="0" w:lastRow="0" w:noHBand="0" w:noVBand="1" w:val="04A0"/>
      </w:tblPr>
      <w:tblGrid>
        <w:gridCol w:w="3240"/>
        <w:gridCol w:w="6120"/>
      </w:tblGrid>
      <w:tr>
        <w:trPr>
          <w:tblHeader/>
          <w:cantSplit/>
        </w:trPr>
        <w:tc>
          <w:tcPr>
            <w:tcW w:type="dxa" w:w="3240"/>
            <w:shd w:fill="083058"/>
            <w:tcMar>
              <w:top w:w="100" w:type="dxa"/>
              <w:bottom w:w="100" w:type="dxa"/>
              <w:start w:w="130" w:type="dxa"/>
              <w:end w:w="130" w:type="dxa"/>
            </w:tcMar>
            <w:vAlign w:val="center"/>
          </w:tcPr>
          <w:p>
            <w:r>
              <w:rPr>
                <w:rFonts w:ascii="Calibri" w:hAnsi="Calibri"/>
                <w:b/>
                <w:i w:val="0"/>
                <w:color w:val="FFFFFF"/>
                <w:sz w:val="18"/>
              </w:rPr>
              <w:t>Condición</w:t>
            </w:r>
          </w:p>
        </w:tc>
        <w:tc>
          <w:tcPr>
            <w:tcW w:type="dxa" w:w="6120"/>
            <w:shd w:fill="083058"/>
            <w:tcMar>
              <w:top w:w="100" w:type="dxa"/>
              <w:bottom w:w="100" w:type="dxa"/>
              <w:start w:w="130" w:type="dxa"/>
              <w:end w:w="130" w:type="dxa"/>
            </w:tcMar>
            <w:vAlign w:val="center"/>
          </w:tcPr>
          <w:p>
            <w:r>
              <w:rPr>
                <w:rFonts w:ascii="Calibri" w:hAnsi="Calibri"/>
                <w:b/>
                <w:i w:val="0"/>
                <w:color w:val="FFFFFF"/>
                <w:sz w:val="18"/>
              </w:rPr>
              <w:t>Decisión</w:t>
            </w:r>
          </w:p>
        </w:tc>
      </w:tr>
      <w:tr>
        <w:trPr>
          <w:cantSplit/>
        </w:trPr>
        <w:tc>
          <w:tcPr>
            <w:tcW w:type="dxa" w:w="3240"/>
            <w:tcMar>
              <w:top w:w="100" w:type="dxa"/>
              <w:bottom w:w="100" w:type="dxa"/>
              <w:start w:w="130" w:type="dxa"/>
              <w:end w:w="130" w:type="dxa"/>
            </w:tcMar>
            <w:vAlign w:val="center"/>
          </w:tcPr>
          <w:p>
            <w:pPr>
              <w:spacing w:after="0" w:line="259" w:lineRule="auto"/>
            </w:pPr>
            <w:r>
              <w:rPr>
                <w:rFonts w:ascii="Calibri" w:hAnsi="Calibri"/>
                <w:b w:val="0"/>
                <w:i w:val="0"/>
                <w:color w:val="1F2D3D"/>
                <w:sz w:val="18"/>
              </w:rPr>
              <w:t>La fuente devuelve evidencia actual</w:t>
            </w:r>
          </w:p>
        </w:tc>
        <w:tc>
          <w:tcPr>
            <w:tcW w:type="dxa" w:w="6120"/>
            <w:tcMar>
              <w:top w:w="100" w:type="dxa"/>
              <w:bottom w:w="100" w:type="dxa"/>
              <w:start w:w="130" w:type="dxa"/>
              <w:end w:w="130" w:type="dxa"/>
            </w:tcMar>
            <w:vAlign w:val="center"/>
          </w:tcPr>
          <w:p>
            <w:pPr>
              <w:spacing w:after="0" w:line="259" w:lineRule="auto"/>
            </w:pPr>
            <w:r>
              <w:rPr>
                <w:rFonts w:ascii="Calibri" w:hAnsi="Calibri"/>
                <w:b w:val="0"/>
                <w:i w:val="0"/>
                <w:color w:val="1F2D3D"/>
                <w:sz w:val="18"/>
              </w:rPr>
              <w:t>Usar solo los campos relevantes, citar la fuente y continuar la rama.</w:t>
            </w:r>
          </w:p>
        </w:tc>
      </w:tr>
      <w:tr>
        <w:trPr>
          <w:cantSplit/>
        </w:trPr>
        <w:tc>
          <w:tcPr>
            <w:tcW w:type="dxa" w:w="324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No hay coincidencia exacta</w:t>
            </w:r>
          </w:p>
        </w:tc>
        <w:tc>
          <w:tcPr>
            <w:tcW w:type="dxa" w:w="61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Marcar no encontrado; consultar otras fuentes o pedir el identificador correcto.</w:t>
            </w:r>
          </w:p>
        </w:tc>
      </w:tr>
      <w:tr>
        <w:trPr>
          <w:cantSplit/>
        </w:trPr>
        <w:tc>
          <w:tcPr>
            <w:tcW w:type="dxa" w:w="3240"/>
            <w:tcMar>
              <w:top w:w="100" w:type="dxa"/>
              <w:bottom w:w="100" w:type="dxa"/>
              <w:start w:w="130" w:type="dxa"/>
              <w:end w:w="130" w:type="dxa"/>
            </w:tcMar>
            <w:vAlign w:val="center"/>
          </w:tcPr>
          <w:p>
            <w:pPr>
              <w:spacing w:after="0" w:line="259" w:lineRule="auto"/>
            </w:pPr>
            <w:r>
              <w:rPr>
                <w:rFonts w:ascii="Calibri" w:hAnsi="Calibri"/>
                <w:b w:val="0"/>
                <w:i w:val="0"/>
                <w:color w:val="1F2D3D"/>
                <w:sz w:val="18"/>
              </w:rPr>
              <w:t>La sesión o conector falla</w:t>
            </w:r>
          </w:p>
        </w:tc>
        <w:tc>
          <w:tcPr>
            <w:tcW w:type="dxa" w:w="6120"/>
            <w:tcMar>
              <w:top w:w="100" w:type="dxa"/>
              <w:bottom w:w="100" w:type="dxa"/>
              <w:start w:w="130" w:type="dxa"/>
              <w:end w:w="130" w:type="dxa"/>
            </w:tcMar>
            <w:vAlign w:val="center"/>
          </w:tcPr>
          <w:p>
            <w:pPr>
              <w:spacing w:after="0" w:line="259" w:lineRule="auto"/>
            </w:pPr>
            <w:r>
              <w:rPr>
                <w:rFonts w:ascii="Calibri" w:hAnsi="Calibri"/>
                <w:b w:val="0"/>
                <w:i w:val="0"/>
                <w:color w:val="1F2D3D"/>
                <w:sz w:val="18"/>
              </w:rPr>
              <w:t>Marcar no disponible; nunca convertir el error en ausencia de datos.</w:t>
            </w:r>
          </w:p>
        </w:tc>
      </w:tr>
      <w:tr>
        <w:trPr>
          <w:cantSplit/>
        </w:trPr>
        <w:tc>
          <w:tcPr>
            <w:tcW w:type="dxa" w:w="324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El resultado venció</w:t>
            </w:r>
          </w:p>
        </w:tc>
        <w:tc>
          <w:tcPr>
            <w:tcW w:type="dxa" w:w="61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Marcar vencido y volver a consultar antes de una conclusión sensible.</w:t>
            </w:r>
          </w:p>
        </w:tc>
      </w:tr>
      <w:tr>
        <w:trPr>
          <w:cantSplit/>
        </w:trPr>
        <w:tc>
          <w:tcPr>
            <w:tcW w:type="dxa" w:w="3240"/>
            <w:tcMar>
              <w:top w:w="100" w:type="dxa"/>
              <w:bottom w:w="100" w:type="dxa"/>
              <w:start w:w="130" w:type="dxa"/>
              <w:end w:w="130" w:type="dxa"/>
            </w:tcMar>
            <w:vAlign w:val="center"/>
          </w:tcPr>
          <w:p>
            <w:pPr>
              <w:spacing w:after="0" w:line="259" w:lineRule="auto"/>
            </w:pPr>
            <w:r>
              <w:rPr>
                <w:rFonts w:ascii="Calibri" w:hAnsi="Calibri"/>
                <w:b w:val="0"/>
                <w:i w:val="0"/>
                <w:color w:val="1F2D3D"/>
                <w:sz w:val="18"/>
              </w:rPr>
              <w:t>Dos fuentes se contradicen</w:t>
            </w:r>
          </w:p>
        </w:tc>
        <w:tc>
          <w:tcPr>
            <w:tcW w:type="dxa" w:w="6120"/>
            <w:tcMar>
              <w:top w:w="100" w:type="dxa"/>
              <w:bottom w:w="100" w:type="dxa"/>
              <w:start w:w="130" w:type="dxa"/>
              <w:end w:w="130" w:type="dxa"/>
            </w:tcMar>
            <w:vAlign w:val="center"/>
          </w:tcPr>
          <w:p>
            <w:pPr>
              <w:spacing w:after="0" w:line="259" w:lineRule="auto"/>
            </w:pPr>
            <w:r>
              <w:rPr>
                <w:rFonts w:ascii="Calibri" w:hAnsi="Calibri"/>
                <w:b w:val="0"/>
                <w:i w:val="0"/>
                <w:color w:val="1F2D3D"/>
                <w:sz w:val="18"/>
              </w:rPr>
              <w:t>Mostrar ambas, abstenerse de resolver autónomamente y escalar.</w:t>
            </w:r>
          </w:p>
        </w:tc>
      </w:tr>
      <w:tr>
        <w:trPr>
          <w:cantSplit/>
        </w:trPr>
        <w:tc>
          <w:tcPr>
            <w:tcW w:type="dxa" w:w="324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Falta un documento</w:t>
            </w:r>
          </w:p>
        </w:tc>
        <w:tc>
          <w:tcPr>
            <w:tcW w:type="dxa" w:w="61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Pedir solo ese documento por el canal autorizado y esperar.</w:t>
            </w:r>
          </w:p>
        </w:tc>
      </w:tr>
      <w:tr>
        <w:trPr>
          <w:cantSplit/>
        </w:trPr>
        <w:tc>
          <w:tcPr>
            <w:tcW w:type="dxa" w:w="3240"/>
            <w:tcMar>
              <w:top w:w="100" w:type="dxa"/>
              <w:bottom w:w="100" w:type="dxa"/>
              <w:start w:w="130" w:type="dxa"/>
              <w:end w:w="130" w:type="dxa"/>
            </w:tcMar>
            <w:vAlign w:val="center"/>
          </w:tcPr>
          <w:p>
            <w:pPr>
              <w:spacing w:after="0" w:line="259" w:lineRule="auto"/>
            </w:pPr>
            <w:r>
              <w:rPr>
                <w:rFonts w:ascii="Calibri" w:hAnsi="Calibri"/>
                <w:b w:val="0"/>
                <w:i w:val="0"/>
                <w:color w:val="1F2D3D"/>
                <w:sz w:val="18"/>
              </w:rPr>
              <w:t>El agente confirma que actualizó KYC</w:t>
            </w:r>
          </w:p>
        </w:tc>
        <w:tc>
          <w:tcPr>
            <w:tcW w:type="dxa" w:w="6120"/>
            <w:tcMar>
              <w:top w:w="100" w:type="dxa"/>
              <w:bottom w:w="100" w:type="dxa"/>
              <w:start w:w="130" w:type="dxa"/>
              <w:end w:w="130" w:type="dxa"/>
            </w:tcMar>
            <w:vAlign w:val="center"/>
          </w:tcPr>
          <w:p>
            <w:pPr>
              <w:spacing w:after="0" w:line="259" w:lineRule="auto"/>
            </w:pPr>
            <w:r>
              <w:rPr>
                <w:rFonts w:ascii="Calibri" w:hAnsi="Calibri"/>
                <w:b w:val="0"/>
                <w:i w:val="0"/>
                <w:color w:val="1F2D3D"/>
                <w:sz w:val="18"/>
              </w:rPr>
              <w:t>Volver a consultar KYC; si la evidencia confirma el cambio, preparar el siguiente borrador.</w:t>
            </w:r>
          </w:p>
        </w:tc>
      </w:tr>
      <w:tr>
        <w:trPr>
          <w:cantSplit/>
        </w:trPr>
        <w:tc>
          <w:tcPr>
            <w:tcW w:type="dxa" w:w="324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El cliente corrige el correo</w:t>
            </w:r>
          </w:p>
        </w:tc>
        <w:tc>
          <w:tcPr>
            <w:tcW w:type="dxa" w:w="61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Descartar evidencia asociada al correo anterior y reiniciar las consultas dependientes.</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878"/>
            <w:shd w:fill="EAF5ED"/>
            <w:tcMar>
              <w:top w:w="140" w:type="dxa"/>
              <w:bottom w:w="140" w:type="dxa"/>
              <w:start w:w="180" w:type="dxa"/>
              <w:end w:w="180" w:type="dxa"/>
            </w:tcMar>
          </w:tcPr>
          <w:p>
            <w:pPr>
              <w:spacing w:after="60"/>
            </w:pPr>
            <w:r>
              <w:rPr>
                <w:rFonts w:ascii="Calibri" w:hAnsi="Calibri"/>
                <w:b/>
                <w:i w:val="0"/>
                <w:color w:val="268049"/>
                <w:sz w:val="21"/>
              </w:rPr>
              <w:t>LENGUAJE SEMÁNTICO</w:t>
            </w:r>
          </w:p>
          <w:p>
            <w:pPr>
              <w:spacing w:after="0" w:line="283" w:lineRule="auto"/>
            </w:pPr>
            <w:r>
              <w:rPr>
                <w:rFonts w:ascii="Calibri" w:hAnsi="Calibri"/>
                <w:b w:val="0"/>
                <w:i w:val="0"/>
                <w:color w:val="1F2D3D"/>
                <w:sz w:val="20"/>
              </w:rPr>
              <w:t>El motor no debe depender de una frase exacta. Debe reconocer equivalencias y contexto, pero toda inferencia debe enlazarse con evidencia: INE, identificación oficial y documento pueden representar la misma necesidad; 'falta selfie e INE' implica pedir ambos, no declarar ausencia de información.</w:t>
            </w:r>
          </w:p>
        </w:tc>
      </w:tr>
    </w:tbl>
    <w:p>
      <w:pPr>
        <w:spacing w:after="20"/>
      </w:pPr>
    </w:p>
    <w:p>
      <w:pPr>
        <w:pStyle w:val="Heading2"/>
        <w:keepNext/>
      </w:pPr>
      <w:r>
        <w:t>5. Adjuntos, borradores y revisión humana</w:t>
      </w:r>
    </w:p>
    <w:p>
      <w:pPr>
        <w:pStyle w:val="ListBullet"/>
        <w:spacing w:after="60" w:line="283" w:lineRule="auto"/>
      </w:pPr>
      <w:r>
        <w:rPr>
          <w:rFonts w:ascii="Calibri" w:hAnsi="Calibri"/>
          <w:b w:val="0"/>
          <w:i w:val="0"/>
          <w:color w:val="1F2D3D"/>
          <w:sz w:val="21"/>
        </w:rPr>
        <w:t>Los adjuntos permanecen en la interfaz de revisión humana. No enviar imágenes de INE, selfie, URLs firmadas, CURP completo, biometría o datos bancarios completos a un modelo externo.</w:t>
      </w:r>
    </w:p>
    <w:p>
      <w:pPr>
        <w:pStyle w:val="ListBullet"/>
        <w:spacing w:after="60" w:line="283" w:lineRule="auto"/>
      </w:pPr>
      <w:r>
        <w:rPr>
          <w:rFonts w:ascii="Calibri" w:hAnsi="Calibri"/>
          <w:b w:val="0"/>
          <w:i w:val="0"/>
          <w:color w:val="1F2D3D"/>
          <w:sz w:val="21"/>
        </w:rPr>
        <w:t>La IA puede describir que existe evidencia recibida, pero no validar autenticidad documental ni aprobar KYC.</w:t>
      </w:r>
    </w:p>
    <w:p>
      <w:pPr>
        <w:pStyle w:val="ListBullet"/>
        <w:spacing w:after="60" w:line="283" w:lineRule="auto"/>
      </w:pPr>
      <w:r>
        <w:rPr>
          <w:rFonts w:ascii="Calibri" w:hAnsi="Calibri"/>
          <w:b w:val="0"/>
          <w:i w:val="0"/>
          <w:color w:val="1F2D3D"/>
          <w:sz w:val="21"/>
        </w:rPr>
        <w:t>Todo borrador debe separar hechos confirmados, inferencias, datos faltantes y siguiente acción.</w:t>
      </w:r>
    </w:p>
    <w:p>
      <w:pPr>
        <w:pStyle w:val="ListBullet"/>
        <w:spacing w:after="60" w:line="283" w:lineRule="auto"/>
      </w:pPr>
      <w:r>
        <w:rPr>
          <w:rFonts w:ascii="Calibri" w:hAnsi="Calibri"/>
          <w:b w:val="0"/>
          <w:i w:val="0"/>
          <w:color w:val="1F2D3D"/>
          <w:sz w:val="21"/>
        </w:rPr>
        <w:t>Antes de enviar, el agente confirma destinatario, correo del caso, fuentes frescas, tono y que no exista una promesa no autorizada.</w:t>
      </w:r>
    </w:p>
    <w:p>
      <w:pPr>
        <w:pStyle w:val="ListBullet"/>
        <w:spacing w:after="60" w:line="283" w:lineRule="auto"/>
      </w:pPr>
      <w:r>
        <w:rPr>
          <w:rFonts w:ascii="Calibri" w:hAnsi="Calibri"/>
          <w:b w:val="0"/>
          <w:i w:val="0"/>
          <w:color w:val="1F2D3D"/>
          <w:sz w:val="21"/>
        </w:rPr>
        <w:t>Antes de cerrar, verificar que cualquier pago, devolución, comentario, publicación o cambio realmente ocurrió y quedó registrado.</w:t>
      </w:r>
    </w:p>
    <w:p>
      <w:r>
        <w:br w:type="page"/>
      </w:r>
    </w:p>
    <w:p>
      <w:pPr>
        <w:spacing w:before="0" w:after="60" w:line="288" w:lineRule="auto"/>
      </w:pPr>
      <w:r>
        <w:rPr>
          <w:rFonts w:ascii="Calibri" w:hAnsi="Calibri"/>
          <w:b/>
          <w:i w:val="0"/>
          <w:color w:val="F04C1C"/>
          <w:sz w:val="20"/>
        </w:rPr>
        <w:t>PARTE II</w:t>
      </w:r>
    </w:p>
    <w:p>
      <w:pPr>
        <w:spacing w:before="0" w:after="320" w:line="288" w:lineRule="auto"/>
      </w:pPr>
      <w:r>
        <w:rPr>
          <w:rFonts w:ascii="Calibri" w:hAnsi="Calibri"/>
          <w:b/>
          <w:i w:val="0"/>
          <w:color w:val="083058"/>
          <w:sz w:val="40"/>
        </w:rPr>
        <w:t>Casos operativos integrados</w:t>
      </w:r>
    </w:p>
    <w:p>
      <w:pPr>
        <w:pStyle w:val="Heading1"/>
        <w:keepNext/>
      </w:pPr>
      <w:r>
        <w:t>6. Retiros</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Consultar Atena para retiro más reciente, fecha, monto y estado. Si está retenido, consultar Jira y Slack Lista 7 para el motivo; KYC solo cuando la evidencia apunte a documentación. Un estado interno 'pagado' o un ticket cerrado no demuestra que el banco ya acreditó el dinero. Debe verificarse el resultado financiero. Los términos publican un retiro SPEI gratuito por día y $3.50 MXN desde el segundo retiro del mismo día. Los límites y la redacción del periodo de 30 días son variables y requieren confirmación. [F1] No existe un plazo general único para todos los retiros. Nunca prometer aprobación, hora o fecha sin evidencia actual. [F1]</w:t>
            </w:r>
          </w:p>
        </w:tc>
      </w:tr>
    </w:tbl>
    <w:p>
      <w:pPr>
        <w:spacing w:after="20"/>
      </w:pPr>
    </w:p>
    <w:tbl>
      <w:tblPr>
        <w:tblStyle w:val="TableGrid"/>
        <w:tblW w:type="dxa" w:w="9360"/>
        <w:jc w:val="center"/>
        <w:tblLayout w:type="fixed"/>
        <w:tblLook w:firstColumn="1" w:firstRow="1" w:lastColumn="0" w:lastRow="0" w:noHBand="0" w:noVBand="1" w:val="04A0"/>
      </w:tblPr>
      <w:tblGrid>
        <w:gridCol w:w="2520"/>
        <w:gridCol w:w="6840"/>
      </w:tblGrid>
      <w:tr>
        <w:trPr>
          <w:tblHeader/>
          <w:cantSplit/>
        </w:trPr>
        <w:tc>
          <w:tcPr>
            <w:tcW w:type="dxa" w:w="2520"/>
            <w:shd w:fill="083058"/>
            <w:tcMar>
              <w:top w:w="100" w:type="dxa"/>
              <w:bottom w:w="100" w:type="dxa"/>
              <w:start w:w="130" w:type="dxa"/>
              <w:end w:w="130" w:type="dxa"/>
            </w:tcMar>
            <w:vAlign w:val="center"/>
          </w:tcPr>
          <w:p>
            <w:r>
              <w:rPr>
                <w:rFonts w:ascii="Calibri" w:hAnsi="Calibri"/>
                <w:b/>
                <w:i w:val="0"/>
                <w:color w:val="FFFFFF"/>
                <w:sz w:val="18"/>
              </w:rPr>
              <w:t>Estado o evidencia</w:t>
            </w:r>
          </w:p>
        </w:tc>
        <w:tc>
          <w:tcPr>
            <w:tcW w:type="dxa" w:w="6840"/>
            <w:shd w:fill="083058"/>
            <w:tcMar>
              <w:top w:w="100" w:type="dxa"/>
              <w:bottom w:w="100" w:type="dxa"/>
              <w:start w:w="130" w:type="dxa"/>
              <w:end w:w="130" w:type="dxa"/>
            </w:tcMar>
            <w:vAlign w:val="center"/>
          </w:tcPr>
          <w:p>
            <w:r>
              <w:rPr>
                <w:rFonts w:ascii="Calibri" w:hAnsi="Calibri"/>
                <w:b/>
                <w:i w:val="0"/>
                <w:color w:val="FFFFFF"/>
                <w:sz w:val="18"/>
              </w:rPr>
              <w:t>Rama de atención</w:t>
            </w:r>
          </w:p>
        </w:tc>
      </w:tr>
      <w:tr>
        <w:trPr>
          <w:cantSplit/>
        </w:trPr>
        <w:tc>
          <w:tcPr>
            <w:tcW w:type="dxa" w:w="2520"/>
            <w:tcMar>
              <w:top w:w="100" w:type="dxa"/>
              <w:bottom w:w="100" w:type="dxa"/>
              <w:start w:w="130" w:type="dxa"/>
              <w:end w:w="130" w:type="dxa"/>
            </w:tcMar>
            <w:vAlign w:val="center"/>
          </w:tcPr>
          <w:p>
            <w:pPr>
              <w:spacing w:after="0" w:line="259" w:lineRule="auto"/>
            </w:pPr>
            <w:r>
              <w:rPr>
                <w:rFonts w:ascii="Calibri" w:hAnsi="Calibri"/>
                <w:b w:val="0"/>
                <w:i w:val="0"/>
                <w:color w:val="1F2D3D"/>
                <w:sz w:val="18"/>
              </w:rPr>
              <w:t>PAGADO</w:t>
            </w:r>
          </w:p>
        </w:tc>
        <w:tc>
          <w:tcPr>
            <w:tcW w:type="dxa" w:w="6840"/>
            <w:tcMar>
              <w:top w:w="100" w:type="dxa"/>
              <w:bottom w:w="100" w:type="dxa"/>
              <w:start w:w="130" w:type="dxa"/>
              <w:end w:w="130" w:type="dxa"/>
            </w:tcMar>
            <w:vAlign w:val="center"/>
          </w:tcPr>
          <w:p>
            <w:pPr>
              <w:spacing w:after="0" w:line="259" w:lineRule="auto"/>
            </w:pPr>
            <w:r>
              <w:rPr>
                <w:rFonts w:ascii="Calibri" w:hAnsi="Calibri"/>
                <w:b w:val="0"/>
                <w:i w:val="0"/>
                <w:color w:val="1F2D3D"/>
                <w:sz w:val="18"/>
              </w:rPr>
              <w:t>Confirmar resultado bancario; no afirmar acreditación por el estado interno.</w:t>
            </w:r>
          </w:p>
        </w:tc>
      </w:tr>
      <w:tr>
        <w:trPr>
          <w:cantSplit/>
        </w:trPr>
        <w:tc>
          <w:tcPr>
            <w:tcW w:type="dxa" w:w="25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EN ANÁLISIS</w:t>
            </w:r>
          </w:p>
        </w:tc>
        <w:tc>
          <w:tcPr>
            <w:tcW w:type="dxa" w:w="684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Explicar revisión activa; no dar ETA ni pedir datos sin un faltante concreto.</w:t>
            </w:r>
          </w:p>
        </w:tc>
      </w:tr>
      <w:tr>
        <w:trPr>
          <w:cantSplit/>
        </w:trPr>
        <w:tc>
          <w:tcPr>
            <w:tcW w:type="dxa" w:w="2520"/>
            <w:tcMar>
              <w:top w:w="100" w:type="dxa"/>
              <w:bottom w:w="100" w:type="dxa"/>
              <w:start w:w="130" w:type="dxa"/>
              <w:end w:w="130" w:type="dxa"/>
            </w:tcMar>
            <w:vAlign w:val="center"/>
          </w:tcPr>
          <w:p>
            <w:pPr>
              <w:spacing w:after="0" w:line="259" w:lineRule="auto"/>
            </w:pPr>
            <w:r>
              <w:rPr>
                <w:rFonts w:ascii="Calibri" w:hAnsi="Calibri"/>
                <w:b w:val="0"/>
                <w:i w:val="0"/>
                <w:color w:val="1F2D3D"/>
                <w:sz w:val="18"/>
              </w:rPr>
              <w:t>AGUARDANDO APROBACIÓN</w:t>
            </w:r>
          </w:p>
        </w:tc>
        <w:tc>
          <w:tcPr>
            <w:tcW w:type="dxa" w:w="6840"/>
            <w:tcMar>
              <w:top w:w="100" w:type="dxa"/>
              <w:bottom w:w="100" w:type="dxa"/>
              <w:start w:w="130" w:type="dxa"/>
              <w:end w:w="130" w:type="dxa"/>
            </w:tcMar>
            <w:vAlign w:val="center"/>
          </w:tcPr>
          <w:p>
            <w:pPr>
              <w:spacing w:after="0" w:line="259" w:lineRule="auto"/>
            </w:pPr>
            <w:r>
              <w:rPr>
                <w:rFonts w:ascii="Calibri" w:hAnsi="Calibri"/>
                <w:b w:val="0"/>
                <w:i w:val="0"/>
                <w:color w:val="1F2D3D"/>
                <w:sz w:val="18"/>
              </w:rPr>
              <w:t>Explicar que sigue pendiente; no prometer aprobación.</w:t>
            </w:r>
          </w:p>
        </w:tc>
      </w:tr>
      <w:tr>
        <w:trPr>
          <w:cantSplit/>
        </w:trPr>
        <w:tc>
          <w:tcPr>
            <w:tcW w:type="dxa" w:w="25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CANCELADO / RECHAZADO</w:t>
            </w:r>
          </w:p>
        </w:tc>
        <w:tc>
          <w:tcPr>
            <w:tcW w:type="dxa" w:w="684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Confirmar reversa o saldo antes de indicar que el dinero regresó.</w:t>
            </w:r>
          </w:p>
        </w:tc>
      </w:tr>
      <w:tr>
        <w:trPr>
          <w:cantSplit/>
        </w:trPr>
        <w:tc>
          <w:tcPr>
            <w:tcW w:type="dxa" w:w="2520"/>
            <w:tcMar>
              <w:top w:w="100" w:type="dxa"/>
              <w:bottom w:w="100" w:type="dxa"/>
              <w:start w:w="130" w:type="dxa"/>
              <w:end w:w="130" w:type="dxa"/>
            </w:tcMar>
            <w:vAlign w:val="center"/>
          </w:tcPr>
          <w:p>
            <w:pPr>
              <w:spacing w:after="0" w:line="259" w:lineRule="auto"/>
            </w:pPr>
            <w:r>
              <w:rPr>
                <w:rFonts w:ascii="Calibri" w:hAnsi="Calibri"/>
                <w:b w:val="0"/>
                <w:i w:val="0"/>
                <w:color w:val="1F2D3D"/>
                <w:sz w:val="18"/>
              </w:rPr>
              <w:t>Lista 7 indica KYC</w:t>
            </w:r>
          </w:p>
        </w:tc>
        <w:tc>
          <w:tcPr>
            <w:tcW w:type="dxa" w:w="6840"/>
            <w:tcMar>
              <w:top w:w="100" w:type="dxa"/>
              <w:bottom w:w="100" w:type="dxa"/>
              <w:start w:w="130" w:type="dxa"/>
              <w:end w:w="130" w:type="dxa"/>
            </w:tcMar>
            <w:vAlign w:val="center"/>
          </w:tcPr>
          <w:p>
            <w:pPr>
              <w:spacing w:after="0" w:line="259" w:lineRule="auto"/>
            </w:pPr>
            <w:r>
              <w:rPr>
                <w:rFonts w:ascii="Calibri" w:hAnsi="Calibri"/>
                <w:b w:val="0"/>
                <w:i w:val="0"/>
                <w:color w:val="1F2D3D"/>
                <w:sz w:val="18"/>
              </w:rPr>
              <w:t>Interpretar el faltante, consultar KYC y pedir solo lo necesario.</w:t>
            </w:r>
          </w:p>
        </w:tc>
      </w:tr>
      <w:tr>
        <w:trPr>
          <w:cantSplit/>
        </w:trPr>
        <w:tc>
          <w:tcPr>
            <w:tcW w:type="dxa" w:w="25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Fuente no disponible</w:t>
            </w:r>
          </w:p>
        </w:tc>
        <w:tc>
          <w:tcPr>
            <w:tcW w:type="dxa" w:w="684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Continuar con fuentes restantes o escalar; no responder 'sin registros'.</w:t>
            </w:r>
          </w:p>
        </w:tc>
      </w:tr>
    </w:tbl>
    <w:p>
      <w:pPr>
        <w:spacing w:after="20"/>
      </w:pPr>
    </w:p>
    <w:p>
      <w:pPr>
        <w:pStyle w:val="Heading2"/>
        <w:keepNext/>
      </w:pPr>
      <w:r>
        <w:t>Retiro pendiente / bajo revisión</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Estado en Atena, fecha, monto, ticket/lista y si existe motivo adicional.</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inventar ETA ni decir que será aprobado.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Tu retiro continúa bajo revisión por el área correspondiente. Por el momento no necesitas realizar ninguna acción adicional. Es necesario esperar a que la validación concluya; en cuanto exista una actualización confirmada se verá reflejada o podremos indicarte el siguiente paso.</w:t>
      </w:r>
    </w:p>
    <w:p>
      <w:pPr>
        <w:spacing w:after="60" w:line="274" w:lineRule="auto"/>
        <w:ind w:left="173"/>
      </w:pPr>
      <w:r>
        <w:rPr>
          <w:rFonts w:ascii="Calibri" w:hAnsi="Calibri"/>
          <w:b/>
          <w:i w:val="0"/>
          <w:color w:val="F04C1C"/>
          <w:sz w:val="19"/>
        </w:rPr>
        <w:t xml:space="preserve">ESCALAR / REGISTRAR: </w:t>
      </w:r>
      <w:r>
        <w:rPr>
          <w:rFonts w:ascii="Calibri" w:hAnsi="Calibri"/>
          <w:b w:val="0"/>
          <w:i w:val="0"/>
          <w:color w:val="1F2D3D"/>
          <w:sz w:val="19"/>
        </w:rPr>
        <w:t>Si excede el flujo normal o no existe motivo verificable, revisar tickets y escalar.</w:t>
      </w:r>
    </w:p>
    <w:p>
      <w:pPr>
        <w:pStyle w:val="Heading2"/>
        <w:keepNext/>
      </w:pPr>
      <w:r>
        <w:t>Retiro en análisis — respuesta corta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Confirmar que realmente siga activo.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Evitar “solo espere” sin contexto.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Tu retiro sigue en proceso de revisión. No contamos con un tiempo exacto para esta validación, pero el movimiento continúa activo y por el momento no necesitas enviar información adicional.</w:t>
      </w:r>
    </w:p>
    <w:p>
      <w:pPr>
        <w:pStyle w:val="Heading2"/>
        <w:keepNext/>
      </w:pPr>
      <w:r>
        <w:t>Retiro no cancelable durante revisión</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Estado actual y si el sistema permite cancelación.</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prometer cancelación manual.</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Mientras el retiro se encuentre bajo revisión no es posible cancelarlo manualmente. Primero debe concluir la validación del área correspondiente; cuando cambie de estado podremos confirmar qué procede.</w:t>
      </w:r>
    </w:p>
    <w:p>
      <w:pPr>
        <w:pStyle w:val="Heading2"/>
        <w:keepNext/>
      </w:pPr>
      <w:r>
        <w:t>No puede solicitar otro retiro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Solicitud activa.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decir que es falla del sistema.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sistema no permite generar un nuevo retiro mientras exista una solicitud activa. Es necesario esperar a que el retiro actual concluya o cambie de estado para poder realizar otra solicitud.</w:t>
      </w:r>
    </w:p>
    <w:p>
      <w:pPr>
        <w:pStyle w:val="Heading2"/>
        <w:keepNext/>
      </w:pPr>
      <w:r>
        <w:t>Retiro aprobado pero no reflejado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Confirmar aprobación real, banco receptor, devolución/rechazo y evidencia financiera.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equiparar aprobado/pagado con acreditado al banco.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retiro ya avanzó en el proceso de la plataforma; sin embargo, la acreditación final también depende de la institución receptora. Voy a revisar si el movimiento continúa en tránsito, fue rechazado o requiere seguimiento adicional.</w:t>
      </w:r>
    </w:p>
    <w:p>
      <w:pPr>
        <w:pStyle w:val="Heading2"/>
        <w:keepNext/>
      </w:pPr>
      <w:r>
        <w:t>Retiro marcado como pagado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Fuente financiera y resultado bancario.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afirmar que el cliente ya recibió el dinero.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estado “pagado” indica que el movimiento fue procesado o descontado desde la plataforma, pero necesitamos confirmar el resultado bancario para saber si ya fue acreditado, continúa en tránsito o fue devuelto.</w:t>
      </w:r>
    </w:p>
    <w:p>
      <w:pPr>
        <w:pStyle w:val="Heading2"/>
        <w:keepNext/>
      </w:pPr>
      <w:r>
        <w:t>Retiro rechazado / devolución a saldo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Motivo, saldo y estado de reversa.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indicar que ya regresó si aún no aparece.</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retiro no pudo completarse hacia la cuenta indicada. El movimiento será devuelto conforme al resultado del proceso y, una vez aplicado, el saldo podrá verse nuevamente disponible. Antes de intentar otro retiro revisaremos que los datos sean correctos.</w:t>
      </w:r>
    </w:p>
    <w:p>
      <w:pPr>
        <w:pStyle w:val="Heading2"/>
        <w:keepNext/>
      </w:pPr>
      <w:r>
        <w:t>Reversa a tarjeta original</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Origen del depósito, si fondos fueron usados y decisión financiera.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decir que se envió a la cuenta nueva.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En este caso el movimiento no se enviará a la nueva cuenta seleccionada. La devolución se realizará hacia el método de pago original utilizado para el depósito. El tiempo de reflejo depende de la institución emisora.</w:t>
      </w:r>
    </w:p>
    <w:p>
      <w:pPr>
        <w:pStyle w:val="Heading2"/>
        <w:keepNext/>
      </w:pPr>
      <w:r>
        <w:t>Retiro congelado / failed</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Estado exacto, ticket general y si saldo debe regresar.</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asumir que failed = perdido ni prometer fecha.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retiro presenta una incidencia de procesamiento y debe ser revisado antes de generar un nuevo movimiento. El saldo no se considera perdido; primero necesitamos confirmar el resultado de la operación y la acción correspondiente.</w:t>
      </w:r>
    </w:p>
    <w:p>
      <w:pPr>
        <w:spacing w:after="60" w:line="274" w:lineRule="auto"/>
        <w:ind w:left="173"/>
      </w:pPr>
      <w:r>
        <w:rPr>
          <w:rFonts w:ascii="Calibri" w:hAnsi="Calibri"/>
          <w:b/>
          <w:i w:val="0"/>
          <w:color w:val="F04C1C"/>
          <w:sz w:val="19"/>
        </w:rPr>
        <w:t xml:space="preserve">ESCALAR / REGISTRAR: </w:t>
      </w:r>
      <w:r>
        <w:rPr>
          <w:rFonts w:ascii="Calibri" w:hAnsi="Calibri"/>
          <w:b w:val="0"/>
          <w:i w:val="0"/>
          <w:color w:val="1F2D3D"/>
          <w:sz w:val="19"/>
        </w:rPr>
        <w:t>Registrar en el flujo/ticket vigente de retiros failed o congelados.</w:t>
      </w:r>
    </w:p>
    <w:p>
      <w:pPr>
        <w:pStyle w:val="Heading2"/>
        <w:keepNext/>
      </w:pPr>
      <w:r>
        <w:t>Retiro retenido por KYC</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Motivo exacto en lista/ticket, documentos, selfie, otras causas paralelas.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decir “KYC listo = retiro aprobado”.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La documentación de tu cuenta está siendo validada. Una vez completada esa parte, el retiro todavía debe concluir su revisión general. Si existe alguna otra validación pendiente, el movimiento continuará en revisión hasta que el área correspondiente la finalice.</w:t>
      </w:r>
    </w:p>
    <w:p>
      <w:pPr>
        <w:spacing w:after="60" w:line="274" w:lineRule="auto"/>
        <w:ind w:left="173"/>
      </w:pPr>
      <w:r>
        <w:rPr>
          <w:rFonts w:ascii="Calibri" w:hAnsi="Calibri"/>
          <w:b/>
          <w:i w:val="0"/>
          <w:color w:val="F04C1C"/>
          <w:sz w:val="19"/>
        </w:rPr>
        <w:t xml:space="preserve">ESCALAR / REGISTRAR: </w:t>
      </w:r>
      <w:r>
        <w:rPr>
          <w:rFonts w:ascii="Calibri" w:hAnsi="Calibri"/>
          <w:b w:val="0"/>
          <w:i w:val="0"/>
          <w:color w:val="1F2D3D"/>
          <w:sz w:val="19"/>
        </w:rPr>
        <w:t>Cuando sea exclusivamente KYC, actualizar evidencia y solicitar revisión a Transacciones.</w:t>
      </w:r>
    </w:p>
    <w:p>
      <w:pPr>
        <w:pStyle w:val="Heading2"/>
        <w:keepNext/>
      </w:pPr>
      <w:r>
        <w:t>KYC completo pero retiro sigue retenido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Lista/ticket por bono, momios, DevWallet, identidad o fraude.</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liberar por iniciativa propia.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Tu verificación puede encontrarse completa, pero el retiro tiene un proceso de revisión independiente. Tener el KYC actualizado no garantiza por sí solo la liberación del movimiento; debemos esperar a que concluyan todas las validaciones.</w:t>
      </w:r>
    </w:p>
    <w:p>
      <w:pPr>
        <w:pStyle w:val="Heading2"/>
        <w:keepNext/>
      </w:pPr>
      <w:r>
        <w:t>Retiro alto / revisión adicional</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Monto, historial, titularidad y lista de revisión.</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presentar la revisión como castigo o error.</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Por el monto y las validaciones aplicables, el retiro requiere una revisión adicional antes de continuar. Esto no significa que exista un error en tu cuenta; el movimiento simplemente debe completar el proceso correspondiente.</w:t>
      </w:r>
    </w:p>
    <w:p>
      <w:pPr>
        <w:pStyle w:val="Heading2"/>
        <w:keepNext/>
      </w:pPr>
      <w:r>
        <w:t>Límite del banco receptor</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Resultado/rechazo del banco y eventual devolución.</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culpar al cliente sin confirmación.</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La institución receptora no pudo completar el abono bajo las condiciones del movimiento. El retiro deberá completar su devolución antes de que podamos indicarte la alternativa para solicitarlo nuevamente.</w:t>
      </w:r>
    </w:p>
    <w:p>
      <w:pPr>
        <w:pStyle w:val="Heading2"/>
        <w:keepNext/>
      </w:pPr>
      <w:r>
        <w:t>PIN / error al retirar</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Mensaje exacto, navegador/app, sesión.</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asumir bloqueo.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mensaje corresponde al proceso de retiro y necesitamos descartar un problema de sesión. Intenta ingresar desde el navegador y vuelve a realizar el proceso. Si el error continúa, envíame una captura completa del mensaje para revisarlo.</w:t>
      </w:r>
    </w:p>
    <w:p>
      <w:pPr>
        <w:pStyle w:val="Heading1"/>
        <w:keepNext/>
      </w:pPr>
      <w:r>
        <w:t>7. Depósitos y conciliación</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Consultar primero Atena para movimientos, saldo y estado operativo. Solicitar comprobante, referencia o CEP únicamente cuando la evidencia no alcance para resolver. Los fondos y el medio de pago deben corresponder al titular registrado. Los depósitos de terceros requieren revisión de titularidad. [F1] La disponibilidad de tarjetas, SPEI, OXXO Pay, montos mínimos y límites debe confirmarse en la pantalla vigente antes de responder. [F11][F13]</w:t>
            </w:r>
          </w:p>
        </w:tc>
      </w:tr>
    </w:tbl>
    <w:p>
      <w:pPr>
        <w:spacing w:after="20"/>
      </w:pPr>
    </w:p>
    <w:p>
      <w:pPr>
        <w:pStyle w:val="Heading2"/>
        <w:keepNext/>
      </w:pPr>
      <w:r>
        <w:t>Depósito no reflejado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Medio, monto, fecha/hora, referencia, comprobante y estado.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prometer abono.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Para revisar tu depósito necesito el comprobante completo donde se vean monto, fecha, cuenta destino y referencia o clave de rastreo. Con esa información podremos validar la transferencia; hasta concluir la conciliación no podemos confirmar un abono.</w:t>
      </w:r>
    </w:p>
    <w:p>
      <w:pPr>
        <w:pStyle w:val="Heading2"/>
        <w:keepNext/>
      </w:pPr>
      <w:r>
        <w:t>SPEI — solicitar CEP</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Clave de rastreo, CEP Banxico, monto y bancos.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aceptar un informe genérico como CEP.</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Para una transferencia SPEI necesitamos el CEP de Banxico correspondiente al movimiento. Debe permitir identificar fecha, monto, banco emisor, banco receptor y clave de rastreo. Envíamelo completo para poder conciliar la operación.</w:t>
      </w:r>
    </w:p>
    <w:p>
      <w:pPr>
        <w:pStyle w:val="Heading2"/>
        <w:keepNext/>
      </w:pPr>
      <w:r>
        <w:t>Informe liquidado no es CEP</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Documento recibido.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decir que el depósito está acreditado solo porque diga liquidado.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documento confirma información del movimiento, pero para la conciliación necesitamos el CEP correspondiente a la transferencia. Si Banxico todavía no lo genera, revisaremos la evidencia disponible y el estado del movimiento.</w:t>
      </w:r>
    </w:p>
    <w:p>
      <w:pPr>
        <w:pStyle w:val="Heading2"/>
        <w:keepNext/>
      </w:pPr>
      <w:r>
        <w:t>SPEI sin CEP / posible reversa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Comprobante y estado bancario.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garantizar devolución.</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Si la transferencia no genera CEP, necesitamos revisar el comprobante y el estado bancario. Dependiendo del resultado, el movimiento puede continuar en validación o revertirse al origen. No puedo confirmar el desenlace hasta que se concilie.</w:t>
      </w:r>
    </w:p>
    <w:p>
      <w:pPr>
        <w:pStyle w:val="Heading2"/>
        <w:keepNext/>
      </w:pPr>
      <w:r>
        <w:t>Depósito OXXO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Comprobante con Betxico, monto y referencia.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aceptar captura que no identifica operación.</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Para revisar el depósito necesito una fotografía clara del comprobante completo donde aparezcan Betxico, el monto pagado y la referencia de la operación. Con esos datos podremos localizar correctamente el movimiento.</w:t>
      </w:r>
    </w:p>
    <w:p>
      <w:pPr>
        <w:pStyle w:val="Heading2"/>
        <w:keepNext/>
      </w:pPr>
      <w:r>
        <w:t>Spin / wallet pendiente</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Fecha, monto, referencia y proveedor.</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dar plazo fijo.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movimiento continúa sujeto a validación del proveedor. Voy a revisar la referencia y el estado disponible; el tiempo de reflejo puede depender del medio utilizado, por lo que no puedo garantizar una hora exacta.</w:t>
      </w:r>
    </w:p>
    <w:p>
      <w:pPr>
        <w:pStyle w:val="Heading2"/>
        <w:keepNext/>
      </w:pPr>
      <w:r>
        <w:t>Depósito con nombre/dato incorrecto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Comprobante, origen, destino y titular.</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pedir otro depósito para corregir.</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Podemos revisar la transferencia antes de que realices otro movimiento. Envíame el comprobante completo para validar monto, fecha, referencia, cuenta de origen y destino y confirmar qué procede.</w:t>
      </w:r>
    </w:p>
    <w:p>
      <w:pPr>
        <w:pStyle w:val="Heading2"/>
        <w:keepNext/>
      </w:pPr>
      <w:r>
        <w:t>Depósito de tercero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Titular de cuenta Betxico, titular bancario, KYC y movimientos.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normalizar depósitos de terceros.</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Los depósitos y retiros deben corresponder al titular de la cuenta. Detectamos que este movimiento requiere validar la titularidad antes de continuar. Revisaremos la información y te indicaremos la acción correspondiente.</w:t>
      </w:r>
    </w:p>
    <w:p>
      <w:pPr>
        <w:spacing w:after="60" w:line="274" w:lineRule="auto"/>
        <w:ind w:left="173"/>
      </w:pPr>
      <w:r>
        <w:rPr>
          <w:rFonts w:ascii="Calibri" w:hAnsi="Calibri"/>
          <w:b/>
          <w:i w:val="0"/>
          <w:color w:val="F04C1C"/>
          <w:sz w:val="19"/>
        </w:rPr>
        <w:t xml:space="preserve">ESCALAR / REGISTRAR: </w:t>
      </w:r>
      <w:r>
        <w:rPr>
          <w:rFonts w:ascii="Calibri" w:hAnsi="Calibri"/>
          <w:b w:val="0"/>
          <w:i w:val="0"/>
          <w:color w:val="1F2D3D"/>
          <w:sz w:val="19"/>
        </w:rPr>
        <w:t>Escalar si hay retiro relacionado o posible DevWallet.</w:t>
      </w:r>
    </w:p>
    <w:p>
      <w:pPr>
        <w:pStyle w:val="Heading2"/>
        <w:keepNext/>
      </w:pPr>
      <w:r>
        <w:t>Depósito rebotado / devuelto al origen</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Estado de proveedor/banco.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afirmar fecha exacta.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depósito no pudo completarse y el movimiento debe regresar a la cuenta de origen. El tiempo en que se refleje la devolución depende de la institución financiera. Si no aparece después del proceso bancario, podremos revisar nuevamente la referencia.</w:t>
      </w:r>
    </w:p>
    <w:p>
      <w:pPr>
        <w:pStyle w:val="Heading1"/>
        <w:keepNext/>
      </w:pPr>
      <w:r>
        <w:t>8. Bonos y promociones</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La promoción visible y habilitada en la cuenta del cliente es la referencia operativa. Las condiciones específicas prevalecen sobre las reglas generales. [F1][F3] Comparar siempre elegibilidad, depósito, activación, rollover, juego o mercado, vigencia, exclusiones y límite de ganancias. La vista autenticada del 13 de agosto de 2026 muestra Pago Anticipado, Mega Impulsos, $100 con primer depósito y 10% Extra solo Casino. [F3]</w:t>
            </w:r>
          </w:p>
        </w:tc>
      </w:tr>
    </w:tbl>
    <w:p>
      <w:pPr>
        <w:spacing w:after="20"/>
      </w:pPr>
    </w:p>
    <w:tbl>
      <w:tblPr>
        <w:tblStyle w:val="TableGrid"/>
        <w:tblW w:type="dxa" w:w="9360"/>
        <w:jc w:val="center"/>
        <w:tblLayout w:type="fixed"/>
        <w:tblLook w:firstColumn="1" w:firstRow="1" w:lastColumn="0" w:lastRow="0" w:noHBand="0" w:noVBand="1" w:val="04A0"/>
      </w:tblPr>
      <w:tblGrid>
        <w:gridCol w:w="2520"/>
        <w:gridCol w:w="6840"/>
      </w:tblGrid>
      <w:tr>
        <w:trPr>
          <w:tblHeader/>
          <w:cantSplit/>
        </w:trPr>
        <w:tc>
          <w:tcPr>
            <w:tcW w:type="dxa" w:w="2520"/>
            <w:shd w:fill="083058"/>
            <w:tcMar>
              <w:top w:w="100" w:type="dxa"/>
              <w:bottom w:w="100" w:type="dxa"/>
              <w:start w:w="130" w:type="dxa"/>
              <w:end w:w="130" w:type="dxa"/>
            </w:tcMar>
            <w:vAlign w:val="center"/>
          </w:tcPr>
          <w:p>
            <w:r>
              <w:rPr>
                <w:rFonts w:ascii="Calibri" w:hAnsi="Calibri"/>
                <w:b/>
                <w:i w:val="0"/>
                <w:color w:val="FFFFFF"/>
                <w:sz w:val="18"/>
              </w:rPr>
              <w:t>Promoción visible</w:t>
            </w:r>
          </w:p>
        </w:tc>
        <w:tc>
          <w:tcPr>
            <w:tcW w:type="dxa" w:w="6840"/>
            <w:shd w:fill="083058"/>
            <w:tcMar>
              <w:top w:w="100" w:type="dxa"/>
              <w:bottom w:w="100" w:type="dxa"/>
              <w:start w:w="130" w:type="dxa"/>
              <w:end w:w="130" w:type="dxa"/>
            </w:tcMar>
            <w:vAlign w:val="center"/>
          </w:tcPr>
          <w:p>
            <w:r>
              <w:rPr>
                <w:rFonts w:ascii="Calibri" w:hAnsi="Calibri"/>
                <w:b/>
                <w:i w:val="0"/>
                <w:color w:val="FFFFFF"/>
                <w:sz w:val="18"/>
              </w:rPr>
              <w:t>Condiciones centrales</w:t>
            </w:r>
          </w:p>
        </w:tc>
      </w:tr>
      <w:tr>
        <w:trPr>
          <w:cantSplit/>
        </w:trPr>
        <w:tc>
          <w:tcPr>
            <w:tcW w:type="dxa" w:w="2520"/>
            <w:tcMar>
              <w:top w:w="100" w:type="dxa"/>
              <w:bottom w:w="100" w:type="dxa"/>
              <w:start w:w="130" w:type="dxa"/>
              <w:end w:w="130" w:type="dxa"/>
            </w:tcMar>
            <w:vAlign w:val="center"/>
          </w:tcPr>
          <w:p>
            <w:pPr>
              <w:spacing w:after="0" w:line="259" w:lineRule="auto"/>
            </w:pPr>
            <w:r>
              <w:rPr>
                <w:rFonts w:ascii="Calibri" w:hAnsi="Calibri"/>
                <w:b w:val="0"/>
                <w:i w:val="0"/>
                <w:color w:val="1F2D3D"/>
                <w:sz w:val="18"/>
              </w:rPr>
              <w:t>$100 primer depósito</w:t>
            </w:r>
          </w:p>
        </w:tc>
        <w:tc>
          <w:tcPr>
            <w:tcW w:type="dxa" w:w="6840"/>
            <w:tcMar>
              <w:top w:w="100" w:type="dxa"/>
              <w:bottom w:w="100" w:type="dxa"/>
              <w:start w:w="130" w:type="dxa"/>
              <w:end w:w="130" w:type="dxa"/>
            </w:tcMar>
            <w:vAlign w:val="center"/>
          </w:tcPr>
          <w:p>
            <w:pPr>
              <w:spacing w:after="0" w:line="259" w:lineRule="auto"/>
            </w:pPr>
            <w:r>
              <w:rPr>
                <w:rFonts w:ascii="Calibri" w:hAnsi="Calibri"/>
                <w:b w:val="0"/>
                <w:i w:val="0"/>
                <w:color w:val="1F2D3D"/>
                <w:sz w:val="18"/>
              </w:rPr>
              <w:t>Nuevo usuario verificado; $100 extra; depósito mínimo/mayor a $100 contradictorio; rollover x1 depósito + bono; máximo $10,000 de ganancias; momios -200 a +600. [F4]</w:t>
            </w:r>
          </w:p>
        </w:tc>
      </w:tr>
      <w:tr>
        <w:trPr>
          <w:cantSplit/>
        </w:trPr>
        <w:tc>
          <w:tcPr>
            <w:tcW w:type="dxa" w:w="25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10% Extra solo Casino</w:t>
            </w:r>
          </w:p>
        </w:tc>
        <w:tc>
          <w:tcPr>
            <w:tcW w:type="dxa" w:w="684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Segundo depósito histórico &gt;= $150 según detalle; máximo $200; activar antes de jugar; solo slots; rollover x1; 30 días; exclusiones publicadas. La tarjeta también muestra &gt;$200. [F5]</w:t>
            </w:r>
          </w:p>
        </w:tc>
      </w:tr>
      <w:tr>
        <w:trPr>
          <w:cantSplit/>
        </w:trPr>
        <w:tc>
          <w:tcPr>
            <w:tcW w:type="dxa" w:w="2520"/>
            <w:tcMar>
              <w:top w:w="100" w:type="dxa"/>
              <w:bottom w:w="100" w:type="dxa"/>
              <w:start w:w="130" w:type="dxa"/>
              <w:end w:w="130" w:type="dxa"/>
            </w:tcMar>
            <w:vAlign w:val="center"/>
          </w:tcPr>
          <w:p>
            <w:pPr>
              <w:spacing w:after="0" w:line="259" w:lineRule="auto"/>
            </w:pPr>
            <w:r>
              <w:rPr>
                <w:rFonts w:ascii="Calibri" w:hAnsi="Calibri"/>
                <w:b w:val="0"/>
                <w:i w:val="0"/>
                <w:color w:val="1F2D3D"/>
                <w:sz w:val="18"/>
              </w:rPr>
              <w:t>Pago Anticipado</w:t>
            </w:r>
          </w:p>
        </w:tc>
        <w:tc>
          <w:tcPr>
            <w:tcW w:type="dxa" w:w="6840"/>
            <w:tcMar>
              <w:top w:w="100" w:type="dxa"/>
              <w:bottom w:w="100" w:type="dxa"/>
              <w:start w:w="130" w:type="dxa"/>
              <w:end w:w="130" w:type="dxa"/>
            </w:tcMar>
            <w:vAlign w:val="center"/>
          </w:tcPr>
          <w:p>
            <w:pPr>
              <w:spacing w:after="0" w:line="259" w:lineRule="auto"/>
            </w:pPr>
            <w:r>
              <w:rPr>
                <w:rFonts w:ascii="Calibri" w:hAnsi="Calibri"/>
                <w:b w:val="0"/>
                <w:i w:val="0"/>
                <w:color w:val="1F2D3D"/>
                <w:sz w:val="18"/>
              </w:rPr>
              <w:t>Pre-partido 1X2 en eventos marcados; fútbol +2, NBA +20, americano +17 y béisbol +5. [F6]</w:t>
            </w:r>
          </w:p>
        </w:tc>
      </w:tr>
      <w:tr>
        <w:trPr>
          <w:cantSplit/>
        </w:trPr>
        <w:tc>
          <w:tcPr>
            <w:tcW w:type="dxa" w:w="252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Mega Impulsos</w:t>
            </w:r>
          </w:p>
        </w:tc>
        <w:tc>
          <w:tcPr>
            <w:tcW w:type="dxa" w:w="6840"/>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Eventos del carrusel; apuesta máxima $500 y dorados $100; revisar abuso o apuesta repetida. [F7]</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878"/>
            <w:shd w:fill="FFF0E8"/>
            <w:tcMar>
              <w:top w:w="140" w:type="dxa"/>
              <w:bottom w:w="140" w:type="dxa"/>
              <w:start w:w="180" w:type="dxa"/>
              <w:end w:w="180" w:type="dxa"/>
            </w:tcMar>
          </w:tcPr>
          <w:p>
            <w:pPr>
              <w:spacing w:after="60"/>
            </w:pPr>
            <w:r>
              <w:rPr>
                <w:rFonts w:ascii="Calibri" w:hAnsi="Calibri"/>
                <w:b/>
                <w:i w:val="0"/>
                <w:color w:val="F04C1C"/>
                <w:sz w:val="21"/>
              </w:rPr>
              <w:t>CONTRADICCIONES VISIBLES</w:t>
            </w:r>
          </w:p>
          <w:p>
            <w:pPr>
              <w:spacing w:after="0" w:line="283" w:lineRule="auto"/>
            </w:pPr>
            <w:r>
              <w:rPr>
                <w:rFonts w:ascii="Calibri" w:hAnsi="Calibri"/>
                <w:b w:val="0"/>
                <w:i w:val="0"/>
                <w:color w:val="1F2D3D"/>
                <w:sz w:val="20"/>
              </w:rPr>
              <w:t>Para depósitos exactos de $100 o para el umbral del 10% Extra, no prometer elegibilidad sin abrir el detalle vigente en la cuenta. Registrar el texto contradictorio para corrección.</w:t>
            </w:r>
          </w:p>
        </w:tc>
      </w:tr>
    </w:tbl>
    <w:p>
      <w:pPr>
        <w:spacing w:after="20"/>
      </w:pPr>
    </w:p>
    <w:p>
      <w:pPr>
        <w:pStyle w:val="Heading2"/>
        <w:keepNext/>
      </w:pPr>
      <w:r>
        <w:t>Bono de bienvenida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Confirmar promoción vigente y primer depósito.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usar condiciones históricas sin validar.</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bono de bienvenida aplica únicamente al primer depósito y está sujeto a las condiciones vigentes de la promoción. Antes de jugar, confirma que el beneficio aparezca correctamente en tu cuenta. Si ya depositaste, puedo revisar si el movimiento cumplió los requisitos.</w:t>
      </w:r>
    </w:p>
    <w:p>
      <w:pPr>
        <w:pStyle w:val="Heading2"/>
        <w:keepNext/>
      </w:pPr>
      <w:r>
        <w:t>Bono de $100 primer depósito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Vigencia y mínimo actual.</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confundir con límite de depósito.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Cuando la promoción se encuentra vigente, el beneficio de $100 corresponde al primer depósito que cumpla el monto mínimo establecido. Puedes depositar una cantidad mayor; el monto de la promoción no representa un límite para tu depósito.</w:t>
      </w:r>
    </w:p>
    <w:p>
      <w:pPr>
        <w:pStyle w:val="Heading2"/>
        <w:keepNext/>
      </w:pPr>
      <w:r>
        <w:t>Promoción 10% por depósito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Promoción activa, mínimo, tope y juegos elegibles.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usar banner viejo; no asegurar $200/$250 sin revisar vigencia.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Para utilizar la promoción del 10%, primero realiza un depósito que cumpla las condiciones vigentes y, una vez confirmado, activa el bono desde Promociones antes de jugar. Si comienzas a apostar sin activarlo, el depósito puede dejar de ser elegible.</w:t>
      </w:r>
    </w:p>
    <w:p>
      <w:pPr>
        <w:pStyle w:val="Heading2"/>
        <w:keepNext/>
      </w:pPr>
      <w:r>
        <w:t>Jugó antes de activar bono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Orden de depósito/activación/juego.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prometer acreditación retroactiva.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La promoción debe activarse antes de utilizar el depósito. Si ya se realizaron jugadas antes de habilitarla, el sistema puede dejar ese depósito fuera de la promoción. Para el siguiente depósito, confirma primero que el bono esté activo.</w:t>
      </w:r>
    </w:p>
    <w:p>
      <w:pPr>
        <w:pStyle w:val="Heading2"/>
        <w:keepNext/>
      </w:pPr>
      <w:r>
        <w:t>Juego no elegible para bono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Juego exacto y términos vigentes.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generalizar todos los juegos de casino.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La promoción no aplica necesariamente a todos los productos del casino. Revisaremos el juego utilizado y las condiciones vigentes para confirmar si era elegible. Algunos juegos interactivos, Casino en Vivo o Sportsbook pueden quedar fuera según la promoción.</w:t>
      </w:r>
    </w:p>
    <w:p>
      <w:pPr>
        <w:pStyle w:val="Heading2"/>
        <w:keepNext/>
      </w:pPr>
      <w:r>
        <w:t>Bono no acreditado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Depósito, activación, primer juego, historial y términos.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acreditar por palabra del cliente.</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Voy a revisar el depósito, la activación de la promoción y el historial de juego para confirmar si se cumplieron las condiciones. Si encontramos una inconsistencia, se generará el reporte correspondiente; por el momento no puedo confirmar un abono.</w:t>
      </w:r>
    </w:p>
    <w:p>
      <w:pPr>
        <w:pStyle w:val="Heading2"/>
        <w:keepNext/>
      </w:pPr>
      <w:r>
        <w:t>Rollover pendiente</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Saldo bono, rollover y proveedor.</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decir que completar rollover garantiza retiro.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Tu cuenta todavía presenta condiciones de liberación asociadas al bono. Vamos a revisar el rollover y el historial correspondiente. Aun cuando el requisito aparezca completado, el retiro debe pasar las demás validaciones aplicables.</w:t>
      </w:r>
    </w:p>
    <w:p>
      <w:pPr>
        <w:pStyle w:val="Heading2"/>
        <w:keepNext/>
      </w:pPr>
      <w:r>
        <w:t>Tope de bono de bienvenida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Promoción vigente y cálculo autorizado.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citar un tope histórico como actual sin validar.</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Los bonos pueden tener un límite máximo de ganancia o retiro establecido en sus términos. Antes de aplicar cualquier ajuste debemos revisar la promoción con la que jugaste y el cálculo correspondiente. Te confirmaremos el resultado una vez validado.</w:t>
      </w:r>
    </w:p>
    <w:p>
      <w:pPr>
        <w:pStyle w:val="Heading2"/>
        <w:keepNext/>
      </w:pPr>
      <w:r>
        <w:t>Mega Impulso / límite por apuesta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Términos de promoción y monto de apuesta.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improvisar sanción.</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Esta promoción tiene condiciones específicas sobre el monto y forma de las apuestas. Revisaremos el ticket y las jugadas relacionadas para confirmar si se cumplieron los términos antes de determinar el resultado.</w:t>
      </w:r>
    </w:p>
    <w:p>
      <w:pPr>
        <w:pStyle w:val="Heading2"/>
        <w:keepNext/>
      </w:pPr>
      <w:r>
        <w:t>Apuesta gratuita / saldo requerido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Tipo de apuesta y condiciones.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presentar free bet como efectivo libre.</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La apuesta gratuita funciona bajo las condiciones de la promoción y puede requerir saldo disponible o una mecánica específica para utilizarla. Revisaremos el beneficio activo para indicarte exactamente cómo aplicarlo.</w:t>
      </w:r>
    </w:p>
    <w:p>
      <w:pPr>
        <w:pStyle w:val="Heading1"/>
        <w:keepNext/>
      </w:pPr>
      <w:r>
        <w:t>9. KYC, identidad y documentos</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Consultar por separado Usuarios KYC y Verificaciones. Si el correo aparece en ambas, conservar ambas evidencias; un error no equivale a 'sin registro'. Pedir únicamente lo que realmente falta: selfie, identificación, domicilio, prueba de vida u otra revisión indicada. [F1] No enviar a una IA externa imágenes, URL de documentos, CURP completo, número de documento, teléfono completo ni datos biométricos. No afirmar que KYC está completo si existe una verificación pendiente, un resultado vencido o una revisión humana no confirmada.</w:t>
            </w:r>
          </w:p>
        </w:tc>
      </w:tr>
    </w:tbl>
    <w:p>
      <w:pPr>
        <w:spacing w:after="20"/>
      </w:pPr>
    </w:p>
    <w:tbl>
      <w:tblPr>
        <w:tblStyle w:val="TableGrid"/>
        <w:tblW w:type="dxa" w:w="9360"/>
        <w:jc w:val="center"/>
        <w:tblLayout w:type="fixed"/>
        <w:tblLook w:firstColumn="1" w:firstRow="1" w:lastColumn="0" w:lastRow="0" w:noHBand="0" w:noVBand="1" w:val="04A0"/>
      </w:tblPr>
      <w:tblGrid>
        <w:gridCol w:w="3168"/>
        <w:gridCol w:w="6192"/>
      </w:tblGrid>
      <w:tr>
        <w:trPr>
          <w:tblHeader/>
          <w:cantSplit/>
        </w:trPr>
        <w:tc>
          <w:tcPr>
            <w:tcW w:type="dxa" w:w="3168"/>
            <w:shd w:fill="083058"/>
            <w:tcMar>
              <w:top w:w="100" w:type="dxa"/>
              <w:bottom w:w="100" w:type="dxa"/>
              <w:start w:w="130" w:type="dxa"/>
              <w:end w:w="130" w:type="dxa"/>
            </w:tcMar>
            <w:vAlign w:val="center"/>
          </w:tcPr>
          <w:p>
            <w:r>
              <w:rPr>
                <w:rFonts w:ascii="Calibri" w:hAnsi="Calibri"/>
                <w:b/>
                <w:i w:val="0"/>
                <w:color w:val="FFFFFF"/>
                <w:sz w:val="18"/>
              </w:rPr>
              <w:t>Resultado KYC</w:t>
            </w:r>
          </w:p>
        </w:tc>
        <w:tc>
          <w:tcPr>
            <w:tcW w:type="dxa" w:w="6192"/>
            <w:shd w:fill="083058"/>
            <w:tcMar>
              <w:top w:w="100" w:type="dxa"/>
              <w:bottom w:w="100" w:type="dxa"/>
              <w:start w:w="130" w:type="dxa"/>
              <w:end w:w="130" w:type="dxa"/>
            </w:tcMar>
            <w:vAlign w:val="center"/>
          </w:tcPr>
          <w:p>
            <w:r>
              <w:rPr>
                <w:rFonts w:ascii="Calibri" w:hAnsi="Calibri"/>
                <w:b/>
                <w:i w:val="0"/>
                <w:color w:val="FFFFFF"/>
                <w:sz w:val="18"/>
              </w:rPr>
              <w:t>Siguiente paso</w:t>
            </w:r>
          </w:p>
        </w:tc>
      </w:tr>
      <w:tr>
        <w:trPr>
          <w:cantSplit/>
        </w:trPr>
        <w:tc>
          <w:tcPr>
            <w:tcW w:type="dxa" w:w="3168"/>
            <w:tcMar>
              <w:top w:w="100" w:type="dxa"/>
              <w:bottom w:w="100" w:type="dxa"/>
              <w:start w:w="130" w:type="dxa"/>
              <w:end w:w="130" w:type="dxa"/>
            </w:tcMar>
            <w:vAlign w:val="center"/>
          </w:tcPr>
          <w:p>
            <w:pPr>
              <w:spacing w:after="0" w:line="259" w:lineRule="auto"/>
            </w:pPr>
            <w:r>
              <w:rPr>
                <w:rFonts w:ascii="Calibri" w:hAnsi="Calibri"/>
                <w:b w:val="0"/>
                <w:i w:val="0"/>
                <w:color w:val="1F2D3D"/>
                <w:sz w:val="18"/>
              </w:rPr>
              <w:t>Falta identificación/INE</w:t>
            </w:r>
          </w:p>
        </w:tc>
        <w:tc>
          <w:tcPr>
            <w:tcW w:type="dxa" w:w="6192"/>
            <w:tcMar>
              <w:top w:w="100" w:type="dxa"/>
              <w:bottom w:w="100" w:type="dxa"/>
              <w:start w:w="130" w:type="dxa"/>
              <w:end w:w="130" w:type="dxa"/>
            </w:tcMar>
            <w:vAlign w:val="center"/>
          </w:tcPr>
          <w:p>
            <w:pPr>
              <w:spacing w:after="0" w:line="259" w:lineRule="auto"/>
            </w:pPr>
            <w:r>
              <w:rPr>
                <w:rFonts w:ascii="Calibri" w:hAnsi="Calibri"/>
                <w:b w:val="0"/>
                <w:i w:val="0"/>
                <w:color w:val="1F2D3D"/>
                <w:sz w:val="18"/>
              </w:rPr>
              <w:t>Pedir identificación autorizada por el canal seguro y esperar su recepción.</w:t>
            </w:r>
          </w:p>
        </w:tc>
      </w:tr>
      <w:tr>
        <w:trPr>
          <w:cantSplit/>
        </w:trPr>
        <w:tc>
          <w:tcPr>
            <w:tcW w:type="dxa" w:w="316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Falta selfie</w:t>
            </w:r>
          </w:p>
        </w:tc>
        <w:tc>
          <w:tcPr>
            <w:tcW w:type="dxa" w:w="619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Pedir captura en tiempo real conforme al flujo autorizado.</w:t>
            </w:r>
          </w:p>
        </w:tc>
      </w:tr>
      <w:tr>
        <w:trPr>
          <w:cantSplit/>
        </w:trPr>
        <w:tc>
          <w:tcPr>
            <w:tcW w:type="dxa" w:w="3168"/>
            <w:tcMar>
              <w:top w:w="100" w:type="dxa"/>
              <w:bottom w:w="100" w:type="dxa"/>
              <w:start w:w="130" w:type="dxa"/>
              <w:end w:w="130" w:type="dxa"/>
            </w:tcMar>
            <w:vAlign w:val="center"/>
          </w:tcPr>
          <w:p>
            <w:pPr>
              <w:spacing w:after="0" w:line="259" w:lineRule="auto"/>
            </w:pPr>
            <w:r>
              <w:rPr>
                <w:rFonts w:ascii="Calibri" w:hAnsi="Calibri"/>
                <w:b w:val="0"/>
                <w:i w:val="0"/>
                <w:color w:val="1F2D3D"/>
                <w:sz w:val="18"/>
              </w:rPr>
              <w:t>Faltan ambos</w:t>
            </w:r>
          </w:p>
        </w:tc>
        <w:tc>
          <w:tcPr>
            <w:tcW w:type="dxa" w:w="6192"/>
            <w:tcMar>
              <w:top w:w="100" w:type="dxa"/>
              <w:bottom w:w="100" w:type="dxa"/>
              <w:start w:w="130" w:type="dxa"/>
              <w:end w:w="130" w:type="dxa"/>
            </w:tcMar>
            <w:vAlign w:val="center"/>
          </w:tcPr>
          <w:p>
            <w:pPr>
              <w:spacing w:after="0" w:line="259" w:lineRule="auto"/>
            </w:pPr>
            <w:r>
              <w:rPr>
                <w:rFonts w:ascii="Calibri" w:hAnsi="Calibri"/>
                <w:b w:val="0"/>
                <w:i w:val="0"/>
                <w:color w:val="1F2D3D"/>
                <w:sz w:val="18"/>
              </w:rPr>
              <w:t>Pedir ambos en una sola respuesta clara.</w:t>
            </w:r>
          </w:p>
        </w:tc>
      </w:tr>
      <w:tr>
        <w:trPr>
          <w:cantSplit/>
        </w:trPr>
        <w:tc>
          <w:tcPr>
            <w:tcW w:type="dxa" w:w="316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KYC actualizado por el agente</w:t>
            </w:r>
          </w:p>
        </w:tc>
        <w:tc>
          <w:tcPr>
            <w:tcW w:type="dxa" w:w="619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Volver a consultar; solo después de confirmarlo preparar la continuación del retiro.</w:t>
            </w:r>
          </w:p>
        </w:tc>
      </w:tr>
      <w:tr>
        <w:trPr>
          <w:cantSplit/>
        </w:trPr>
        <w:tc>
          <w:tcPr>
            <w:tcW w:type="dxa" w:w="3168"/>
            <w:tcMar>
              <w:top w:w="100" w:type="dxa"/>
              <w:bottom w:w="100" w:type="dxa"/>
              <w:start w:w="130" w:type="dxa"/>
              <w:end w:w="130" w:type="dxa"/>
            </w:tcMar>
            <w:vAlign w:val="center"/>
          </w:tcPr>
          <w:p>
            <w:pPr>
              <w:spacing w:after="0" w:line="259" w:lineRule="auto"/>
            </w:pPr>
            <w:r>
              <w:rPr>
                <w:rFonts w:ascii="Calibri" w:hAnsi="Calibri"/>
                <w:b w:val="0"/>
                <w:i w:val="0"/>
                <w:color w:val="1F2D3D"/>
                <w:sz w:val="18"/>
              </w:rPr>
              <w:t>Usuarios no encontrado; Verificaciones sí</w:t>
            </w:r>
          </w:p>
        </w:tc>
        <w:tc>
          <w:tcPr>
            <w:tcW w:type="dxa" w:w="6192"/>
            <w:tcMar>
              <w:top w:w="100" w:type="dxa"/>
              <w:bottom w:w="100" w:type="dxa"/>
              <w:start w:w="130" w:type="dxa"/>
              <w:end w:w="130" w:type="dxa"/>
            </w:tcMar>
            <w:vAlign w:val="center"/>
          </w:tcPr>
          <w:p>
            <w:pPr>
              <w:spacing w:after="0" w:line="259" w:lineRule="auto"/>
            </w:pPr>
            <w:r>
              <w:rPr>
                <w:rFonts w:ascii="Calibri" w:hAnsi="Calibri"/>
                <w:b w:val="0"/>
                <w:i w:val="0"/>
                <w:color w:val="1F2D3D"/>
                <w:sz w:val="18"/>
              </w:rPr>
              <w:t>Conservar Verificaciones y continuar; las fuentes son independientes.</w:t>
            </w:r>
          </w:p>
        </w:tc>
      </w:tr>
      <w:tr>
        <w:trPr>
          <w:cantSplit/>
        </w:trPr>
        <w:tc>
          <w:tcPr>
            <w:tcW w:type="dxa" w:w="316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Una fuente falla</w:t>
            </w:r>
          </w:p>
        </w:tc>
        <w:tc>
          <w:tcPr>
            <w:tcW w:type="dxa" w:w="619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Marcar no disponible y usar la otra sin inferir ausencia.</w:t>
            </w:r>
          </w:p>
        </w:tc>
      </w:tr>
    </w:tbl>
    <w:p>
      <w:pPr>
        <w:spacing w:after="20"/>
      </w:pPr>
    </w:p>
    <w:p>
      <w:pPr>
        <w:pStyle w:val="Heading2"/>
        <w:keepNext/>
      </w:pPr>
      <w:r>
        <w:t>Solicitud estándar INE + selfie</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Consultar ambas fuentes de KYC y pedir únicamente el documento que realmente falta.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pedir documentos extra sin motivo.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Para continuar con la validación se requiere la documentación que aparezca pendiente en KYC. Si el caso indica INE y selfie, las imágenes deben verse completas, enfocadas y sin reflejos. Envíalas únicamente por el canal autorizado de verificación; no compartas documentos en canales no aprobados.</w:t>
      </w:r>
    </w:p>
    <w:p>
      <w:pPr>
        <w:pStyle w:val="Heading2"/>
        <w:keepNext/>
      </w:pPr>
      <w:r>
        <w:t>INE borrosa / QR ilegible</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Legibilidad y QR.</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aceptar evidencia dudosa.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La imagen no permite validar correctamente la información. Necesito que vuelvas a tomarla con buena iluminación, documento completo y datos legibles, procurando que no tenga reflejos ni desenfoque.</w:t>
      </w:r>
    </w:p>
    <w:p>
      <w:pPr>
        <w:pStyle w:val="Heading2"/>
        <w:keepNext/>
      </w:pPr>
      <w:r>
        <w:t>Cliente perdió INE / fue asaltado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Qué alternativas autoriza el proceso actual.</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inventar documento sustituto.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Entendemos la situación; sin embargo, para realizar cambios sensibles en la cuenta necesitamos validar la identidad del titular con documentación autorizada. Voy a revisar qué alternativa está permitida para tu caso antes de indicarte el siguiente paso.</w:t>
      </w:r>
    </w:p>
    <w:p>
      <w:pPr>
        <w:pStyle w:val="Heading2"/>
        <w:keepNext/>
      </w:pPr>
      <w:r>
        <w:t>Intentos KYC agotados</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Estado de verificación y ticket.</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pedir que siga intentando indefinidamente.</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Los intentos de verificación disponibles ya fueron utilizados. El caso debe revisarse para determinar cómo continuar con la validación; evita realizar más intentos hasta que confirmemos el siguiente paso.</w:t>
      </w:r>
    </w:p>
    <w:p>
      <w:pPr>
        <w:pStyle w:val="Heading2"/>
        <w:keepNext/>
      </w:pPr>
      <w:r>
        <w:t>Cuenta no aparece en KYC / aviso rojo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Atena, Verificaciones/Usuarios, datos faltantes.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asumir que está verificada.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La cuenta presenta información de verificación pendiente. Necesitamos revisar el registro antes de continuar con movimientos sensibles. Si el sistema permite completar la verificación desde Perfil, deberás finalizarla; si no aparece correctamente, lo reportaremos.</w:t>
      </w:r>
    </w:p>
    <w:p>
      <w:pPr>
        <w:pStyle w:val="Heading2"/>
        <w:keepNext/>
      </w:pPr>
      <w:r>
        <w:t>Actualizar información / identidad inconsistente</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Registro, KYC, depósitos y retiros.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acusar fraude ni corregir autónomamente.</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Detectamos una inconsistencia entre la información registrada y los datos asociados a la cuenta. Necesitamos revisar la identidad y los movimientos antes de realizar cambios o liberar operaciones. Te indicaremos los siguientes pasos una vez concluida la validación.</w:t>
      </w:r>
    </w:p>
    <w:p>
      <w:pPr>
        <w:spacing w:after="60" w:line="274" w:lineRule="auto"/>
        <w:ind w:left="173"/>
      </w:pPr>
      <w:r>
        <w:rPr>
          <w:rFonts w:ascii="Calibri" w:hAnsi="Calibri"/>
          <w:b/>
          <w:i w:val="0"/>
          <w:color w:val="F04C1C"/>
          <w:sz w:val="19"/>
        </w:rPr>
        <w:t xml:space="preserve">ESCALAR / REGISTRAR: </w:t>
      </w:r>
      <w:r>
        <w:rPr>
          <w:rFonts w:ascii="Calibri" w:hAnsi="Calibri"/>
          <w:b w:val="0"/>
          <w:i w:val="0"/>
          <w:color w:val="1F2D3D"/>
          <w:sz w:val="19"/>
        </w:rPr>
        <w:t>Escalamiento obligatorio a Supervisión cuando existan múltiples identidades.</w:t>
      </w:r>
    </w:p>
    <w:p>
      <w:pPr>
        <w:pStyle w:val="Heading2"/>
        <w:keepNext/>
      </w:pPr>
      <w:r>
        <w:t>Residencia temporal + CURP</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Documento migratorio, CURP válida, titularidad bancaria y KYC.</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asumir que residencia temporal por sí sola basta.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Podemos revisar tu documentación migratoria junto con la CURP y los datos bancarios registrados. Si la información permite validar correctamente tu identidad y titularidad, el caso continuará con la revisión correspondiente.</w:t>
      </w:r>
    </w:p>
    <w:p>
      <w:pPr>
        <w:pStyle w:val="Heading2"/>
        <w:keepNext/>
      </w:pPr>
      <w:r>
        <w:t>Pasaporte / extranjero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Documento aceptado y estatus migratorio vigente.</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afirmar que cualquier pasaporte sustituye KYC mexicano.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pasaporte puede formar parte de la validación, pero necesitamos revisar qué documentación adicional corresponde a tu situación migratoria y a los datos registrados en México. Te indicaremos exactamente qué documento es necesario para tu caso.</w:t>
      </w:r>
    </w:p>
    <w:p>
      <w:pPr>
        <w:pStyle w:val="Heading1"/>
        <w:keepNext/>
      </w:pPr>
      <w:r>
        <w:t>10. Doble cuenta, titularidad y DevWallet</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La cuenta es personal y los datos, medios de pago y movimientos deben corresponder al titular. Cuentas relacionadas requieren revisión de identidad, saldo y operaciones. [F1] Paybridge es una fuente financiera de transferencias o pagos; no es KYC. Utilizarla solo cuando el flujo financiero lo requiera y mantener su resultado separado de Atena y de la verificación de identidad. No bloquear, mover saldo, devolver, pagar o elegir una cuenta por iniciativa del agente o de la IA. Toda acción sensible requiere decisión humana documentada.</w:t>
            </w:r>
          </w:p>
        </w:tc>
      </w:tr>
    </w:tbl>
    <w:p>
      <w:pPr>
        <w:spacing w:after="20"/>
      </w:pPr>
    </w:p>
    <w:p>
      <w:pPr>
        <w:pStyle w:val="Heading2"/>
        <w:keepNext/>
      </w:pPr>
      <w:r>
        <w:t>Cuenta duplicada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Ambas cuentas, CURP, KYC, saldo, depósitos/retiros y actividad.</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decidir solo por antigüedad.</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Detectamos información relacionada con más de una cuenta. Antes de realizar cambios necesitamos validar cuál corresponde al titular y revisar si existe saldo o movimientos pendientes. Después te indicaremos cuál cuenta deberá conservarse.</w:t>
      </w:r>
    </w:p>
    <w:p>
      <w:pPr>
        <w:pStyle w:val="Heading2"/>
        <w:keepNext/>
      </w:pPr>
      <w:r>
        <w:t>Cuenta a bloquear tiene saldo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Saldo y traspaso autorizado.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bloquear primero.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Antes de cerrar o bloquear una cuenta con saldo debemos revisar el tratamiento correspondiente para ese saldo. No realizaremos el cierre hasta que la gestión necesaria quede documentada y autorizada.</w:t>
      </w:r>
    </w:p>
    <w:p>
      <w:pPr>
        <w:pStyle w:val="Heading2"/>
        <w:keepNext/>
      </w:pPr>
      <w:r>
        <w:t>Una cuenta tiene CURP y otra no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Identidad real, movimientos y cuenta activa.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asumir automáticamente cuál conservar.</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Vamos a comparar la información de ambas cuentas, incluyendo CURP, verificación y movimientos, para determinar cuál debe quedar habilitada. Una vez validado te indicaremos cuál utilizar en adelante.</w:t>
      </w:r>
    </w:p>
    <w:p>
      <w:pPr>
        <w:pStyle w:val="Heading2"/>
        <w:keepNext/>
      </w:pPr>
      <w:r>
        <w:t>Ambas cuentas tienen CURP / retiro en cuenta distinta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CURP real del cliente, titularidad del retiro y decisión de Supervisión.</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mover o bloquear sin autorización.</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retiro y la información de las cuentas requieren una revisión adicional porque existen datos verificados en más de un registro. Se revisará el movimiento actual y, una vez resuelto, te indicaremos cuál cuenta deberás utilizar posteriormente.</w:t>
      </w:r>
    </w:p>
    <w:p>
      <w:pPr>
        <w:pStyle w:val="Heading2"/>
        <w:keepNext/>
      </w:pPr>
      <w:r>
        <w:t>DevWallet — depósito no utilizado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Depósito, apuestas realizadas, retiro y titularidad.</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decir que basta jugar 20%; esa regla quedó obsoleta.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Identificamos que el depósito no fue utilizado antes de solicitar el retiro. El movimiento debe revisarse conforme a las condiciones aplicables. Te informaremos el resultado una vez que se confirme la titularidad y el tratamiento correspondiente.</w:t>
      </w:r>
    </w:p>
    <w:p>
      <w:pPr>
        <w:pStyle w:val="Heading2"/>
        <w:keepNext/>
      </w:pPr>
      <w:r>
        <w:t>DevWallet 1 — misma titularidad / única ocasión</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Confirmación de misma cuenta/titular y autorización.</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prometer pago sin ticket.</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depósito y el retiro corresponden a la misma titularidad, pero el depósito no cumplió con el uso requerido antes de retirar. El caso será tratado conforme a la autorización correspondiente y quedará registrada la advertencia para futuros movimientos.</w:t>
      </w:r>
    </w:p>
    <w:p>
      <w:pPr>
        <w:pStyle w:val="Heading2"/>
        <w:keepNext/>
      </w:pPr>
      <w:r>
        <w:t>DevWallet 2 — tercero / devolución a origen</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Titular del depósito vs retiro.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pagar hacia una cuenta distinta por iniciativa propia.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depósito fue realizado desde una titularidad distinta a la cuenta utilizada para el retiro. Por seguridad, el movimiento debe revisarse y, cuando corresponda, la devolución se procesa hacia el origen del depósito.</w:t>
      </w:r>
    </w:p>
    <w:p>
      <w:pPr>
        <w:pStyle w:val="Heading2"/>
        <w:keepNext/>
      </w:pPr>
      <w:r>
        <w:t>DevWallet 3 — información incompleta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Datos faltantes en Paybridge/Atena/Jira.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clasificar definitivamente sin evidencia.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No contamos todavía con toda la información necesaria para determinar el tratamiento del movimiento. Debemos completar la validación de titularidad y transacciones antes de confirmar si procede retiro, devolución o alguna otra acción.</w:t>
      </w:r>
    </w:p>
    <w:p>
      <w:pPr>
        <w:pStyle w:val="Heading1"/>
        <w:keepNext/>
      </w:pPr>
      <w:r>
        <w:t>11. Casino, juegos y saldo</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Cada juego tiene reglas propias. Ante una falla, recopilar juego, proveedor, fecha, hora, ronda e historial; el proveedor y el sistema central determinan el resultado. [F1][F11] El agente puede explicar el estado observado, pero no confirmar oficialmente un premio ni prometer un abono.</w:t>
            </w:r>
          </w:p>
        </w:tc>
      </w:tr>
    </w:tbl>
    <w:p>
      <w:pPr>
        <w:spacing w:after="20"/>
      </w:pPr>
    </w:p>
    <w:p>
      <w:pPr>
        <w:pStyle w:val="Heading2"/>
        <w:keepNext/>
      </w:pPr>
      <w:r>
        <w:t>Juego no abre / pantalla negra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Juego, proveedor, captura, hora, otros juegos.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atribuir mantenimiento sin confirmar.</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Vamos a revisar si se trata de una incidencia del juego o de la sesión. Envíame una captura completa del error, el nombre exacto del juego y la hora aproximada. También indícame si otros juegos abren correctamente.</w:t>
      </w:r>
    </w:p>
    <w:p>
      <w:pPr>
        <w:pStyle w:val="Heading2"/>
        <w:keepNext/>
      </w:pPr>
      <w:r>
        <w:t>Todos los juegos fallan</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Sesión, navegador, conexión, cuenta y proveedor.</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tratar como falla de un solo juego.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Si el problema ocurre en todos los juegos, necesitamos revisar primero la sesión y el acceso general al casino. Envíame una captura del mensaje que aparece y confirma si ya cerraste sesión e ingresaste nuevamente.</w:t>
      </w:r>
    </w:p>
    <w:p>
      <w:pPr>
        <w:pStyle w:val="Heading2"/>
        <w:keepNext/>
      </w:pPr>
      <w:r>
        <w:t>Ganancia no reflejada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Juego, hora, importe reclamado, historial y proveedor.</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confirmar la cifra del cliente como ganancia real.</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Registraremos tu reporte para revisar la jugada con el proveedor. Necesito el nombre exacto del juego, fecha y hora aproximada, monto que observaste y capturas del historial o resultado. Te informaremos cuando exista una respuesta confirmada.</w:t>
      </w:r>
    </w:p>
    <w:p>
      <w:pPr>
        <w:pStyle w:val="Heading2"/>
        <w:keepNext/>
      </w:pPr>
      <w:r>
        <w:t>Free spins / premio no reflejado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Ronda, premio mostrado, historial y captura.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prometer abono.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Vamos a revisar la ronda de tiradas gratis y el historial del juego. Envíame el nombre exacto del juego, fecha/hora aproximada, monto mostrado y cualquier captura donde se vea el premio o la jugada.</w:t>
      </w:r>
    </w:p>
    <w:p>
      <w:pPr>
        <w:pStyle w:val="Heading2"/>
        <w:keepNext/>
      </w:pPr>
      <w:r>
        <w:t>Saldo descontado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Historial de giros/apuestas y saldo antes/después.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prometer devolución.</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Revisaremos el historial de movimientos para identificar cómo se utilizó el saldo. Si existe una diferencia técnica entre las jugadas registradas y el saldo, se enviará al área o proveedor correspondiente para validación.</w:t>
      </w:r>
    </w:p>
    <w:p>
      <w:pPr>
        <w:pStyle w:val="Heading2"/>
        <w:keepNext/>
      </w:pPr>
      <w:r>
        <w:t>Cliente reclama que el juego cambió resultados</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Historial y evidencia de jugada concreta.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validar teorías sin evidencia.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Los resultados son determinados por la mecánica y el proveedor del juego. Desde Soporte no podemos modificar ni garantizar resultados. Si consideras que existió una falla en una jugada específica, podemos revisarla con la fecha, hora, juego y evidencia.</w:t>
      </w:r>
    </w:p>
    <w:p>
      <w:pPr>
        <w:pStyle w:val="Heading2"/>
        <w:keepNext/>
      </w:pPr>
      <w:r>
        <w:t>Proveedor en revisión</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Ticket/proveedor.</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inventar causa ni ETA.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Tu reporte ya fue enviado a revisión con el proveedor del juego. Por el momento debemos esperar su respuesta técnica; en cuanto exista una actualización confirmada podremos indicarte el resultado.</w:t>
      </w:r>
    </w:p>
    <w:p>
      <w:pPr>
        <w:pStyle w:val="Heading1"/>
        <w:keepNext/>
      </w:pPr>
      <w:r>
        <w:t>12. Apuestas deportivas</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Revisar ticket desplegado, mercado, evento, estado y resultado oficial. La transmisión o una página externa puede tener retraso y no es la fuente de liquidación. [F2] Cashout es opcional, variable y no está garantizado durante todo el evento. Una selección nula puede recalcular una combinada conforme a las reglas. [F1][F2] Pago Anticipado es una promoción distinta de la liquidación ordinaria y solo aplica a eventos y mercados marcados. [F6]</w:t>
            </w:r>
          </w:p>
        </w:tc>
      </w:tr>
    </w:tbl>
    <w:p>
      <w:pPr>
        <w:spacing w:after="20"/>
      </w:pPr>
    </w:p>
    <w:p>
      <w:pPr>
        <w:pStyle w:val="Heading2"/>
        <w:keepNext/>
      </w:pPr>
      <w:r>
        <w:t>Ticket pendiente de liquidación</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Ticket desplegado, evento y resultado oficial.</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liquidar manualmente sin fuente.</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La apuesta todavía requiere validación del resultado y las reglas aplicables al evento. Envíame el ticket desplegado para revisar selecciones, mercado y estado; una vez confirmado podremos indicarte la liquidación correspondiente.</w:t>
      </w:r>
    </w:p>
    <w:p>
      <w:pPr>
        <w:pStyle w:val="Heading2"/>
        <w:keepNext/>
      </w:pPr>
      <w:r>
        <w:t>Partido suspendido / cancelado / clima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Reglas del mercado y estado oficial.</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prometer anulación inmediata.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La resolución depende del estado oficial del evento y de las reglas aplicables al mercado apostado. Revisaremos el ticket y la determinación del proveedor antes de confirmar si la selección se mantiene, se reprograma o se anula.</w:t>
      </w:r>
    </w:p>
    <w:p>
      <w:pPr>
        <w:pStyle w:val="Heading2"/>
        <w:keepNext/>
      </w:pPr>
      <w:r>
        <w:t>Early Payout</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Promoción vigente y marcador alcanzado.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confundir con resultado final estándar.</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Early Payout es un beneficio promocional sujeto a condiciones específicas del evento y mercado. Revisaremos si la apuesta cumplió los criterios de la promoción antes de confirmar su liquidación.</w:t>
      </w:r>
    </w:p>
    <w:p>
      <w:pPr>
        <w:pStyle w:val="Heading2"/>
        <w:keepNext/>
      </w:pPr>
      <w:r>
        <w:t>Cash Out no disponible</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Estado del evento/mercado.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garantizar disponibilidad permanente.</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La opción de Cash Out puede habilitarse o retirarse según el mercado, el momento del evento y las condiciones del proveedor. Su disponibilidad no está garantizada durante toda la apuesta.</w:t>
      </w:r>
    </w:p>
    <w:p>
      <w:pPr>
        <w:pStyle w:val="Heading1"/>
        <w:keepNext/>
      </w:pPr>
      <w:r>
        <w:t>13. Cuenta, acceso y datos</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Validar titularidad antes de revelar, recuperar o cambiar correo, nombre o datos de acceso. No solicitar contraseña, PIN, cookies ni códigos de sesión. [F1][F10] Cerrar sesiones no cambia la contraseña. Diferenciar claramente la acción ejecutada y verificar su resultado.</w:t>
            </w:r>
          </w:p>
        </w:tc>
      </w:tr>
    </w:tbl>
    <w:p>
      <w:pPr>
        <w:spacing w:after="20"/>
      </w:pPr>
    </w:p>
    <w:p>
      <w:pPr>
        <w:pStyle w:val="Heading2"/>
        <w:keepNext/>
      </w:pPr>
      <w:r>
        <w:t>No recuerda correo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Identidad y datos disponibles.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revelar correos de otras cuentas.</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Podemos ayudarte a localizar o recuperar el acceso, pero primero necesitamos validar que seas el titular. Una vez confirmada tu identidad podremos revisar las opciones disponibles sin exponer información de otras cuentas.</w:t>
      </w:r>
    </w:p>
    <w:p>
      <w:pPr>
        <w:pStyle w:val="Heading2"/>
        <w:keepNext/>
      </w:pPr>
      <w:r>
        <w:t>Contraseña incorrecta / dispositivo nuevo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Mensaje, dispositivo, correo.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asumir bloqueo.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Cambiar de dispositivo puede hacer que el sistema solicite nuevamente tus credenciales o una validación. Confirma el correo con el que registraste la cuenta y, si aparece un mensaje de error, envíame una captura completa.</w:t>
      </w:r>
    </w:p>
    <w:p>
      <w:pPr>
        <w:pStyle w:val="Heading2"/>
        <w:keepNext/>
      </w:pPr>
      <w:r>
        <w:t>Cambio de correo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Identidad y política vigente.</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modificar sin validación.</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correo es un dato sensible de acceso. Para solicitar un cambio necesitamos validar primero la identidad del titular y revisar que no exista otra cuenta asociada a la información.</w:t>
      </w:r>
    </w:p>
    <w:p>
      <w:pPr>
        <w:pStyle w:val="Heading2"/>
        <w:keepNext/>
      </w:pPr>
      <w:r>
        <w:t>Cerrar sesiones</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Acceso sospechoso y Auth ID si aplica.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decir que contraseña cambió si solo cerraste sesiones.</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Podemos solicitar el cierre de sesiones activas para proteger la cuenta. Después te recomendamos ingresar nuevamente con tus credenciales y revisar cualquier actividad que no reconozcas.</w:t>
      </w:r>
    </w:p>
    <w:p>
      <w:pPr>
        <w:pStyle w:val="Heading1"/>
        <w:keepNext/>
      </w:pPr>
      <w:r>
        <w:t>14. Cierre, bloqueo y juego responsable</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Cuando el cliente expresa pérdida de control, deuda, compulsión, autolesión o deseo de autoexclusión, tratar el caso como prioritario y no ofrecer promociones. [F8][F9] La página publica pausas de 24 horas, 1 mes, 6 meses o 1 año y describe el cierre como definitivo. Revisar saldo, apuestas y retiros antes del proceso. [F8][F9]</w:t>
            </w:r>
          </w:p>
        </w:tc>
      </w:tr>
    </w:tbl>
    <w:p>
      <w:pPr>
        <w:spacing w:after="20"/>
      </w:pPr>
    </w:p>
    <w:p>
      <w:pPr>
        <w:pStyle w:val="Heading2"/>
        <w:keepNext/>
      </w:pPr>
      <w:r>
        <w:t>Cierre voluntario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Motivo, titularidad, saldo y proceso vigente.</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cerrar cuenta de tercero.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Puedo ayudarte con el proceso de cierre. Antes de continuar necesito confirmar que la solicitud provenga del titular y revisar si existe algún saldo o movimiento pendiente que deba gestionarse.</w:t>
      </w:r>
    </w:p>
    <w:p>
      <w:pPr>
        <w:pStyle w:val="Heading2"/>
        <w:keepNext/>
      </w:pPr>
      <w:r>
        <w:t>Solicitud desde cuenta ajena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Titular real.</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procesar por quien admite no ser titular.</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El cierre únicamente puede ser solicitado y validado por el titular de la cuenta. No podemos realizar cambios sensibles sobre una cuenta registrada a nombre de otra persona.</w:t>
      </w:r>
    </w:p>
    <w:p>
      <w:pPr>
        <w:pStyle w:val="Heading2"/>
        <w:keepNext/>
      </w:pPr>
      <w:r>
        <w:t>Cliente dice que no puede dejar de jugar</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Aplicar protocolo vigente de juego responsable/autoexclusión.</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intentar retener al cliente ni ofrecer promociones.</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Podemos ayudarte a restringir el acceso conforme al procedimiento de juego responsable. La solicitud debe tratarse como prioritaria y validaremos el proceso correspondiente para proteger la cuenta.</w:t>
      </w:r>
    </w:p>
    <w:p>
      <w:pPr>
        <w:spacing w:after="60" w:line="274" w:lineRule="auto"/>
        <w:ind w:left="173"/>
      </w:pPr>
      <w:r>
        <w:rPr>
          <w:rFonts w:ascii="Calibri" w:hAnsi="Calibri"/>
          <w:b/>
          <w:i w:val="0"/>
          <w:color w:val="F04C1C"/>
          <w:sz w:val="19"/>
        </w:rPr>
        <w:t xml:space="preserve">ESCALAR / REGISTRAR: </w:t>
      </w:r>
      <w:r>
        <w:rPr>
          <w:rFonts w:ascii="Calibri" w:hAnsi="Calibri"/>
          <w:b w:val="0"/>
          <w:i w:val="0"/>
          <w:color w:val="1F2D3D"/>
          <w:sz w:val="19"/>
        </w:rPr>
        <w:t>Escalar inmediatamente conforme al protocolo vigente de juego responsable.</w:t>
      </w:r>
    </w:p>
    <w:p>
      <w:pPr>
        <w:pStyle w:val="Heading2"/>
        <w:keepNext/>
      </w:pPr>
      <w:r>
        <w:t>Cuenta bloqueada / actividad sospechosa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Motivo verificable, tickets y KYC.</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acusar fraude por sospecha.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La cuenta presenta una revisión de seguridad. Antes de realizar cambios o movimientos necesitamos validar la información registrada y el historial correspondiente. Si requerimos alguna acción de tu parte te la indicaremos de forma específica.</w:t>
      </w:r>
    </w:p>
    <w:p>
      <w:pPr>
        <w:pStyle w:val="Heading1"/>
        <w:keepNext/>
      </w:pPr>
      <w:r>
        <w:t>15. Reclamos y manejo de cliente molesto</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Documentar hechos, evidencia, fuentes revisadas y última acción. No confrontar, admitir responsabilidad no confirmada ni acusar fraude. Los términos indican quejas sobre apuestas dentro de cuatro semanas del evento y permiten solicitar evidencia para resolverlas. [F1]</w:t>
            </w:r>
          </w:p>
        </w:tc>
      </w:tr>
    </w:tbl>
    <w:p>
      <w:pPr>
        <w:spacing w:after="20"/>
      </w:pPr>
    </w:p>
    <w:p>
      <w:pPr>
        <w:pStyle w:val="Heading2"/>
        <w:keepNext/>
      </w:pPr>
      <w:r>
        <w:t>Cliente molesto por demora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Estado real y última acción.</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responder solo “espere”.</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Entiendo la molestia porque esperabas que el proceso ya estuviera resuelto. Estoy revisando el historial completo para darte el estado real del caso y no una respuesta genérica. Si existe alguna acción pendiente por parte de Betxico, banco o proveedor, te indicaré exactamente cuál es.</w:t>
      </w:r>
    </w:p>
    <w:p>
      <w:pPr>
        <w:pStyle w:val="Heading2"/>
        <w:keepNext/>
      </w:pPr>
      <w:r>
        <w:t>Amenaza con PROFECO / denuncia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Hechos y ticket.</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confrontar ni minimizar.</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Entiendo que quieras dejar constancia de la situación. De nuestra parte registraremos el reporte y toda la evidencia disponible para que el caso sea revisado correctamente. Te compartiré únicamente información confirmada sobre el estado y las acciones realizadas.</w:t>
      </w:r>
    </w:p>
    <w:p>
      <w:pPr>
        <w:pStyle w:val="Heading2"/>
        <w:keepNext/>
      </w:pPr>
      <w:r>
        <w:t>Cliente acusa fraude / robo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Movimientos y evidencia.</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admitir responsabilidad no confirmada ni discutir.</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Entiendo la gravedad de lo que señalas. Voy a revisar los movimientos y antecedentes del caso para identificar qué ocurrió. No quiero darte una conclusión sin validar primero la información; si existe una incidencia, quedará registrada para la revisión correspondiente.</w:t>
      </w:r>
    </w:p>
    <w:p>
      <w:pPr>
        <w:pStyle w:val="Heading2"/>
        <w:keepNext/>
      </w:pPr>
      <w:r>
        <w:t>Cliente dice que grabó el chat</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Nada especial salvo trazabilidad.</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intimidar ni cambiar hechos.</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No hay inconveniente. Nosotros también dejaremos documentada la atención y el seguimiento del caso. Lo importante es confirmar el estado real del movimiento y darte la información validada.</w:t>
      </w:r>
    </w:p>
    <w:p>
      <w:pPr>
        <w:pStyle w:val="Heading2"/>
        <w:keepNext/>
      </w:pPr>
      <w:r>
        <w:t>Solicita supervisor</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Caso y disponibilidad/proceso.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fingir transferencia si no existe.</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Puedo dejar el caso documentado y escalarlo para revisión de Supervisión cuando corresponda. Antes de hacerlo registraré los hechos y la evidencia para que el seguimiento tenga toda la información necesaria.</w:t>
      </w:r>
    </w:p>
    <w:p>
      <w:pPr>
        <w:pStyle w:val="Heading1"/>
        <w:keepNext/>
      </w:pPr>
      <w:r>
        <w:t>16. Seguimiento y mensajes generales</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Cada mensaje debe decir qué fuente se revisa, qué hecho está confirmado y cuál es el siguiente paso. Evitar desaparecer del chat o responder solo 'espere'. Un ticket abierto registra el caso; no garantiza resolución. Un ticket cerrado no prueba ejecución financiera.</w:t>
            </w:r>
          </w:p>
        </w:tc>
      </w:tr>
    </w:tbl>
    <w:p>
      <w:pPr>
        <w:spacing w:after="20"/>
      </w:pPr>
    </w:p>
    <w:p>
      <w:pPr>
        <w:pStyle w:val="Heading2"/>
        <w:keepNext/>
      </w:pPr>
      <w:r>
        <w:t>Sigo revisando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Fuentes pendientes.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desaparecer del chat.</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Gracias por esperar. Sigo revisando la información de tu cuenta y los movimientos relacionados. En cuanto termine la validación te explico exactamente qué está ocurriendo y qué procede.</w:t>
      </w:r>
    </w:p>
    <w:p>
      <w:pPr>
        <w:pStyle w:val="Heading2"/>
        <w:keepNext/>
      </w:pPr>
      <w:r>
        <w:t>Ticket ya creado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Ticket y responsable.</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prometer resolución por existir ticket.</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Tu caso ya se encuentra registrado para revisión. El ticket permite que el área correspondiente tenga la información y evidencia necesarias, pero todavía debemos esperar a que exista una actualización confirmada.</w:t>
      </w:r>
    </w:p>
    <w:p>
      <w:pPr>
        <w:pStyle w:val="Heading2"/>
        <w:keepNext/>
      </w:pPr>
      <w:r>
        <w:t>Sin actualización del área</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Último comentario/ticket.</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inventar progreso.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Por el momento no existe una actualización nueva del área responsable. El caso continúa en seguimiento y prefiero no darte información que todavía no esté confirmada. En cuanto exista un cambio podremos indicarte el siguiente paso.</w:t>
      </w:r>
    </w:p>
    <w:p>
      <w:pPr>
        <w:pStyle w:val="Heading2"/>
        <w:keepNext/>
      </w:pPr>
      <w:r>
        <w:t>No hay tiempo exacto</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Estado activo.</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dar rangos inventados.</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Por el momento no contamos con un tiempo exacto para que concluya el proceso. Prefiero no darte un plazo que no pueda garantizarte. El caso continúa en seguimiento.</w:t>
      </w:r>
    </w:p>
    <w:p>
      <w:pPr>
        <w:pStyle w:val="Heading2"/>
        <w:keepNext/>
      </w:pPr>
      <w:r>
        <w:t>Cierre amable</w:t>
      </w:r>
    </w:p>
    <w:p>
      <w:pPr>
        <w:spacing w:after="60" w:line="274" w:lineRule="auto"/>
        <w:ind w:left="173"/>
      </w:pPr>
      <w:r>
        <w:rPr>
          <w:rFonts w:ascii="Calibri" w:hAnsi="Calibri"/>
          <w:b/>
          <w:i w:val="0"/>
          <w:color w:val="268049"/>
          <w:sz w:val="19"/>
        </w:rPr>
        <w:t xml:space="preserve">REVISAR: </w:t>
      </w:r>
      <w:r>
        <w:rPr>
          <w:rFonts w:ascii="Calibri" w:hAnsi="Calibri"/>
          <w:b w:val="0"/>
          <w:i w:val="0"/>
          <w:color w:val="1F2D3D"/>
          <w:sz w:val="19"/>
        </w:rPr>
        <w:t>Que no queden acciones pendientes.</w:t>
      </w:r>
    </w:p>
    <w:p>
      <w:pPr>
        <w:spacing w:after="60" w:line="274" w:lineRule="auto"/>
        <w:ind w:left="173"/>
      </w:pPr>
      <w:r>
        <w:rPr>
          <w:rFonts w:ascii="Calibri" w:hAnsi="Calibri"/>
          <w:b/>
          <w:i w:val="0"/>
          <w:color w:val="B62E2E"/>
          <w:sz w:val="19"/>
        </w:rPr>
        <w:t xml:space="preserve">EVITAR: </w:t>
      </w:r>
      <w:r>
        <w:rPr>
          <w:rFonts w:ascii="Calibri" w:hAnsi="Calibri"/>
          <w:b w:val="0"/>
          <w:i w:val="0"/>
          <w:color w:val="1F2D3D"/>
          <w:sz w:val="19"/>
        </w:rPr>
        <w:t>No cerrar si falta algo crítico.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¿Hay algo más en lo que pueda apoyarte? Si no, podemos dar por concluida la atención. Al cerrar el chat podrás calificar el servicio y dejar cualquier comentario que consideres necesario. Gracias por comunicarte con Betxico.</w:t>
      </w:r>
    </w:p>
    <w:p>
      <w:pPr>
        <w:pStyle w:val="Heading1"/>
        <w:keepNext/>
      </w:pPr>
      <w:r>
        <w:t>17. Solicitud de evidencias</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Solicitar la evidencia mínima necesaria y explicar para qué se requiere. Documentos personales o bancarios solo deben enviarse por canales autorizados. Los archivos deben permanecer disponibles para revisión humana y no enviarse a un modelo externo de IA.</w:t>
            </w:r>
          </w:p>
        </w:tc>
      </w:tr>
    </w:tbl>
    <w:p>
      <w:pPr>
        <w:spacing w:after="20"/>
      </w:pPr>
    </w:p>
    <w:p>
      <w:pPr>
        <w:pStyle w:val="Heading2"/>
        <w:keepNext/>
      </w:pPr>
      <w:r>
        <w:t>Captura completa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Por favor envíame una captura completa donde se vea el mensaje, la fecha/hora del dispositivo y la pantalla completa. Evita recortar únicamente el error, ya que necesitamos identificar el contexto.</w:t>
      </w:r>
    </w:p>
    <w:p>
      <w:pPr>
        <w:pStyle w:val="Heading2"/>
        <w:keepNext/>
      </w:pPr>
      <w:r>
        <w:t>Carátula bancaria</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Necesitamos una carátula o documento bancario donde se identifique el nombre del titular, banco y la cuenta requerida para la validación. Envíalo por el canal autorizado y oculta cualquier dato que no sea necesario para el proceso.</w:t>
      </w:r>
    </w:p>
    <w:p>
      <w:pPr>
        <w:pStyle w:val="Heading2"/>
        <w:keepNext/>
      </w:pPr>
      <w:r>
        <w:t>Comprobante de domicilio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Para completar la validación se requiere un comprobante de domicilio vigente y legible, conforme a los documentos permitidos por el proceso. Compártelo únicamente por el canal autorizado de verificación.</w:t>
      </w:r>
    </w:p>
    <w:p>
      <w:pPr>
        <w:pStyle w:val="Heading2"/>
        <w:keepNext/>
      </w:pPr>
      <w:r>
        <w:t>Historial de juego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Entra al historial del juego y envíame la sección donde aparezca la jugada o ronda reportada, incluyendo fecha/hora e importe cuando estén disponibles.</w:t>
      </w:r>
    </w:p>
    <w:p>
      <w:pPr>
        <w:pStyle w:val="Heading2"/>
        <w:keepNext/>
      </w:pPr>
      <w:r>
        <w:t>Ticket deportivo desplegado</w:t>
      </w:r>
    </w:p>
    <w:p>
      <w:pPr>
        <w:keepLines/>
        <w:spacing w:before="60" w:after="140" w:line="278" w:lineRule="auto"/>
        <w:ind w:left="230" w:right="115"/>
        <w:shd w:fill="E7F0F8"/>
        <w:pBdr>
          <w:left w:val="single" w:sz="20" w:space="8" w:color="0D5B97"/>
        </w:pBdr>
      </w:pPr>
      <w:r>
        <w:rPr>
          <w:rFonts w:ascii="Calibri" w:hAnsi="Calibri"/>
          <w:b/>
          <w:i w:val="0"/>
          <w:color w:val="0D5B97"/>
          <w:sz w:val="18"/>
        </w:rPr>
        <w:t>BORRADOR PARA EL CLIENTE</w:t>
        <w:br/>
      </w:r>
      <w:r>
        <w:rPr>
          <w:rFonts w:ascii="Calibri" w:hAnsi="Calibri"/>
          <w:b w:val="0"/>
          <w:i w:val="0"/>
          <w:color w:val="1F2D3D"/>
          <w:sz w:val="20"/>
        </w:rPr>
        <w:t>Abre el ticket para que se vean todas las selecciones, mercados, momios y estado de la apuesta y envíame una captura completa.</w:t>
      </w:r>
    </w:p>
    <w:p>
      <w:pPr>
        <w:pStyle w:val="Heading1"/>
        <w:keepNext/>
      </w:pPr>
      <w:r>
        <w:t>18. Plantillas internas: Jira, Slack y notas</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REGLAS Y RUTA DE CONSULTA</w:t>
            </w:r>
          </w:p>
          <w:p>
            <w:pPr>
              <w:spacing w:after="0" w:line="283" w:lineRule="auto"/>
            </w:pPr>
            <w:r>
              <w:rPr>
                <w:rFonts w:ascii="Calibri" w:hAnsi="Calibri"/>
                <w:b w:val="0"/>
                <w:i w:val="0"/>
                <w:color w:val="1F2D3D"/>
                <w:sz w:val="20"/>
              </w:rPr>
              <w:t>Las plantillas internas deben registrar hechos y fuentes, no conclusiones no verificadas. El correo completo y los documentos no deben aparecer en trazas públicas. No comentar en Jira, publicar en Slack ni ejecutar una acción externa sin revisión y autorización humana cuando el flujo lo exija.</w:t>
            </w:r>
          </w:p>
        </w:tc>
      </w:tr>
    </w:tbl>
    <w:p>
      <w:pPr>
        <w:spacing w:after="20"/>
      </w:pPr>
    </w:p>
    <w:p>
      <w:pPr>
        <w:pStyle w:val="Heading2"/>
        <w:keepNext/>
      </w:pPr>
      <w:r>
        <w:t>Jira — retiro retenido</w:t>
      </w:r>
    </w:p>
    <w:p>
      <w:pPr>
        <w:keepLines/>
        <w:spacing w:before="60" w:after="140" w:line="278" w:lineRule="auto"/>
        <w:ind w:left="230" w:right="115"/>
        <w:shd w:fill="EEEAFB"/>
        <w:pBdr>
          <w:left w:val="single" w:sz="20" w:space="8" w:color="5B40B2"/>
        </w:pBdr>
      </w:pPr>
      <w:r>
        <w:rPr>
          <w:rFonts w:ascii="Calibri" w:hAnsi="Calibri"/>
          <w:b/>
          <w:i w:val="0"/>
          <w:color w:val="5B40B2"/>
          <w:sz w:val="18"/>
        </w:rPr>
        <w:t>PLANTILLA INTERNA</w:t>
        <w:br/>
      </w:r>
      <w:r>
        <w:rPr>
          <w:rFonts w:ascii="Calibri" w:hAnsi="Calibri"/>
          <w:b w:val="0"/>
          <w:i w:val="0"/>
          <w:color w:val="1F2D3D"/>
          <w:sz w:val="20"/>
        </w:rPr>
        <w:t>Proceso: retiro retenido. Correo/Auth ID: [dato]. Fecha/monto: [dato]. Motivo verificado: [motivo]. Fuentes revisadas: [fuentes]. Evidencia: [resumen]. Acción solicitada: [acción]. Cliente informado: [sí/no].</w:t>
      </w:r>
    </w:p>
    <w:p>
      <w:pPr>
        <w:pStyle w:val="Heading2"/>
        <w:keepNext/>
      </w:pPr>
      <w:r>
        <w:t>Jira — depósito no reflejado</w:t>
      </w:r>
    </w:p>
    <w:p>
      <w:pPr>
        <w:keepLines/>
        <w:spacing w:before="60" w:after="140" w:line="278" w:lineRule="auto"/>
        <w:ind w:left="230" w:right="115"/>
        <w:shd w:fill="EEEAFB"/>
        <w:pBdr>
          <w:left w:val="single" w:sz="20" w:space="8" w:color="5B40B2"/>
        </w:pBdr>
      </w:pPr>
      <w:r>
        <w:rPr>
          <w:rFonts w:ascii="Calibri" w:hAnsi="Calibri"/>
          <w:b/>
          <w:i w:val="0"/>
          <w:color w:val="5B40B2"/>
          <w:sz w:val="18"/>
        </w:rPr>
        <w:t>PLANTILLA INTERNA</w:t>
        <w:br/>
      </w:r>
      <w:r>
        <w:rPr>
          <w:rFonts w:ascii="Calibri" w:hAnsi="Calibri"/>
          <w:b w:val="0"/>
          <w:i w:val="0"/>
          <w:color w:val="1F2D3D"/>
          <w:sz w:val="20"/>
        </w:rPr>
        <w:t>Proceso: depósito no reflejado. Medio: [SPEI/OXXO/Wallet]. Fecha/hora: [dato]. Monto: [dato]. Rastreo/referencia: [dato]. Evidencia recibida: [tipo]. Estado validado: [dato]. Acción requerida: [acción].</w:t>
      </w:r>
    </w:p>
    <w:p>
      <w:pPr>
        <w:pStyle w:val="Heading2"/>
        <w:keepNext/>
      </w:pPr>
      <w:r>
        <w:t>Jira — DevWallet</w:t>
      </w:r>
    </w:p>
    <w:p>
      <w:pPr>
        <w:keepLines/>
        <w:spacing w:before="60" w:after="140" w:line="278" w:lineRule="auto"/>
        <w:ind w:left="230" w:right="115"/>
        <w:shd w:fill="EEEAFB"/>
        <w:pBdr>
          <w:left w:val="single" w:sz="20" w:space="8" w:color="5B40B2"/>
        </w:pBdr>
      </w:pPr>
      <w:r>
        <w:rPr>
          <w:rFonts w:ascii="Calibri" w:hAnsi="Calibri"/>
          <w:b/>
          <w:i w:val="0"/>
          <w:color w:val="5B40B2"/>
          <w:sz w:val="18"/>
        </w:rPr>
        <w:t>PLANTILLA INTERNA</w:t>
        <w:br/>
      </w:r>
      <w:r>
        <w:rPr>
          <w:rFonts w:ascii="Calibri" w:hAnsi="Calibri"/>
          <w:b w:val="0"/>
          <w:i w:val="0"/>
          <w:color w:val="1F2D3D"/>
          <w:sz w:val="20"/>
        </w:rPr>
        <w:t>Proceso: Devolución Wallet. Depósito: [monto/cuenta/titular]. Retiro: [monto/cuenta/titular]. Uso del depósito: [confirmado/pendiente]. Escenario: [DW1/DW2/DW3]. Advertencia: [sí/no]. Acción solicitada: [pago único/devolución origen/revisión].</w:t>
      </w:r>
    </w:p>
    <w:p>
      <w:pPr>
        <w:pStyle w:val="Heading2"/>
        <w:keepNext/>
      </w:pPr>
      <w:r>
        <w:t>Jira — ganancia no reflejada</w:t>
      </w:r>
    </w:p>
    <w:p>
      <w:pPr>
        <w:keepLines/>
        <w:spacing w:before="60" w:after="140" w:line="278" w:lineRule="auto"/>
        <w:ind w:left="230" w:right="115"/>
        <w:shd w:fill="EEEAFB"/>
        <w:pBdr>
          <w:left w:val="single" w:sz="20" w:space="8" w:color="5B40B2"/>
        </w:pBdr>
      </w:pPr>
      <w:r>
        <w:rPr>
          <w:rFonts w:ascii="Calibri" w:hAnsi="Calibri"/>
          <w:b/>
          <w:i w:val="0"/>
          <w:color w:val="5B40B2"/>
          <w:sz w:val="18"/>
        </w:rPr>
        <w:t>PLANTILLA INTERNA</w:t>
        <w:br/>
      </w:r>
      <w:r>
        <w:rPr>
          <w:rFonts w:ascii="Calibri" w:hAnsi="Calibri"/>
          <w:b w:val="0"/>
          <w:i w:val="0"/>
          <w:color w:val="1F2D3D"/>
          <w:sz w:val="20"/>
        </w:rPr>
        <w:t>Juego/proveedor: [dato]. Fecha/hora: [dato]. Importe reclamado: [dato]. Evidencia: [capturas/historial]. Revisión interna: [dato]. Acción: solicitar validación de proveedor.</w:t>
      </w:r>
    </w:p>
    <w:p>
      <w:pPr>
        <w:pStyle w:val="Heading2"/>
        <w:keepNext/>
      </w:pPr>
      <w:r>
        <w:t>Jira — doble cuenta</w:t>
      </w:r>
    </w:p>
    <w:p>
      <w:pPr>
        <w:keepLines/>
        <w:spacing w:before="60" w:after="140" w:line="278" w:lineRule="auto"/>
        <w:ind w:left="230" w:right="115"/>
        <w:shd w:fill="EEEAFB"/>
        <w:pBdr>
          <w:left w:val="single" w:sz="20" w:space="8" w:color="5B40B2"/>
        </w:pBdr>
      </w:pPr>
      <w:r>
        <w:rPr>
          <w:rFonts w:ascii="Calibri" w:hAnsi="Calibri"/>
          <w:b/>
          <w:i w:val="0"/>
          <w:color w:val="5B40B2"/>
          <w:sz w:val="18"/>
        </w:rPr>
        <w:t>PLANTILLA INTERNA</w:t>
        <w:br/>
      </w:r>
      <w:r>
        <w:rPr>
          <w:rFonts w:ascii="Calibri" w:hAnsi="Calibri"/>
          <w:b w:val="0"/>
          <w:i w:val="0"/>
          <w:color w:val="1F2D3D"/>
          <w:sz w:val="20"/>
        </w:rPr>
        <w:t>Cuenta 1: [Auth/correo/estado]. Cuenta 2: [Auth/correo/estado]. CURP/KYC: [resumen]. Saldo: [resumen]. Movimientos/titularidad: [resumen]. Cuenta propuesta a conservar: [dato/no determinado]. Requiere decisión de Supervisión.</w:t>
      </w:r>
    </w:p>
    <w:p>
      <w:pPr>
        <w:pStyle w:val="Heading2"/>
        <w:keepNext/>
      </w:pPr>
      <w:r>
        <w:t>Slack — Supervisión</w:t>
      </w:r>
    </w:p>
    <w:p>
      <w:pPr>
        <w:keepLines/>
        <w:spacing w:before="60" w:after="140" w:line="278" w:lineRule="auto"/>
        <w:ind w:left="230" w:right="115"/>
        <w:shd w:fill="EEEAFB"/>
        <w:pBdr>
          <w:left w:val="single" w:sz="20" w:space="8" w:color="5B40B2"/>
        </w:pBdr>
      </w:pPr>
      <w:r>
        <w:rPr>
          <w:rFonts w:ascii="Calibri" w:hAnsi="Calibri"/>
          <w:b/>
          <w:i w:val="0"/>
          <w:color w:val="5B40B2"/>
          <w:sz w:val="18"/>
        </w:rPr>
        <w:t>PLANTILLA INTERNA</w:t>
        <w:br/>
      </w:r>
      <w:r>
        <w:rPr>
          <w:rFonts w:ascii="Calibri" w:hAnsi="Calibri"/>
          <w:b w:val="0"/>
          <w:i w:val="0"/>
          <w:color w:val="1F2D3D"/>
          <w:sz w:val="20"/>
        </w:rPr>
        <w:t>Se requiere decisión para [proceso]. Hechos confirmados: [hechos]. Fuentes revisadas: [fuentes]. Falta confirmar: [dato]. Riesgo: [nivel]. Solicito confirmar [acción concreta].</w:t>
      </w:r>
    </w:p>
    <w:p>
      <w:pPr>
        <w:pStyle w:val="Heading2"/>
        <w:keepNext/>
      </w:pPr>
      <w:r>
        <w:t>Nota interna LiveChat</w:t>
      </w:r>
    </w:p>
    <w:p>
      <w:pPr>
        <w:keepLines/>
        <w:spacing w:before="60" w:after="140" w:line="278" w:lineRule="auto"/>
        <w:ind w:left="230" w:right="115"/>
        <w:shd w:fill="EEEAFB"/>
        <w:pBdr>
          <w:left w:val="single" w:sz="20" w:space="8" w:color="5B40B2"/>
        </w:pBdr>
      </w:pPr>
      <w:r>
        <w:rPr>
          <w:rFonts w:ascii="Calibri" w:hAnsi="Calibri"/>
          <w:b/>
          <w:i w:val="0"/>
          <w:color w:val="5B40B2"/>
          <w:sz w:val="18"/>
        </w:rPr>
        <w:t>PLANTILLA INTERNA</w:t>
        <w:br/>
      </w:r>
      <w:r>
        <w:rPr>
          <w:rFonts w:ascii="Calibri" w:hAnsi="Calibri"/>
          <w:b w:val="0"/>
          <w:i w:val="0"/>
          <w:color w:val="1F2D3D"/>
          <w:sz w:val="20"/>
        </w:rPr>
        <w:t>Cliente contacta por [motivo]. Se revisa [fuentes]. Hallazgo: [hecho]. Se solicita [evidencia/acción]. Se informa al cliente [resumen]. Pendiente: [siguiente paso].</w:t>
      </w:r>
    </w:p>
    <w:p>
      <w:pPr>
        <w:pStyle w:val="Heading2"/>
        <w:keepNext/>
      </w:pPr>
      <w:r>
        <w:t>Seguimiento de ticket</w:t>
      </w:r>
    </w:p>
    <w:p>
      <w:pPr>
        <w:keepLines/>
        <w:spacing w:before="60" w:after="140" w:line="278" w:lineRule="auto"/>
        <w:ind w:left="230" w:right="115"/>
        <w:shd w:fill="EEEAFB"/>
        <w:pBdr>
          <w:left w:val="single" w:sz="20" w:space="8" w:color="5B40B2"/>
        </w:pBdr>
      </w:pPr>
      <w:r>
        <w:rPr>
          <w:rFonts w:ascii="Calibri" w:hAnsi="Calibri"/>
          <w:b/>
          <w:i w:val="0"/>
          <w:color w:val="5B40B2"/>
          <w:sz w:val="18"/>
        </w:rPr>
        <w:t>PLANTILLA INTERNA</w:t>
        <w:br/>
      </w:r>
      <w:r>
        <w:rPr>
          <w:rFonts w:ascii="Calibri" w:hAnsi="Calibri"/>
          <w:b w:val="0"/>
          <w:i w:val="0"/>
          <w:color w:val="1F2D3D"/>
          <w:sz w:val="20"/>
        </w:rPr>
        <w:t>[Fecha] Caso revisado en [fuentes]. Hallazgo: [hecho]. Falta confirmar: [dato]. Acción solicitada a [área]: [acción]. Cliente informado: [sí/no].</w:t>
      </w:r>
    </w:p>
    <w:p>
      <w:r>
        <w:br w:type="page"/>
      </w:r>
    </w:p>
    <w:p>
      <w:pPr>
        <w:spacing w:before="0" w:after="60" w:line="288" w:lineRule="auto"/>
      </w:pPr>
      <w:r>
        <w:rPr>
          <w:rFonts w:ascii="Calibri" w:hAnsi="Calibri"/>
          <w:b/>
          <w:i w:val="0"/>
          <w:color w:val="F04C1C"/>
          <w:sz w:val="20"/>
        </w:rPr>
        <w:t>PARTE III</w:t>
      </w:r>
    </w:p>
    <w:p>
      <w:pPr>
        <w:pStyle w:val="Heading1"/>
        <w:keepNext/>
      </w:pPr>
      <w:r>
        <w:t>Controles transversales</w:t>
      </w:r>
    </w:p>
    <w:p>
      <w:pPr>
        <w:pStyle w:val="Heading2"/>
        <w:keepNext/>
      </w:pPr>
      <w:r>
        <w:t>19. Matriz de escalamiento</w:t>
      </w:r>
    </w:p>
    <w:tbl>
      <w:tblPr>
        <w:tblStyle w:val="TableGrid"/>
        <w:tblW w:type="dxa" w:w="9360"/>
        <w:jc w:val="center"/>
        <w:tblLayout w:type="fixed"/>
        <w:tblLook w:firstColumn="1" w:firstRow="1" w:lastColumn="0" w:lastRow="0" w:noHBand="0" w:noVBand="1" w:val="04A0"/>
      </w:tblPr>
      <w:tblGrid>
        <w:gridCol w:w="2376"/>
        <w:gridCol w:w="2592"/>
        <w:gridCol w:w="4392"/>
      </w:tblGrid>
      <w:tr>
        <w:trPr>
          <w:tblHeader/>
          <w:cantSplit/>
        </w:trPr>
        <w:tc>
          <w:tcPr>
            <w:tcW w:type="dxa" w:w="2376"/>
            <w:shd w:fill="083058"/>
            <w:tcMar>
              <w:top w:w="100" w:type="dxa"/>
              <w:bottom w:w="100" w:type="dxa"/>
              <w:start w:w="130" w:type="dxa"/>
              <w:end w:w="130" w:type="dxa"/>
            </w:tcMar>
            <w:vAlign w:val="center"/>
          </w:tcPr>
          <w:p>
            <w:r>
              <w:rPr>
                <w:rFonts w:ascii="Calibri" w:hAnsi="Calibri"/>
                <w:b/>
                <w:i w:val="0"/>
                <w:color w:val="FFFFFF"/>
                <w:sz w:val="17"/>
              </w:rPr>
              <w:t>Caso</w:t>
            </w:r>
          </w:p>
        </w:tc>
        <w:tc>
          <w:tcPr>
            <w:tcW w:type="dxa" w:w="2592"/>
            <w:shd w:fill="083058"/>
            <w:tcMar>
              <w:top w:w="100" w:type="dxa"/>
              <w:bottom w:w="100" w:type="dxa"/>
              <w:start w:w="130" w:type="dxa"/>
              <w:end w:w="130" w:type="dxa"/>
            </w:tcMar>
            <w:vAlign w:val="center"/>
          </w:tcPr>
          <w:p>
            <w:r>
              <w:rPr>
                <w:rFonts w:ascii="Calibri" w:hAnsi="Calibri"/>
                <w:b/>
                <w:i w:val="0"/>
                <w:color w:val="FFFFFF"/>
                <w:sz w:val="17"/>
              </w:rPr>
              <w:t>Área</w:t>
            </w:r>
          </w:p>
        </w:tc>
        <w:tc>
          <w:tcPr>
            <w:tcW w:type="dxa" w:w="4392"/>
            <w:shd w:fill="083058"/>
            <w:tcMar>
              <w:top w:w="100" w:type="dxa"/>
              <w:bottom w:w="100" w:type="dxa"/>
              <w:start w:w="130" w:type="dxa"/>
              <w:end w:w="130" w:type="dxa"/>
            </w:tcMar>
            <w:vAlign w:val="center"/>
          </w:tcPr>
          <w:p>
            <w:r>
              <w:rPr>
                <w:rFonts w:ascii="Calibri" w:hAnsi="Calibri"/>
                <w:b/>
                <w:i w:val="0"/>
                <w:color w:val="FFFFFF"/>
                <w:sz w:val="17"/>
              </w:rPr>
              <w:t>Control obligatorio</w:t>
            </w:r>
          </w:p>
        </w:tc>
      </w:tr>
      <w:tr>
        <w:trPr>
          <w:cantSplit/>
        </w:trPr>
        <w:tc>
          <w:tcPr>
            <w:tcW w:type="dxa" w:w="2376"/>
            <w:tcMar>
              <w:top w:w="100" w:type="dxa"/>
              <w:bottom w:w="100" w:type="dxa"/>
              <w:start w:w="130" w:type="dxa"/>
              <w:end w:w="130" w:type="dxa"/>
            </w:tcMar>
            <w:vAlign w:val="center"/>
          </w:tcPr>
          <w:p>
            <w:pPr>
              <w:spacing w:after="0" w:line="259" w:lineRule="auto"/>
            </w:pPr>
            <w:r>
              <w:rPr>
                <w:rFonts w:ascii="Calibri" w:hAnsi="Calibri"/>
                <w:b w:val="0"/>
                <w:i w:val="0"/>
                <w:color w:val="1F2D3D"/>
                <w:sz w:val="17"/>
              </w:rPr>
              <w:t>Pago o devolución manual</w:t>
            </w:r>
          </w:p>
        </w:tc>
        <w:tc>
          <w:tcPr>
            <w:tcW w:type="dxa" w:w="2592"/>
            <w:tcMar>
              <w:top w:w="100" w:type="dxa"/>
              <w:bottom w:w="100" w:type="dxa"/>
              <w:start w:w="130" w:type="dxa"/>
              <w:end w:w="130" w:type="dxa"/>
            </w:tcMar>
            <w:vAlign w:val="center"/>
          </w:tcPr>
          <w:p>
            <w:pPr>
              <w:spacing w:after="0" w:line="259" w:lineRule="auto"/>
            </w:pPr>
            <w:r>
              <w:rPr>
                <w:rFonts w:ascii="Calibri" w:hAnsi="Calibri"/>
                <w:b w:val="0"/>
                <w:i w:val="0"/>
                <w:color w:val="1F2D3D"/>
                <w:sz w:val="17"/>
              </w:rPr>
              <w:t>Supervisión + Transacciones</w:t>
            </w:r>
          </w:p>
        </w:tc>
        <w:tc>
          <w:tcPr>
            <w:tcW w:type="dxa" w:w="4392"/>
            <w:tcMar>
              <w:top w:w="100" w:type="dxa"/>
              <w:bottom w:w="100" w:type="dxa"/>
              <w:start w:w="130" w:type="dxa"/>
              <w:end w:w="130" w:type="dxa"/>
            </w:tcMar>
            <w:vAlign w:val="center"/>
          </w:tcPr>
          <w:p>
            <w:pPr>
              <w:spacing w:after="0" w:line="259" w:lineRule="auto"/>
            </w:pPr>
            <w:r>
              <w:rPr>
                <w:rFonts w:ascii="Calibri" w:hAnsi="Calibri"/>
                <w:b w:val="0"/>
                <w:i w:val="0"/>
                <w:color w:val="1F2D3D"/>
                <w:sz w:val="17"/>
              </w:rPr>
              <w:t>Autorización, evidencia y verificación de ejecución.</w:t>
            </w:r>
          </w:p>
        </w:tc>
      </w:tr>
      <w:tr>
        <w:trPr>
          <w:cantSplit/>
        </w:trPr>
        <w:tc>
          <w:tcPr>
            <w:tcW w:type="dxa" w:w="2376"/>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7"/>
              </w:rPr>
              <w:t>Identidad inconsistente</w:t>
            </w:r>
          </w:p>
        </w:tc>
        <w:tc>
          <w:tcPr>
            <w:tcW w:type="dxa" w:w="259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7"/>
              </w:rPr>
              <w:t>Supervisión</w:t>
            </w:r>
          </w:p>
        </w:tc>
        <w:tc>
          <w:tcPr>
            <w:tcW w:type="dxa" w:w="439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7"/>
              </w:rPr>
              <w:t>Comparar registro, KYC, depósitos y retiros.</w:t>
            </w:r>
          </w:p>
        </w:tc>
      </w:tr>
      <w:tr>
        <w:trPr>
          <w:cantSplit/>
        </w:trPr>
        <w:tc>
          <w:tcPr>
            <w:tcW w:type="dxa" w:w="2376"/>
            <w:tcMar>
              <w:top w:w="100" w:type="dxa"/>
              <w:bottom w:w="100" w:type="dxa"/>
              <w:start w:w="130" w:type="dxa"/>
              <w:end w:w="130" w:type="dxa"/>
            </w:tcMar>
            <w:vAlign w:val="center"/>
          </w:tcPr>
          <w:p>
            <w:pPr>
              <w:spacing w:after="0" w:line="259" w:lineRule="auto"/>
            </w:pPr>
            <w:r>
              <w:rPr>
                <w:rFonts w:ascii="Calibri" w:hAnsi="Calibri"/>
                <w:b w:val="0"/>
                <w:i w:val="0"/>
                <w:color w:val="1F2D3D"/>
                <w:sz w:val="17"/>
              </w:rPr>
              <w:t>Doble cuenta con saldo</w:t>
            </w:r>
          </w:p>
        </w:tc>
        <w:tc>
          <w:tcPr>
            <w:tcW w:type="dxa" w:w="2592"/>
            <w:tcMar>
              <w:top w:w="100" w:type="dxa"/>
              <w:bottom w:w="100" w:type="dxa"/>
              <w:start w:w="130" w:type="dxa"/>
              <w:end w:w="130" w:type="dxa"/>
            </w:tcMar>
            <w:vAlign w:val="center"/>
          </w:tcPr>
          <w:p>
            <w:pPr>
              <w:spacing w:after="0" w:line="259" w:lineRule="auto"/>
            </w:pPr>
            <w:r>
              <w:rPr>
                <w:rFonts w:ascii="Calibri" w:hAnsi="Calibri"/>
                <w:b w:val="0"/>
                <w:i w:val="0"/>
                <w:color w:val="1F2D3D"/>
                <w:sz w:val="17"/>
              </w:rPr>
              <w:t>Supervisión / Bloqueados</w:t>
            </w:r>
          </w:p>
        </w:tc>
        <w:tc>
          <w:tcPr>
            <w:tcW w:type="dxa" w:w="4392"/>
            <w:tcMar>
              <w:top w:w="100" w:type="dxa"/>
              <w:bottom w:w="100" w:type="dxa"/>
              <w:start w:w="130" w:type="dxa"/>
              <w:end w:w="130" w:type="dxa"/>
            </w:tcMar>
            <w:vAlign w:val="center"/>
          </w:tcPr>
          <w:p>
            <w:pPr>
              <w:spacing w:after="0" w:line="259" w:lineRule="auto"/>
            </w:pPr>
            <w:r>
              <w:rPr>
                <w:rFonts w:ascii="Calibri" w:hAnsi="Calibri"/>
                <w:b w:val="0"/>
                <w:i w:val="0"/>
                <w:color w:val="1F2D3D"/>
                <w:sz w:val="17"/>
              </w:rPr>
              <w:t>Gestionar saldo antes de bloquear.</w:t>
            </w:r>
          </w:p>
        </w:tc>
      </w:tr>
      <w:tr>
        <w:trPr>
          <w:cantSplit/>
        </w:trPr>
        <w:tc>
          <w:tcPr>
            <w:tcW w:type="dxa" w:w="2376"/>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7"/>
              </w:rPr>
              <w:t>DevWallet</w:t>
            </w:r>
          </w:p>
        </w:tc>
        <w:tc>
          <w:tcPr>
            <w:tcW w:type="dxa" w:w="259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7"/>
              </w:rPr>
              <w:t>Supervisión + Transacciones</w:t>
            </w:r>
          </w:p>
        </w:tc>
        <w:tc>
          <w:tcPr>
            <w:tcW w:type="dxa" w:w="439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7"/>
              </w:rPr>
              <w:t>Clasificar titularidad y uso del depósito.</w:t>
            </w:r>
          </w:p>
        </w:tc>
      </w:tr>
      <w:tr>
        <w:trPr>
          <w:cantSplit/>
        </w:trPr>
        <w:tc>
          <w:tcPr>
            <w:tcW w:type="dxa" w:w="2376"/>
            <w:tcMar>
              <w:top w:w="100" w:type="dxa"/>
              <w:bottom w:w="100" w:type="dxa"/>
              <w:start w:w="130" w:type="dxa"/>
              <w:end w:w="130" w:type="dxa"/>
            </w:tcMar>
            <w:vAlign w:val="center"/>
          </w:tcPr>
          <w:p>
            <w:pPr>
              <w:spacing w:after="0" w:line="259" w:lineRule="auto"/>
            </w:pPr>
            <w:r>
              <w:rPr>
                <w:rFonts w:ascii="Calibri" w:hAnsi="Calibri"/>
                <w:b w:val="0"/>
                <w:i w:val="0"/>
                <w:color w:val="1F2D3D"/>
                <w:sz w:val="17"/>
              </w:rPr>
              <w:t>Ganancia no reflejada</w:t>
            </w:r>
          </w:p>
        </w:tc>
        <w:tc>
          <w:tcPr>
            <w:tcW w:type="dxa" w:w="2592"/>
            <w:tcMar>
              <w:top w:w="100" w:type="dxa"/>
              <w:bottom w:w="100" w:type="dxa"/>
              <w:start w:w="130" w:type="dxa"/>
              <w:end w:w="130" w:type="dxa"/>
            </w:tcMar>
            <w:vAlign w:val="center"/>
          </w:tcPr>
          <w:p>
            <w:pPr>
              <w:spacing w:after="0" w:line="259" w:lineRule="auto"/>
            </w:pPr>
            <w:r>
              <w:rPr>
                <w:rFonts w:ascii="Calibri" w:hAnsi="Calibri"/>
                <w:b w:val="0"/>
                <w:i w:val="0"/>
                <w:color w:val="1F2D3D"/>
                <w:sz w:val="17"/>
              </w:rPr>
              <w:t>Proveedor / Juegos</w:t>
            </w:r>
          </w:p>
        </w:tc>
        <w:tc>
          <w:tcPr>
            <w:tcW w:type="dxa" w:w="4392"/>
            <w:tcMar>
              <w:top w:w="100" w:type="dxa"/>
              <w:bottom w:w="100" w:type="dxa"/>
              <w:start w:w="130" w:type="dxa"/>
              <w:end w:w="130" w:type="dxa"/>
            </w:tcMar>
            <w:vAlign w:val="center"/>
          </w:tcPr>
          <w:p>
            <w:pPr>
              <w:spacing w:after="0" w:line="259" w:lineRule="auto"/>
            </w:pPr>
            <w:r>
              <w:rPr>
                <w:rFonts w:ascii="Calibri" w:hAnsi="Calibri"/>
                <w:b w:val="0"/>
                <w:i w:val="0"/>
                <w:color w:val="1F2D3D"/>
                <w:sz w:val="17"/>
              </w:rPr>
              <w:t>No abonar sin confirmación técnica.</w:t>
            </w:r>
          </w:p>
        </w:tc>
      </w:tr>
      <w:tr>
        <w:trPr>
          <w:cantSplit/>
        </w:trPr>
        <w:tc>
          <w:tcPr>
            <w:tcW w:type="dxa" w:w="2376"/>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7"/>
              </w:rPr>
              <w:t>Depósito no conciliado</w:t>
            </w:r>
          </w:p>
        </w:tc>
        <w:tc>
          <w:tcPr>
            <w:tcW w:type="dxa" w:w="259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7"/>
              </w:rPr>
              <w:t>Pagos / Transacciones</w:t>
            </w:r>
          </w:p>
        </w:tc>
        <w:tc>
          <w:tcPr>
            <w:tcW w:type="dxa" w:w="439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7"/>
              </w:rPr>
              <w:t>Adjuntar CEP, referencia o evidencia mínima.</w:t>
            </w:r>
          </w:p>
        </w:tc>
      </w:tr>
      <w:tr>
        <w:trPr>
          <w:cantSplit/>
        </w:trPr>
        <w:tc>
          <w:tcPr>
            <w:tcW w:type="dxa" w:w="2376"/>
            <w:tcMar>
              <w:top w:w="100" w:type="dxa"/>
              <w:bottom w:w="100" w:type="dxa"/>
              <w:start w:w="130" w:type="dxa"/>
              <w:end w:w="130" w:type="dxa"/>
            </w:tcMar>
            <w:vAlign w:val="center"/>
          </w:tcPr>
          <w:p>
            <w:pPr>
              <w:spacing w:after="0" w:line="259" w:lineRule="auto"/>
            </w:pPr>
            <w:r>
              <w:rPr>
                <w:rFonts w:ascii="Calibri" w:hAnsi="Calibri"/>
                <w:b w:val="0"/>
                <w:i w:val="0"/>
                <w:color w:val="1F2D3D"/>
                <w:sz w:val="17"/>
              </w:rPr>
              <w:t>Retiro sin motivo claro</w:t>
            </w:r>
          </w:p>
        </w:tc>
        <w:tc>
          <w:tcPr>
            <w:tcW w:type="dxa" w:w="2592"/>
            <w:tcMar>
              <w:top w:w="100" w:type="dxa"/>
              <w:bottom w:w="100" w:type="dxa"/>
              <w:start w:w="130" w:type="dxa"/>
              <w:end w:w="130" w:type="dxa"/>
            </w:tcMar>
            <w:vAlign w:val="center"/>
          </w:tcPr>
          <w:p>
            <w:pPr>
              <w:spacing w:after="0" w:line="259" w:lineRule="auto"/>
            </w:pPr>
            <w:r>
              <w:rPr>
                <w:rFonts w:ascii="Calibri" w:hAnsi="Calibri"/>
                <w:b w:val="0"/>
                <w:i w:val="0"/>
                <w:color w:val="1F2D3D"/>
                <w:sz w:val="17"/>
              </w:rPr>
              <w:t>Supervisión</w:t>
            </w:r>
          </w:p>
        </w:tc>
        <w:tc>
          <w:tcPr>
            <w:tcW w:type="dxa" w:w="4392"/>
            <w:tcMar>
              <w:top w:w="100" w:type="dxa"/>
              <w:bottom w:w="100" w:type="dxa"/>
              <w:start w:w="130" w:type="dxa"/>
              <w:end w:w="130" w:type="dxa"/>
            </w:tcMar>
            <w:vAlign w:val="center"/>
          </w:tcPr>
          <w:p>
            <w:pPr>
              <w:spacing w:after="0" w:line="259" w:lineRule="auto"/>
            </w:pPr>
            <w:r>
              <w:rPr>
                <w:rFonts w:ascii="Calibri" w:hAnsi="Calibri"/>
                <w:b w:val="0"/>
                <w:i w:val="0"/>
                <w:color w:val="1F2D3D"/>
                <w:sz w:val="17"/>
              </w:rPr>
              <w:t>No inventar causa; registrar fuentes disponibles.</w:t>
            </w:r>
          </w:p>
        </w:tc>
      </w:tr>
      <w:tr>
        <w:trPr>
          <w:cantSplit/>
        </w:trPr>
        <w:tc>
          <w:tcPr>
            <w:tcW w:type="dxa" w:w="2376"/>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7"/>
              </w:rPr>
              <w:t>Juego responsable</w:t>
            </w:r>
          </w:p>
        </w:tc>
        <w:tc>
          <w:tcPr>
            <w:tcW w:type="dxa" w:w="259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7"/>
              </w:rPr>
              <w:t>Protocolo prioritario</w:t>
            </w:r>
          </w:p>
        </w:tc>
        <w:tc>
          <w:tcPr>
            <w:tcW w:type="dxa" w:w="439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7"/>
              </w:rPr>
              <w:t>No ofrecer promociones ni intentar retener.</w:t>
            </w:r>
          </w:p>
        </w:tc>
      </w:tr>
      <w:tr>
        <w:trPr>
          <w:cantSplit/>
        </w:trPr>
        <w:tc>
          <w:tcPr>
            <w:tcW w:type="dxa" w:w="2376"/>
            <w:tcMar>
              <w:top w:w="100" w:type="dxa"/>
              <w:bottom w:w="100" w:type="dxa"/>
              <w:start w:w="130" w:type="dxa"/>
              <w:end w:w="130" w:type="dxa"/>
            </w:tcMar>
            <w:vAlign w:val="center"/>
          </w:tcPr>
          <w:p>
            <w:pPr>
              <w:spacing w:after="0" w:line="259" w:lineRule="auto"/>
            </w:pPr>
            <w:r>
              <w:rPr>
                <w:rFonts w:ascii="Calibri" w:hAnsi="Calibri"/>
                <w:b w:val="0"/>
                <w:i w:val="0"/>
                <w:color w:val="1F2D3D"/>
                <w:sz w:val="17"/>
              </w:rPr>
              <w:t>Bono ambiguo</w:t>
            </w:r>
          </w:p>
        </w:tc>
        <w:tc>
          <w:tcPr>
            <w:tcW w:type="dxa" w:w="2592"/>
            <w:tcMar>
              <w:top w:w="100" w:type="dxa"/>
              <w:bottom w:w="100" w:type="dxa"/>
              <w:start w:w="130" w:type="dxa"/>
              <w:end w:w="130" w:type="dxa"/>
            </w:tcMar>
            <w:vAlign w:val="center"/>
          </w:tcPr>
          <w:p>
            <w:pPr>
              <w:spacing w:after="0" w:line="259" w:lineRule="auto"/>
            </w:pPr>
            <w:r>
              <w:rPr>
                <w:rFonts w:ascii="Calibri" w:hAnsi="Calibri"/>
                <w:b w:val="0"/>
                <w:i w:val="0"/>
                <w:color w:val="1F2D3D"/>
                <w:sz w:val="17"/>
              </w:rPr>
              <w:t>Promociones / Supervisión</w:t>
            </w:r>
          </w:p>
        </w:tc>
        <w:tc>
          <w:tcPr>
            <w:tcW w:type="dxa" w:w="4392"/>
            <w:tcMar>
              <w:top w:w="100" w:type="dxa"/>
              <w:bottom w:w="100" w:type="dxa"/>
              <w:start w:w="130" w:type="dxa"/>
              <w:end w:w="130" w:type="dxa"/>
            </w:tcMar>
            <w:vAlign w:val="center"/>
          </w:tcPr>
          <w:p>
            <w:pPr>
              <w:spacing w:after="0" w:line="259" w:lineRule="auto"/>
            </w:pPr>
            <w:r>
              <w:rPr>
                <w:rFonts w:ascii="Calibri" w:hAnsi="Calibri"/>
                <w:b w:val="0"/>
                <w:i w:val="0"/>
                <w:color w:val="1F2D3D"/>
                <w:sz w:val="17"/>
              </w:rPr>
              <w:t>Confirmar detalle vigente en la cuenta.</w:t>
            </w:r>
          </w:p>
        </w:tc>
      </w:tr>
    </w:tbl>
    <w:p>
      <w:pPr>
        <w:spacing w:after="20"/>
      </w:pPr>
    </w:p>
    <w:p>
      <w:pPr>
        <w:pStyle w:val="Heading2"/>
        <w:keepNext/>
      </w:pPr>
      <w:r>
        <w:t>20. Errores prohibidos</w:t>
      </w:r>
    </w:p>
    <w:p>
      <w:pPr>
        <w:pStyle w:val="ListBullet"/>
        <w:spacing w:after="60" w:line="283" w:lineRule="auto"/>
      </w:pPr>
      <w:r>
        <w:rPr>
          <w:rFonts w:ascii="Calibri" w:hAnsi="Calibri"/>
          <w:b w:val="0"/>
          <w:i w:val="0"/>
          <w:color w:val="1F2D3D"/>
          <w:sz w:val="21"/>
        </w:rPr>
        <w:t>Decir 'ya está pagado' solo porque Jira cerró o Atena muestra un estado interno.</w:t>
      </w:r>
    </w:p>
    <w:p>
      <w:pPr>
        <w:pStyle w:val="ListBullet"/>
        <w:spacing w:after="60" w:line="283" w:lineRule="auto"/>
      </w:pPr>
      <w:r>
        <w:rPr>
          <w:rFonts w:ascii="Calibri" w:hAnsi="Calibri"/>
          <w:b w:val="0"/>
          <w:i w:val="0"/>
          <w:color w:val="1F2D3D"/>
          <w:sz w:val="21"/>
        </w:rPr>
        <w:t>Prometer que un retiro será aprobado porque KYC quedó completo.</w:t>
      </w:r>
    </w:p>
    <w:p>
      <w:pPr>
        <w:pStyle w:val="ListBullet"/>
        <w:spacing w:after="60" w:line="283" w:lineRule="auto"/>
      </w:pPr>
      <w:r>
        <w:rPr>
          <w:rFonts w:ascii="Calibri" w:hAnsi="Calibri"/>
          <w:b w:val="0"/>
          <w:i w:val="0"/>
          <w:color w:val="1F2D3D"/>
          <w:sz w:val="21"/>
        </w:rPr>
        <w:t>Dar un plazo inventado cuando depende de Transacciones, banco o proveedor.</w:t>
      </w:r>
    </w:p>
    <w:p>
      <w:pPr>
        <w:pStyle w:val="ListBullet"/>
        <w:spacing w:after="60" w:line="283" w:lineRule="auto"/>
      </w:pPr>
      <w:r>
        <w:rPr>
          <w:rFonts w:ascii="Calibri" w:hAnsi="Calibri"/>
          <w:b w:val="0"/>
          <w:i w:val="0"/>
          <w:color w:val="1F2D3D"/>
          <w:sz w:val="21"/>
        </w:rPr>
        <w:t>Usar condiciones históricas de bonos sin abrir la promoción vigente.</w:t>
      </w:r>
    </w:p>
    <w:p>
      <w:pPr>
        <w:pStyle w:val="ListBullet"/>
        <w:spacing w:after="60" w:line="283" w:lineRule="auto"/>
      </w:pPr>
      <w:r>
        <w:rPr>
          <w:rFonts w:ascii="Calibri" w:hAnsi="Calibri"/>
          <w:b w:val="0"/>
          <w:i w:val="0"/>
          <w:color w:val="1F2D3D"/>
          <w:sz w:val="21"/>
        </w:rPr>
        <w:t>Confundir Paybridge con KYC o mezclar sus resultados.</w:t>
      </w:r>
    </w:p>
    <w:p>
      <w:pPr>
        <w:pStyle w:val="ListBullet"/>
        <w:spacing w:after="60" w:line="283" w:lineRule="auto"/>
      </w:pPr>
      <w:r>
        <w:rPr>
          <w:rFonts w:ascii="Calibri" w:hAnsi="Calibri"/>
          <w:b w:val="0"/>
          <w:i w:val="0"/>
          <w:color w:val="1F2D3D"/>
          <w:sz w:val="21"/>
        </w:rPr>
        <w:t>Bloquear una cuenta duplicada antes de revisar saldo y movimientos.</w:t>
      </w:r>
    </w:p>
    <w:p>
      <w:pPr>
        <w:pStyle w:val="ListBullet"/>
        <w:spacing w:after="60" w:line="283" w:lineRule="auto"/>
      </w:pPr>
      <w:r>
        <w:rPr>
          <w:rFonts w:ascii="Calibri" w:hAnsi="Calibri"/>
          <w:b w:val="0"/>
          <w:i w:val="0"/>
          <w:color w:val="1F2D3D"/>
          <w:sz w:val="21"/>
        </w:rPr>
        <w:t>Clasificar fraude por un solo indicio o revelar controles internos.</w:t>
      </w:r>
    </w:p>
    <w:p>
      <w:pPr>
        <w:pStyle w:val="ListBullet"/>
        <w:spacing w:after="60" w:line="283" w:lineRule="auto"/>
      </w:pPr>
      <w:r>
        <w:rPr>
          <w:rFonts w:ascii="Calibri" w:hAnsi="Calibri"/>
          <w:b w:val="0"/>
          <w:i w:val="0"/>
          <w:color w:val="1F2D3D"/>
          <w:sz w:val="21"/>
        </w:rPr>
        <w:t>Pedir documentos adicionales cuando la evidencia ya indica el faltante exacto.</w:t>
      </w:r>
    </w:p>
    <w:p>
      <w:pPr>
        <w:pStyle w:val="ListBullet"/>
        <w:spacing w:after="60" w:line="283" w:lineRule="auto"/>
      </w:pPr>
      <w:r>
        <w:rPr>
          <w:rFonts w:ascii="Calibri" w:hAnsi="Calibri"/>
          <w:b w:val="0"/>
          <w:i w:val="0"/>
          <w:color w:val="1F2D3D"/>
          <w:sz w:val="21"/>
        </w:rPr>
        <w:t>Enviar documentos, biometría o datos personales completos a un modelo externo.</w:t>
      </w:r>
    </w:p>
    <w:p>
      <w:pPr>
        <w:pStyle w:val="ListBullet"/>
        <w:spacing w:after="60" w:line="283" w:lineRule="auto"/>
      </w:pPr>
      <w:r>
        <w:rPr>
          <w:rFonts w:ascii="Calibri" w:hAnsi="Calibri"/>
          <w:b w:val="0"/>
          <w:i w:val="0"/>
          <w:color w:val="1F2D3D"/>
          <w:sz w:val="21"/>
        </w:rPr>
        <w:t>Interpretar un error, una sesión cerrada o un resultado vencido como ausencia de registros.</w:t>
      </w:r>
    </w:p>
    <w:p>
      <w:pPr>
        <w:pStyle w:val="ListBullet"/>
        <w:spacing w:after="60" w:line="283" w:lineRule="auto"/>
      </w:pPr>
      <w:r>
        <w:rPr>
          <w:rFonts w:ascii="Calibri" w:hAnsi="Calibri"/>
          <w:b w:val="0"/>
          <w:i w:val="0"/>
          <w:color w:val="1F2D3D"/>
          <w:sz w:val="21"/>
        </w:rPr>
        <w:t>Enviar una respuesta de IA o ejecutar una acción sensible sin revisión humana.</w:t>
      </w:r>
    </w:p>
    <w:p>
      <w:pPr>
        <w:pStyle w:val="Heading2"/>
        <w:keepNext/>
      </w:pPr>
      <w:r>
        <w:t>21. Checklist de cierre</w:t>
      </w:r>
    </w:p>
    <w:p>
      <w:pPr>
        <w:spacing w:before="0" w:after="60" w:line="288" w:lineRule="auto"/>
        <w:ind w:left="173"/>
      </w:pPr>
      <w:r>
        <w:rPr>
          <w:rFonts w:ascii="Calibri" w:hAnsi="Calibri"/>
          <w:b w:val="0"/>
          <w:i w:val="0"/>
          <w:color w:val="1F2D3D"/>
          <w:sz w:val="20"/>
        </w:rPr>
        <w:t>☐ Motivo exacto identificado y correo confirmado.</w:t>
      </w:r>
    </w:p>
    <w:p>
      <w:pPr>
        <w:spacing w:before="0" w:after="60" w:line="288" w:lineRule="auto"/>
        <w:ind w:left="173"/>
      </w:pPr>
      <w:r>
        <w:rPr>
          <w:rFonts w:ascii="Calibri" w:hAnsi="Calibri"/>
          <w:b w:val="0"/>
          <w:i w:val="0"/>
          <w:color w:val="1F2D3D"/>
          <w:sz w:val="20"/>
        </w:rPr>
        <w:t>☐ Cuenta/Auth ID y movimiento correctos.</w:t>
      </w:r>
    </w:p>
    <w:p>
      <w:pPr>
        <w:spacing w:before="0" w:after="60" w:line="288" w:lineRule="auto"/>
        <w:ind w:left="173"/>
      </w:pPr>
      <w:r>
        <w:rPr>
          <w:rFonts w:ascii="Calibri" w:hAnsi="Calibri"/>
          <w:b w:val="0"/>
          <w:i w:val="0"/>
          <w:color w:val="1F2D3D"/>
          <w:sz w:val="20"/>
        </w:rPr>
        <w:t>☐ Fuentes requeridas consultadas y estado de cada una registrado.</w:t>
      </w:r>
    </w:p>
    <w:p>
      <w:pPr>
        <w:spacing w:before="0" w:after="60" w:line="288" w:lineRule="auto"/>
        <w:ind w:left="173"/>
      </w:pPr>
      <w:r>
        <w:rPr>
          <w:rFonts w:ascii="Calibri" w:hAnsi="Calibri"/>
          <w:b w:val="0"/>
          <w:i w:val="0"/>
          <w:color w:val="1F2D3D"/>
          <w:sz w:val="20"/>
        </w:rPr>
        <w:t>☐ Resultados no encontrados diferenciados de fuentes no disponibles o vencidas.</w:t>
      </w:r>
    </w:p>
    <w:p>
      <w:pPr>
        <w:spacing w:before="0" w:after="60" w:line="288" w:lineRule="auto"/>
        <w:ind w:left="173"/>
      </w:pPr>
      <w:r>
        <w:rPr>
          <w:rFonts w:ascii="Calibri" w:hAnsi="Calibri"/>
          <w:b w:val="0"/>
          <w:i w:val="0"/>
          <w:color w:val="1F2D3D"/>
          <w:sz w:val="20"/>
        </w:rPr>
        <w:t>☐ Tickets y comentarios anteriores revisados.</w:t>
      </w:r>
    </w:p>
    <w:p>
      <w:pPr>
        <w:spacing w:before="0" w:after="60" w:line="288" w:lineRule="auto"/>
        <w:ind w:left="173"/>
      </w:pPr>
      <w:r>
        <w:rPr>
          <w:rFonts w:ascii="Calibri" w:hAnsi="Calibri"/>
          <w:b w:val="0"/>
          <w:i w:val="0"/>
          <w:color w:val="1F2D3D"/>
          <w:sz w:val="20"/>
        </w:rPr>
        <w:t>☐ Evidencia mínima y canal de adjuntos correctos.</w:t>
      </w:r>
    </w:p>
    <w:p>
      <w:pPr>
        <w:spacing w:before="0" w:after="60" w:line="288" w:lineRule="auto"/>
        <w:ind w:left="173"/>
      </w:pPr>
      <w:r>
        <w:rPr>
          <w:rFonts w:ascii="Calibri" w:hAnsi="Calibri"/>
          <w:b w:val="0"/>
          <w:i w:val="0"/>
          <w:color w:val="1F2D3D"/>
          <w:sz w:val="20"/>
        </w:rPr>
        <w:t>☐ Sin promesas de plazo, pago, devolución o aprobación no confirmados.</w:t>
      </w:r>
    </w:p>
    <w:p>
      <w:pPr>
        <w:spacing w:before="0" w:after="60" w:line="288" w:lineRule="auto"/>
        <w:ind w:left="173"/>
      </w:pPr>
      <w:r>
        <w:rPr>
          <w:rFonts w:ascii="Calibri" w:hAnsi="Calibri"/>
          <w:b w:val="0"/>
          <w:i w:val="0"/>
          <w:color w:val="1F2D3D"/>
          <w:sz w:val="20"/>
        </w:rPr>
        <w:t>☐ Área responsable y siguiente acción definidos.</w:t>
      </w:r>
    </w:p>
    <w:p>
      <w:pPr>
        <w:spacing w:before="0" w:after="60" w:line="288" w:lineRule="auto"/>
        <w:ind w:left="173"/>
      </w:pPr>
      <w:r>
        <w:rPr>
          <w:rFonts w:ascii="Calibri" w:hAnsi="Calibri"/>
          <w:b w:val="0"/>
          <w:i w:val="0"/>
          <w:color w:val="1F2D3D"/>
          <w:sz w:val="20"/>
        </w:rPr>
        <w:t>☐ Borrador revisado por una persona antes de enviarlo.</w:t>
      </w:r>
    </w:p>
    <w:p>
      <w:pPr>
        <w:spacing w:before="0" w:after="60" w:line="288" w:lineRule="auto"/>
        <w:ind w:left="173"/>
      </w:pPr>
      <w:r>
        <w:rPr>
          <w:rFonts w:ascii="Calibri" w:hAnsi="Calibri"/>
          <w:b w:val="0"/>
          <w:i w:val="0"/>
          <w:color w:val="1F2D3D"/>
          <w:sz w:val="20"/>
        </w:rPr>
        <w:t>☐ Toda acción ejecutada fue verificada, no solo solicitada.</w:t>
      </w:r>
    </w:p>
    <w:p>
      <w:pPr>
        <w:spacing w:before="0" w:after="60" w:line="288" w:lineRule="auto"/>
        <w:ind w:left="173"/>
      </w:pPr>
      <w:r>
        <w:rPr>
          <w:rFonts w:ascii="Calibri" w:hAnsi="Calibri"/>
          <w:b w:val="0"/>
          <w:i w:val="0"/>
          <w:color w:val="1F2D3D"/>
          <w:sz w:val="20"/>
        </w:rPr>
        <w:t>☐ Cliente recibió una explicación clara y trazable.</w:t>
      </w:r>
    </w:p>
    <w:p>
      <w:pPr>
        <w:pStyle w:val="Heading2"/>
        <w:keepNext/>
      </w:pPr>
      <w:r>
        <w:t>22. Variables y contradicciones vigentes</w:t>
      </w:r>
    </w:p>
    <w:tbl>
      <w:tblPr>
        <w:tblStyle w:val="TableGrid"/>
        <w:tblW w:type="dxa" w:w="9360"/>
        <w:jc w:val="center"/>
        <w:tblLayout w:type="fixed"/>
        <w:tblLook w:firstColumn="1" w:firstRow="1" w:lastColumn="0" w:lastRow="0" w:noHBand="0" w:noVBand="1" w:val="04A0"/>
      </w:tblPr>
      <w:tblGrid>
        <w:gridCol w:w="3671"/>
        <w:gridCol w:w="5688"/>
      </w:tblGrid>
      <w:tr>
        <w:trPr>
          <w:tblHeader/>
          <w:cantSplit/>
        </w:trPr>
        <w:tc>
          <w:tcPr>
            <w:tcW w:type="dxa" w:w="3671"/>
            <w:shd w:fill="083058"/>
            <w:tcMar>
              <w:top w:w="100" w:type="dxa"/>
              <w:bottom w:w="100" w:type="dxa"/>
              <w:start w:w="130" w:type="dxa"/>
              <w:end w:w="130" w:type="dxa"/>
            </w:tcMar>
            <w:vAlign w:val="center"/>
          </w:tcPr>
          <w:p>
            <w:r>
              <w:rPr>
                <w:rFonts w:ascii="Calibri" w:hAnsi="Calibri"/>
                <w:b/>
                <w:i w:val="0"/>
                <w:color w:val="FFFFFF"/>
                <w:sz w:val="18"/>
              </w:rPr>
              <w:t>Hallazgo</w:t>
            </w:r>
          </w:p>
        </w:tc>
        <w:tc>
          <w:tcPr>
            <w:tcW w:type="dxa" w:w="5688"/>
            <w:shd w:fill="083058"/>
            <w:tcMar>
              <w:top w:w="100" w:type="dxa"/>
              <w:bottom w:w="100" w:type="dxa"/>
              <w:start w:w="130" w:type="dxa"/>
              <w:end w:w="130" w:type="dxa"/>
            </w:tcMar>
            <w:vAlign w:val="center"/>
          </w:tcPr>
          <w:p>
            <w:r>
              <w:rPr>
                <w:rFonts w:ascii="Calibri" w:hAnsi="Calibri"/>
                <w:b/>
                <w:i w:val="0"/>
                <w:color w:val="FFFFFF"/>
                <w:sz w:val="18"/>
              </w:rPr>
              <w:t>Tratamiento</w:t>
            </w:r>
          </w:p>
        </w:tc>
      </w:tr>
      <w:tr>
        <w:trPr>
          <w:cantSplit/>
        </w:trPr>
        <w:tc>
          <w:tcPr>
            <w:tcW w:type="dxa" w:w="3671"/>
            <w:tcMar>
              <w:top w:w="100" w:type="dxa"/>
              <w:bottom w:w="100" w:type="dxa"/>
              <w:start w:w="130" w:type="dxa"/>
              <w:end w:w="130" w:type="dxa"/>
            </w:tcMar>
            <w:vAlign w:val="center"/>
          </w:tcPr>
          <w:p>
            <w:pPr>
              <w:spacing w:after="0" w:line="259" w:lineRule="auto"/>
            </w:pPr>
            <w:r>
              <w:rPr>
                <w:rFonts w:ascii="Calibri" w:hAnsi="Calibri"/>
                <w:b w:val="0"/>
                <w:i w:val="0"/>
                <w:color w:val="1F2D3D"/>
                <w:sz w:val="18"/>
              </w:rPr>
              <w:t>Promociones sin sesión vs. cuenta autenticada</w:t>
            </w:r>
          </w:p>
        </w:tc>
        <w:tc>
          <w:tcPr>
            <w:tcW w:type="dxa" w:w="5688"/>
            <w:tcMar>
              <w:top w:w="100" w:type="dxa"/>
              <w:bottom w:w="100" w:type="dxa"/>
              <w:start w:w="130" w:type="dxa"/>
              <w:end w:w="130" w:type="dxa"/>
            </w:tcMar>
            <w:vAlign w:val="center"/>
          </w:tcPr>
          <w:p>
            <w:pPr>
              <w:spacing w:after="0" w:line="259" w:lineRule="auto"/>
            </w:pPr>
            <w:r>
              <w:rPr>
                <w:rFonts w:ascii="Calibri" w:hAnsi="Calibri"/>
                <w:b w:val="0"/>
                <w:i w:val="0"/>
                <w:color w:val="1F2D3D"/>
                <w:sz w:val="18"/>
              </w:rPr>
              <w:t>Usar la oferta visible en la cuenta; la extracción pública puede no mostrar promociones.</w:t>
            </w:r>
          </w:p>
        </w:tc>
      </w:tr>
      <w:tr>
        <w:trPr>
          <w:cantSplit/>
        </w:trPr>
        <w:tc>
          <w:tcPr>
            <w:tcW w:type="dxa" w:w="3671"/>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Bono $100: mínimo $100 vs. mayor a $100</w:t>
            </w:r>
          </w:p>
        </w:tc>
        <w:tc>
          <w:tcPr>
            <w:tcW w:type="dxa" w:w="568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No garantizar elegibilidad para un depósito exacto de $100.</w:t>
            </w:r>
          </w:p>
        </w:tc>
      </w:tr>
      <w:tr>
        <w:trPr>
          <w:cantSplit/>
        </w:trPr>
        <w:tc>
          <w:tcPr>
            <w:tcW w:type="dxa" w:w="3671"/>
            <w:tcMar>
              <w:top w:w="100" w:type="dxa"/>
              <w:bottom w:w="100" w:type="dxa"/>
              <w:start w:w="130" w:type="dxa"/>
              <w:end w:w="130" w:type="dxa"/>
            </w:tcMar>
            <w:vAlign w:val="center"/>
          </w:tcPr>
          <w:p>
            <w:pPr>
              <w:spacing w:after="0" w:line="259" w:lineRule="auto"/>
            </w:pPr>
            <w:r>
              <w:rPr>
                <w:rFonts w:ascii="Calibri" w:hAnsi="Calibri"/>
                <w:b w:val="0"/>
                <w:i w:val="0"/>
                <w:color w:val="1F2D3D"/>
                <w:sz w:val="18"/>
              </w:rPr>
              <w:t>10% Extra: $150 en detalle vs. &gt;$200 en tarjeta</w:t>
            </w:r>
          </w:p>
        </w:tc>
        <w:tc>
          <w:tcPr>
            <w:tcW w:type="dxa" w:w="5688"/>
            <w:tcMar>
              <w:top w:w="100" w:type="dxa"/>
              <w:bottom w:w="100" w:type="dxa"/>
              <w:start w:w="130" w:type="dxa"/>
              <w:end w:w="130" w:type="dxa"/>
            </w:tcMar>
            <w:vAlign w:val="center"/>
          </w:tcPr>
          <w:p>
            <w:pPr>
              <w:spacing w:after="0" w:line="259" w:lineRule="auto"/>
            </w:pPr>
            <w:r>
              <w:rPr>
                <w:rFonts w:ascii="Calibri" w:hAnsi="Calibri"/>
                <w:b w:val="0"/>
                <w:i w:val="0"/>
                <w:color w:val="1F2D3D"/>
                <w:sz w:val="18"/>
              </w:rPr>
              <w:t>Usar el detalle abierto para orientar y registrar la contradicción.</w:t>
            </w:r>
          </w:p>
        </w:tc>
      </w:tr>
      <w:tr>
        <w:trPr>
          <w:cantSplit/>
        </w:trPr>
        <w:tc>
          <w:tcPr>
            <w:tcW w:type="dxa" w:w="3671"/>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10% Extra: solo Casino</w:t>
            </w:r>
          </w:p>
        </w:tc>
        <w:tc>
          <w:tcPr>
            <w:tcW w:type="dxa" w:w="568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Aplicar a tragamonedas; no extender a Casino en Vivo o Deportes.</w:t>
            </w:r>
          </w:p>
        </w:tc>
      </w:tr>
      <w:tr>
        <w:trPr>
          <w:cantSplit/>
        </w:trPr>
        <w:tc>
          <w:tcPr>
            <w:tcW w:type="dxa" w:w="3671"/>
            <w:tcMar>
              <w:top w:w="100" w:type="dxa"/>
              <w:bottom w:w="100" w:type="dxa"/>
              <w:start w:w="130" w:type="dxa"/>
              <w:end w:w="130" w:type="dxa"/>
            </w:tcMar>
            <w:vAlign w:val="center"/>
          </w:tcPr>
          <w:p>
            <w:pPr>
              <w:spacing w:after="0" w:line="259" w:lineRule="auto"/>
            </w:pPr>
            <w:r>
              <w:rPr>
                <w:rFonts w:ascii="Calibri" w:hAnsi="Calibri"/>
                <w:b w:val="0"/>
                <w:i w:val="0"/>
                <w:color w:val="1F2D3D"/>
                <w:sz w:val="18"/>
              </w:rPr>
              <w:t>Retiro máximo y periodo de 30 días</w:t>
            </w:r>
          </w:p>
        </w:tc>
        <w:tc>
          <w:tcPr>
            <w:tcW w:type="dxa" w:w="5688"/>
            <w:tcMar>
              <w:top w:w="100" w:type="dxa"/>
              <w:bottom w:w="100" w:type="dxa"/>
              <w:start w:w="130" w:type="dxa"/>
              <w:end w:w="130" w:type="dxa"/>
            </w:tcMar>
            <w:vAlign w:val="center"/>
          </w:tcPr>
          <w:p>
            <w:pPr>
              <w:spacing w:after="0" w:line="259" w:lineRule="auto"/>
            </w:pPr>
            <w:r>
              <w:rPr>
                <w:rFonts w:ascii="Calibri" w:hAnsi="Calibri"/>
                <w:b w:val="0"/>
                <w:i w:val="0"/>
                <w:color w:val="1F2D3D"/>
                <w:sz w:val="18"/>
              </w:rPr>
              <w:t>La redacción oficial es ambigua; pedir confirmación operativa.</w:t>
            </w:r>
          </w:p>
        </w:tc>
      </w:tr>
      <w:tr>
        <w:trPr>
          <w:cantSplit/>
        </w:trPr>
        <w:tc>
          <w:tcPr>
            <w:tcW w:type="dxa" w:w="3671"/>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Métodos, mínimos y límites</w:t>
            </w:r>
          </w:p>
        </w:tc>
        <w:tc>
          <w:tcPr>
            <w:tcW w:type="dxa" w:w="568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Confirmar en la interfaz vigente porque pueden variar por cuenta o proveedor.</w:t>
            </w:r>
          </w:p>
        </w:tc>
      </w:tr>
      <w:tr>
        <w:trPr>
          <w:cantSplit/>
        </w:trPr>
        <w:tc>
          <w:tcPr>
            <w:tcW w:type="dxa" w:w="3671"/>
            <w:tcMar>
              <w:top w:w="100" w:type="dxa"/>
              <w:bottom w:w="100" w:type="dxa"/>
              <w:start w:w="130" w:type="dxa"/>
              <w:end w:w="130" w:type="dxa"/>
            </w:tcMar>
            <w:vAlign w:val="center"/>
          </w:tcPr>
          <w:p>
            <w:pPr>
              <w:spacing w:after="0" w:line="259" w:lineRule="auto"/>
            </w:pPr>
            <w:r>
              <w:rPr>
                <w:rFonts w:ascii="Calibri" w:hAnsi="Calibri"/>
                <w:b w:val="0"/>
                <w:i w:val="0"/>
                <w:color w:val="1F2D3D"/>
                <w:sz w:val="18"/>
              </w:rPr>
              <w:t>Documentos de extranjeros</w:t>
            </w:r>
          </w:p>
        </w:tc>
        <w:tc>
          <w:tcPr>
            <w:tcW w:type="dxa" w:w="5688"/>
            <w:tcMar>
              <w:top w:w="100" w:type="dxa"/>
              <w:bottom w:w="100" w:type="dxa"/>
              <w:start w:w="130" w:type="dxa"/>
              <w:end w:w="130" w:type="dxa"/>
            </w:tcMar>
            <w:vAlign w:val="center"/>
          </w:tcPr>
          <w:p>
            <w:pPr>
              <w:spacing w:after="0" w:line="259" w:lineRule="auto"/>
            </w:pPr>
            <w:r>
              <w:rPr>
                <w:rFonts w:ascii="Calibri" w:hAnsi="Calibri"/>
                <w:b w:val="0"/>
                <w:i w:val="0"/>
                <w:color w:val="1F2D3D"/>
                <w:sz w:val="18"/>
              </w:rPr>
              <w:t>Confirmar la política actual antes de aceptar una alternativa.</w:t>
            </w:r>
          </w:p>
        </w:tc>
      </w:tr>
      <w:tr>
        <w:trPr>
          <w:cantSplit/>
        </w:trPr>
        <w:tc>
          <w:tcPr>
            <w:tcW w:type="dxa" w:w="3671"/>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Failed/congelado</w:t>
            </w:r>
          </w:p>
        </w:tc>
        <w:tc>
          <w:tcPr>
            <w:tcW w:type="dxa" w:w="568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No asumir devolución hasta ver saldo o evidencia financiera.</w:t>
            </w:r>
          </w:p>
        </w:tc>
      </w:tr>
    </w:tbl>
    <w:p>
      <w:pPr>
        <w:spacing w:after="20"/>
      </w:pPr>
    </w:p>
    <w:p>
      <w:pPr>
        <w:pStyle w:val="Heading2"/>
        <w:keepNext/>
      </w:pPr>
      <w:r>
        <w:t>23. Referencia deportiva esencial</w:t>
      </w:r>
    </w:p>
    <w:tbl>
      <w:tblPr>
        <w:tblStyle w:val="TableGrid"/>
        <w:tblW w:type="dxa" w:w="9360"/>
        <w:jc w:val="center"/>
        <w:tblLayout w:type="fixed"/>
        <w:tblLook w:firstColumn="1" w:firstRow="1" w:lastColumn="0" w:lastRow="0" w:noHBand="0" w:noVBand="1" w:val="04A0"/>
      </w:tblPr>
      <w:tblGrid>
        <w:gridCol w:w="2232"/>
        <w:gridCol w:w="7128"/>
      </w:tblGrid>
      <w:tr>
        <w:trPr>
          <w:tblHeader/>
          <w:cantSplit/>
        </w:trPr>
        <w:tc>
          <w:tcPr>
            <w:tcW w:type="dxa" w:w="2232"/>
            <w:shd w:fill="083058"/>
            <w:tcMar>
              <w:top w:w="100" w:type="dxa"/>
              <w:bottom w:w="100" w:type="dxa"/>
              <w:start w:w="130" w:type="dxa"/>
              <w:end w:w="130" w:type="dxa"/>
            </w:tcMar>
            <w:vAlign w:val="center"/>
          </w:tcPr>
          <w:p>
            <w:r>
              <w:rPr>
                <w:rFonts w:ascii="Calibri" w:hAnsi="Calibri"/>
                <w:b/>
                <w:i w:val="0"/>
                <w:color w:val="FFFFFF"/>
                <w:sz w:val="18"/>
              </w:rPr>
              <w:t>Deporte</w:t>
            </w:r>
          </w:p>
        </w:tc>
        <w:tc>
          <w:tcPr>
            <w:tcW w:type="dxa" w:w="7128"/>
            <w:shd w:fill="083058"/>
            <w:tcMar>
              <w:top w:w="100" w:type="dxa"/>
              <w:bottom w:w="100" w:type="dxa"/>
              <w:start w:w="130" w:type="dxa"/>
              <w:end w:w="130" w:type="dxa"/>
            </w:tcMar>
            <w:vAlign w:val="center"/>
          </w:tcPr>
          <w:p>
            <w:r>
              <w:rPr>
                <w:rFonts w:ascii="Calibri" w:hAnsi="Calibri"/>
                <w:b/>
                <w:i w:val="0"/>
                <w:color w:val="FFFFFF"/>
                <w:sz w:val="18"/>
              </w:rPr>
              <w:t>Criterio publicado destacado</w:t>
            </w:r>
          </w:p>
        </w:tc>
      </w:tr>
      <w:tr>
        <w:trPr>
          <w:cantSplit/>
        </w:trPr>
        <w:tc>
          <w:tcPr>
            <w:tcW w:type="dxa" w:w="2232"/>
            <w:tcMar>
              <w:top w:w="100" w:type="dxa"/>
              <w:bottom w:w="100" w:type="dxa"/>
              <w:start w:w="130" w:type="dxa"/>
              <w:end w:w="130" w:type="dxa"/>
            </w:tcMar>
            <w:vAlign w:val="center"/>
          </w:tcPr>
          <w:p>
            <w:pPr>
              <w:spacing w:after="0" w:line="259" w:lineRule="auto"/>
            </w:pPr>
            <w:r>
              <w:rPr>
                <w:rFonts w:ascii="Calibri" w:hAnsi="Calibri"/>
                <w:b w:val="0"/>
                <w:i w:val="0"/>
                <w:color w:val="1F2D3D"/>
                <w:sz w:val="18"/>
              </w:rPr>
              <w:t>Fútbol</w:t>
            </w:r>
          </w:p>
        </w:tc>
        <w:tc>
          <w:tcPr>
            <w:tcW w:type="dxa" w:w="7128"/>
            <w:tcMar>
              <w:top w:w="100" w:type="dxa"/>
              <w:bottom w:w="100" w:type="dxa"/>
              <w:start w:w="130" w:type="dxa"/>
              <w:end w:w="130" w:type="dxa"/>
            </w:tcMar>
            <w:vAlign w:val="center"/>
          </w:tcPr>
          <w:p>
            <w:pPr>
              <w:spacing w:after="0" w:line="259" w:lineRule="auto"/>
            </w:pPr>
            <w:r>
              <w:rPr>
                <w:rFonts w:ascii="Calibri" w:hAnsi="Calibri"/>
                <w:b w:val="0"/>
                <w:i w:val="0"/>
                <w:color w:val="1F2D3D"/>
                <w:sz w:val="18"/>
              </w:rPr>
              <w:t>90 minutos más compensación; prórroga y penales solo si el mercado lo indica; aplazamiento hasta 24 horas.</w:t>
            </w:r>
          </w:p>
        </w:tc>
      </w:tr>
      <w:tr>
        <w:trPr>
          <w:cantSplit/>
        </w:trPr>
        <w:tc>
          <w:tcPr>
            <w:tcW w:type="dxa" w:w="223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Baloncesto</w:t>
            </w:r>
          </w:p>
        </w:tc>
        <w:tc>
          <w:tcPr>
            <w:tcW w:type="dxa" w:w="712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Cuatro cuartos o dos periodos; prórroga depende del mercado.</w:t>
            </w:r>
          </w:p>
        </w:tc>
      </w:tr>
      <w:tr>
        <w:trPr>
          <w:cantSplit/>
        </w:trPr>
        <w:tc>
          <w:tcPr>
            <w:tcW w:type="dxa" w:w="2232"/>
            <w:tcMar>
              <w:top w:w="100" w:type="dxa"/>
              <w:bottom w:w="100" w:type="dxa"/>
              <w:start w:w="130" w:type="dxa"/>
              <w:end w:w="130" w:type="dxa"/>
            </w:tcMar>
            <w:vAlign w:val="center"/>
          </w:tcPr>
          <w:p>
            <w:pPr>
              <w:spacing w:after="0" w:line="259" w:lineRule="auto"/>
            </w:pPr>
            <w:r>
              <w:rPr>
                <w:rFonts w:ascii="Calibri" w:hAnsi="Calibri"/>
                <w:b w:val="0"/>
                <w:i w:val="0"/>
                <w:color w:val="1F2D3D"/>
                <w:sz w:val="18"/>
              </w:rPr>
              <w:t>Tenis</w:t>
            </w:r>
          </w:p>
        </w:tc>
        <w:tc>
          <w:tcPr>
            <w:tcW w:type="dxa" w:w="7128"/>
            <w:tcMar>
              <w:top w:w="100" w:type="dxa"/>
              <w:bottom w:w="100" w:type="dxa"/>
              <w:start w:w="130" w:type="dxa"/>
              <w:end w:w="130" w:type="dxa"/>
            </w:tcMar>
            <w:vAlign w:val="center"/>
          </w:tcPr>
          <w:p>
            <w:pPr>
              <w:spacing w:after="0" w:line="259" w:lineRule="auto"/>
            </w:pPr>
            <w:r>
              <w:rPr>
                <w:rFonts w:ascii="Calibri" w:hAnsi="Calibri"/>
                <w:b w:val="0"/>
                <w:i w:val="0"/>
                <w:color w:val="1F2D3D"/>
                <w:sz w:val="18"/>
              </w:rPr>
              <w:t>Resultado al completar 3 o 5 sets; interrupción puede esperar hasta 24 horas.</w:t>
            </w:r>
          </w:p>
        </w:tc>
      </w:tr>
      <w:tr>
        <w:trPr>
          <w:cantSplit/>
        </w:trPr>
        <w:tc>
          <w:tcPr>
            <w:tcW w:type="dxa" w:w="223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Béisbol</w:t>
            </w:r>
          </w:p>
        </w:tc>
        <w:tc>
          <w:tcPr>
            <w:tcW w:type="dxa" w:w="712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Si no concluye, puede esperarse hasta 24 horas; cancelación implica devolución.</w:t>
            </w:r>
          </w:p>
        </w:tc>
      </w:tr>
      <w:tr>
        <w:trPr>
          <w:cantSplit/>
        </w:trPr>
        <w:tc>
          <w:tcPr>
            <w:tcW w:type="dxa" w:w="2232"/>
            <w:tcMar>
              <w:top w:w="100" w:type="dxa"/>
              <w:bottom w:w="100" w:type="dxa"/>
              <w:start w:w="130" w:type="dxa"/>
              <w:end w:w="130" w:type="dxa"/>
            </w:tcMar>
            <w:vAlign w:val="center"/>
          </w:tcPr>
          <w:p>
            <w:pPr>
              <w:spacing w:after="0" w:line="259" w:lineRule="auto"/>
            </w:pPr>
            <w:r>
              <w:rPr>
                <w:rFonts w:ascii="Calibri" w:hAnsi="Calibri"/>
                <w:b w:val="0"/>
                <w:i w:val="0"/>
                <w:color w:val="1F2D3D"/>
                <w:sz w:val="18"/>
              </w:rPr>
              <w:t>Boxeo/MMA</w:t>
            </w:r>
          </w:p>
        </w:tc>
        <w:tc>
          <w:tcPr>
            <w:tcW w:type="dxa" w:w="7128"/>
            <w:tcMar>
              <w:top w:w="100" w:type="dxa"/>
              <w:bottom w:w="100" w:type="dxa"/>
              <w:start w:w="130" w:type="dxa"/>
              <w:end w:w="130" w:type="dxa"/>
            </w:tcMar>
            <w:vAlign w:val="center"/>
          </w:tcPr>
          <w:p>
            <w:pPr>
              <w:spacing w:after="0" w:line="259" w:lineRule="auto"/>
            </w:pPr>
            <w:r>
              <w:rPr>
                <w:rFonts w:ascii="Calibri" w:hAnsi="Calibri"/>
                <w:b w:val="0"/>
                <w:i w:val="0"/>
                <w:color w:val="1F2D3D"/>
                <w:sz w:val="18"/>
              </w:rPr>
              <w:t>Nocaut, sumisión o decisión; aplicar regla específica del combate.</w:t>
            </w:r>
          </w:p>
        </w:tc>
      </w:tr>
      <w:tr>
        <w:trPr>
          <w:cantSplit/>
        </w:trPr>
        <w:tc>
          <w:tcPr>
            <w:tcW w:type="dxa" w:w="223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Fútbol americano</w:t>
            </w:r>
          </w:p>
        </w:tc>
        <w:tc>
          <w:tcPr>
            <w:tcW w:type="dxa" w:w="712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Cuatro cuartos; tiempo extra solo cuando lo incluye el mercado; aplazamiento hasta 24 horas.</w:t>
            </w:r>
          </w:p>
        </w:tc>
      </w:tr>
      <w:tr>
        <w:trPr>
          <w:cantSplit/>
        </w:trPr>
        <w:tc>
          <w:tcPr>
            <w:tcW w:type="dxa" w:w="2232"/>
            <w:tcMar>
              <w:top w:w="100" w:type="dxa"/>
              <w:bottom w:w="100" w:type="dxa"/>
              <w:start w:w="130" w:type="dxa"/>
              <w:end w:w="130" w:type="dxa"/>
            </w:tcMar>
            <w:vAlign w:val="center"/>
          </w:tcPr>
          <w:p>
            <w:pPr>
              <w:spacing w:after="0" w:line="259" w:lineRule="auto"/>
            </w:pPr>
            <w:r>
              <w:rPr>
                <w:rFonts w:ascii="Calibri" w:hAnsi="Calibri"/>
                <w:b w:val="0"/>
                <w:i w:val="0"/>
                <w:color w:val="1F2D3D"/>
                <w:sz w:val="18"/>
              </w:rPr>
              <w:t>Hockey</w:t>
            </w:r>
          </w:p>
        </w:tc>
        <w:tc>
          <w:tcPr>
            <w:tcW w:type="dxa" w:w="7128"/>
            <w:tcMar>
              <w:top w:w="100" w:type="dxa"/>
              <w:bottom w:w="100" w:type="dxa"/>
              <w:start w:w="130" w:type="dxa"/>
              <w:end w:w="130" w:type="dxa"/>
            </w:tcMar>
            <w:vAlign w:val="center"/>
          </w:tcPr>
          <w:p>
            <w:pPr>
              <w:spacing w:after="0" w:line="259" w:lineRule="auto"/>
            </w:pPr>
            <w:r>
              <w:rPr>
                <w:rFonts w:ascii="Calibri" w:hAnsi="Calibri"/>
                <w:b w:val="0"/>
                <w:i w:val="0"/>
                <w:color w:val="1F2D3D"/>
                <w:sz w:val="18"/>
              </w:rPr>
              <w:t>Tres periodos; prórroga y shootout dependen del mercado.</w:t>
            </w:r>
          </w:p>
        </w:tc>
      </w:tr>
      <w:tr>
        <w:trPr>
          <w:cantSplit/>
        </w:trPr>
        <w:tc>
          <w:tcPr>
            <w:tcW w:type="dxa" w:w="223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Voleibol</w:t>
            </w:r>
          </w:p>
        </w:tc>
        <w:tc>
          <w:tcPr>
            <w:tcW w:type="dxa" w:w="712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Se valida al completar los sets requeridos.</w:t>
            </w:r>
          </w:p>
        </w:tc>
      </w:tr>
      <w:tr>
        <w:trPr>
          <w:cantSplit/>
        </w:trPr>
        <w:tc>
          <w:tcPr>
            <w:tcW w:type="dxa" w:w="2232"/>
            <w:tcMar>
              <w:top w:w="100" w:type="dxa"/>
              <w:bottom w:w="100" w:type="dxa"/>
              <w:start w:w="130" w:type="dxa"/>
              <w:end w:w="130" w:type="dxa"/>
            </w:tcMar>
            <w:vAlign w:val="center"/>
          </w:tcPr>
          <w:p>
            <w:pPr>
              <w:spacing w:after="0" w:line="259" w:lineRule="auto"/>
            </w:pPr>
            <w:r>
              <w:rPr>
                <w:rFonts w:ascii="Calibri" w:hAnsi="Calibri"/>
                <w:b w:val="0"/>
                <w:i w:val="0"/>
                <w:color w:val="1F2D3D"/>
                <w:sz w:val="18"/>
              </w:rPr>
              <w:t>Fórmula 1</w:t>
            </w:r>
          </w:p>
        </w:tc>
        <w:tc>
          <w:tcPr>
            <w:tcW w:type="dxa" w:w="7128"/>
            <w:tcMar>
              <w:top w:w="100" w:type="dxa"/>
              <w:bottom w:w="100" w:type="dxa"/>
              <w:start w:w="130" w:type="dxa"/>
              <w:end w:w="130" w:type="dxa"/>
            </w:tcMar>
            <w:vAlign w:val="center"/>
          </w:tcPr>
          <w:p>
            <w:pPr>
              <w:spacing w:after="0" w:line="259" w:lineRule="auto"/>
            </w:pPr>
            <w:r>
              <w:rPr>
                <w:rFonts w:ascii="Calibri" w:hAnsi="Calibri"/>
                <w:b w:val="0"/>
                <w:i w:val="0"/>
                <w:color w:val="1F2D3D"/>
                <w:sz w:val="18"/>
              </w:rPr>
              <w:t>Distinguir mercados previos a clasificación y previos a carrera.</w:t>
            </w:r>
          </w:p>
        </w:tc>
      </w:tr>
      <w:tr>
        <w:trPr>
          <w:cantSplit/>
        </w:trPr>
        <w:tc>
          <w:tcPr>
            <w:tcW w:type="dxa" w:w="2232"/>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Otros deportes</w:t>
            </w:r>
          </w:p>
        </w:tc>
        <w:tc>
          <w:tcPr>
            <w:tcW w:type="dxa" w:w="7128"/>
            <w:tcMar>
              <w:top w:w="100" w:type="dxa"/>
              <w:bottom w:w="100" w:type="dxa"/>
              <w:start w:w="130" w:type="dxa"/>
              <w:end w:w="130" w:type="dxa"/>
            </w:tcMar>
            <w:vAlign w:val="center"/>
            <w:shd w:fill="F4F6F8"/>
          </w:tcPr>
          <w:p>
            <w:pPr>
              <w:spacing w:after="0" w:line="259" w:lineRule="auto"/>
            </w:pPr>
            <w:r>
              <w:rPr>
                <w:rFonts w:ascii="Calibri" w:hAnsi="Calibri"/>
                <w:b w:val="0"/>
                <w:i w:val="0"/>
                <w:color w:val="1F2D3D"/>
                <w:sz w:val="18"/>
              </w:rPr>
              <w:t>Aplicar federación/organizador, mercado exacto y ventana de reprogramación.</w:t>
            </w:r>
          </w:p>
        </w:tc>
      </w:tr>
    </w:tbl>
    <w:p>
      <w:pPr>
        <w:spacing w:after="20"/>
      </w:pPr>
    </w:p>
    <w:p>
      <w:pPr>
        <w:spacing w:before="0" w:after="120" w:line="288" w:lineRule="auto"/>
      </w:pPr>
      <w:r>
        <w:rPr>
          <w:rFonts w:ascii="Calibri" w:hAnsi="Calibri"/>
          <w:b w:val="0"/>
          <w:i/>
          <w:color w:val="5B6C7E"/>
          <w:sz w:val="19"/>
        </w:rPr>
        <w:t>Ante una disputa, revisar la regla completa y el mercado exacto del boleto. En una combinada, una selección anulada puede eliminarse y recalcularse el resto conforme a la regla aplicable. [F2]</w:t>
      </w:r>
    </w:p>
    <w:p>
      <w:pPr>
        <w:pStyle w:val="Heading2"/>
        <w:keepNext/>
      </w:pPr>
      <w:r>
        <w:t>24. Registro de fuentes</w:t>
      </w:r>
    </w:p>
    <w:p>
      <w:pPr>
        <w:spacing w:before="0" w:after="120" w:line="288" w:lineRule="auto"/>
      </w:pPr>
      <w:r>
        <w:rPr>
          <w:rFonts w:ascii="Calibri" w:hAnsi="Calibri"/>
          <w:b w:val="0"/>
          <w:i w:val="0"/>
          <w:color w:val="1F2D3D"/>
          <w:sz w:val="21"/>
        </w:rPr>
        <w:t>La fecha de consulta forma parte de la evidencia. Las fuentes públicas y la información visible en una cuenta pueden cambiar.</w:t>
      </w:r>
    </w:p>
    <w:p>
      <w:pPr>
        <w:spacing w:after="20"/>
      </w:pPr>
      <w:r>
        <w:rPr>
          <w:rFonts w:ascii="Calibri" w:hAnsi="Calibri"/>
          <w:b/>
          <w:i w:val="0"/>
          <w:color w:val="083058"/>
          <w:sz w:val="20"/>
        </w:rPr>
        <w:t>M1  Manual Maestro de Respuestas y Casos de Soporte</w:t>
      </w:r>
    </w:p>
    <w:p>
      <w:pPr>
        <w:spacing w:after="20"/>
        <w:ind w:left="403"/>
      </w:pPr>
      <w:r>
        <w:rPr>
          <w:rFonts w:ascii="Calibri" w:hAnsi="Calibri"/>
          <w:b w:val="0"/>
          <w:i w:val="0"/>
          <w:color w:val="0D5B97"/>
          <w:sz w:val="18"/>
        </w:rPr>
        <w:t>/Users/gerardocruz/Desktop/Manual_Maestro_Respuestas_Casos_Betxico_2026.docx</w:t>
      </w:r>
    </w:p>
    <w:p>
      <w:pPr>
        <w:spacing w:after="100"/>
        <w:ind w:left="403"/>
      </w:pPr>
      <w:r>
        <w:rPr>
          <w:rFonts w:ascii="Calibri" w:hAnsi="Calibri"/>
          <w:b w:val="0"/>
          <w:i/>
          <w:color w:val="5B6C7E"/>
          <w:sz w:val="18"/>
        </w:rPr>
        <w:t>Material interno aportado por el operador; consolidado agosto de 2026.</w:t>
      </w:r>
    </w:p>
    <w:p>
      <w:pPr>
        <w:spacing w:after="20"/>
      </w:pPr>
      <w:r>
        <w:rPr>
          <w:rFonts w:ascii="Calibri" w:hAnsi="Calibri"/>
          <w:b/>
          <w:i w:val="0"/>
          <w:color w:val="083058"/>
          <w:sz w:val="20"/>
        </w:rPr>
        <w:t>F1  Términos y Condiciones Generales</w:t>
      </w:r>
    </w:p>
    <w:p>
      <w:pPr>
        <w:spacing w:after="20"/>
        <w:ind w:left="403"/>
      </w:pPr>
      <w:hyperlink r:id="rId11">
        <w:r>
          <w:rPr>
            <w:color w:val="0D5B97"/>
            <w:u w:val="single"/>
          </w:rPr>
          <w:t>https://www.betxico.mx/termos-e-condicoes</w:t>
        </w:r>
      </w:hyperlink>
    </w:p>
    <w:p>
      <w:pPr>
        <w:spacing w:after="100"/>
        <w:ind w:left="403"/>
      </w:pPr>
      <w:r>
        <w:rPr>
          <w:rFonts w:ascii="Calibri" w:hAnsi="Calibri"/>
          <w:b w:val="0"/>
          <w:i/>
          <w:color w:val="5B6C7E"/>
          <w:sz w:val="18"/>
        </w:rPr>
        <w:t>Fuente pública oficial consultada el 13 de agosto de 2026.</w:t>
      </w:r>
    </w:p>
    <w:p>
      <w:pPr>
        <w:spacing w:after="20"/>
      </w:pPr>
      <w:r>
        <w:rPr>
          <w:rFonts w:ascii="Calibri" w:hAnsi="Calibri"/>
          <w:b/>
          <w:i w:val="0"/>
          <w:color w:val="083058"/>
          <w:sz w:val="20"/>
        </w:rPr>
        <w:t>F2  Reglas y Procedimientos de Deportes</w:t>
      </w:r>
    </w:p>
    <w:p>
      <w:pPr>
        <w:spacing w:after="20"/>
        <w:ind w:left="403"/>
      </w:pPr>
      <w:hyperlink r:id="rId12">
        <w:r>
          <w:rPr>
            <w:color w:val="0D5B97"/>
            <w:u w:val="single"/>
          </w:rPr>
          <w:t>https://www.betxico.mx/regras-procedimentos</w:t>
        </w:r>
      </w:hyperlink>
    </w:p>
    <w:p>
      <w:pPr>
        <w:spacing w:after="100"/>
        <w:ind w:left="403"/>
      </w:pPr>
      <w:r>
        <w:rPr>
          <w:rFonts w:ascii="Calibri" w:hAnsi="Calibri"/>
          <w:b w:val="0"/>
          <w:i/>
          <w:color w:val="5B6C7E"/>
          <w:sz w:val="18"/>
        </w:rPr>
        <w:t>Fuente pública oficial consultada el 13 de agosto de 2026.</w:t>
      </w:r>
    </w:p>
    <w:p>
      <w:pPr>
        <w:spacing w:after="20"/>
      </w:pPr>
      <w:r>
        <w:rPr>
          <w:rFonts w:ascii="Calibri" w:hAnsi="Calibri"/>
          <w:b/>
          <w:i w:val="0"/>
          <w:color w:val="083058"/>
          <w:sz w:val="20"/>
        </w:rPr>
        <w:t>F3  Promociones</w:t>
      </w:r>
    </w:p>
    <w:p>
      <w:pPr>
        <w:spacing w:after="20"/>
        <w:ind w:left="403"/>
      </w:pPr>
      <w:hyperlink r:id="rId13">
        <w:r>
          <w:rPr>
            <w:color w:val="0D5B97"/>
            <w:u w:val="single"/>
          </w:rPr>
          <w:t>https://www.betxico.mx/promociones</w:t>
        </w:r>
      </w:hyperlink>
    </w:p>
    <w:p>
      <w:pPr>
        <w:spacing w:after="100"/>
        <w:ind w:left="403"/>
      </w:pPr>
      <w:r>
        <w:rPr>
          <w:rFonts w:ascii="Calibri" w:hAnsi="Calibri"/>
          <w:b w:val="0"/>
          <w:i/>
          <w:color w:val="5B6C7E"/>
          <w:sz w:val="18"/>
        </w:rPr>
        <w:t>Vista autenticada aportada por el operador el 13 de agosto de 2026.</w:t>
      </w:r>
    </w:p>
    <w:p>
      <w:pPr>
        <w:spacing w:after="20"/>
      </w:pPr>
      <w:r>
        <w:rPr>
          <w:rFonts w:ascii="Calibri" w:hAnsi="Calibri"/>
          <w:b/>
          <w:i w:val="0"/>
          <w:color w:val="083058"/>
          <w:sz w:val="20"/>
        </w:rPr>
        <w:t>F4  Bono de $100 con primer depósito</w:t>
      </w:r>
    </w:p>
    <w:p>
      <w:pPr>
        <w:spacing w:after="20"/>
        <w:ind w:left="403"/>
      </w:pPr>
      <w:hyperlink r:id="rId14">
        <w:r>
          <w:rPr>
            <w:color w:val="0D5B97"/>
            <w:u w:val="single"/>
          </w:rPr>
          <w:t>https://www.betxico.mx/promociones/100REGALOP</w:t>
        </w:r>
      </w:hyperlink>
    </w:p>
    <w:p>
      <w:pPr>
        <w:spacing w:after="100"/>
        <w:ind w:left="403"/>
      </w:pPr>
      <w:r>
        <w:rPr>
          <w:rFonts w:ascii="Calibri" w:hAnsi="Calibri"/>
          <w:b w:val="0"/>
          <w:i/>
          <w:color w:val="5B6C7E"/>
          <w:sz w:val="18"/>
        </w:rPr>
        <w:t>Fuente pública oficial y vista autenticada revisadas el 13 de agosto de 2026.</w:t>
      </w:r>
    </w:p>
    <w:p>
      <w:pPr>
        <w:spacing w:after="20"/>
      </w:pPr>
      <w:r>
        <w:rPr>
          <w:rFonts w:ascii="Calibri" w:hAnsi="Calibri"/>
          <w:b/>
          <w:i w:val="0"/>
          <w:color w:val="083058"/>
          <w:sz w:val="20"/>
        </w:rPr>
        <w:t>F5  10% Extra solo Casino</w:t>
      </w:r>
    </w:p>
    <w:p>
      <w:pPr>
        <w:spacing w:after="20"/>
        <w:ind w:left="403"/>
      </w:pPr>
      <w:hyperlink r:id="rId13">
        <w:r>
          <w:rPr>
            <w:color w:val="0D5B97"/>
            <w:u w:val="single"/>
          </w:rPr>
          <w:t>https://www.betxico.mx/promociones</w:t>
        </w:r>
      </w:hyperlink>
    </w:p>
    <w:p>
      <w:pPr>
        <w:spacing w:after="100"/>
        <w:ind w:left="403"/>
      </w:pPr>
      <w:r>
        <w:rPr>
          <w:rFonts w:ascii="Calibri" w:hAnsi="Calibri"/>
          <w:b w:val="0"/>
          <w:i/>
          <w:color w:val="5B6C7E"/>
          <w:sz w:val="18"/>
        </w:rPr>
        <w:t>Detalle autenticado revisado el 13 de agosto de 2026.</w:t>
      </w:r>
    </w:p>
    <w:p>
      <w:pPr>
        <w:spacing w:after="20"/>
      </w:pPr>
      <w:r>
        <w:rPr>
          <w:rFonts w:ascii="Calibri" w:hAnsi="Calibri"/>
          <w:b/>
          <w:i w:val="0"/>
          <w:color w:val="083058"/>
          <w:sz w:val="20"/>
        </w:rPr>
        <w:t>F6  Pago Anticipado</w:t>
      </w:r>
    </w:p>
    <w:p>
      <w:pPr>
        <w:spacing w:after="20"/>
        <w:ind w:left="403"/>
      </w:pPr>
      <w:hyperlink r:id="rId15">
        <w:r>
          <w:rPr>
            <w:color w:val="0D5B97"/>
            <w:u w:val="single"/>
          </w:rPr>
          <w:t>https://www.betxico.mx/promociones/PAGOANTICIPADO2</w:t>
        </w:r>
      </w:hyperlink>
    </w:p>
    <w:p>
      <w:pPr>
        <w:spacing w:after="100"/>
        <w:ind w:left="403"/>
      </w:pPr>
      <w:r>
        <w:rPr>
          <w:rFonts w:ascii="Calibri" w:hAnsi="Calibri"/>
          <w:b w:val="0"/>
          <w:i/>
          <w:color w:val="5B6C7E"/>
          <w:sz w:val="18"/>
        </w:rPr>
        <w:t>Fuente pública oficial y vista autenticada revisadas el 13 de agosto de 2026.</w:t>
      </w:r>
    </w:p>
    <w:p>
      <w:pPr>
        <w:spacing w:after="20"/>
      </w:pPr>
      <w:r>
        <w:rPr>
          <w:rFonts w:ascii="Calibri" w:hAnsi="Calibri"/>
          <w:b/>
          <w:i w:val="0"/>
          <w:color w:val="083058"/>
          <w:sz w:val="20"/>
        </w:rPr>
        <w:t>F7  Mega Impulsos</w:t>
      </w:r>
    </w:p>
    <w:p>
      <w:pPr>
        <w:spacing w:after="20"/>
        <w:ind w:left="403"/>
      </w:pPr>
      <w:hyperlink r:id="rId13">
        <w:r>
          <w:rPr>
            <w:color w:val="0D5B97"/>
            <w:u w:val="single"/>
          </w:rPr>
          <w:t>https://www.betxico.mx/promociones</w:t>
        </w:r>
      </w:hyperlink>
    </w:p>
    <w:p>
      <w:pPr>
        <w:spacing w:after="100"/>
        <w:ind w:left="403"/>
      </w:pPr>
      <w:r>
        <w:rPr>
          <w:rFonts w:ascii="Calibri" w:hAnsi="Calibri"/>
          <w:b w:val="0"/>
          <w:i/>
          <w:color w:val="5B6C7E"/>
          <w:sz w:val="18"/>
        </w:rPr>
        <w:t>Detalle autenticado revisado el 13 de agosto de 2026.</w:t>
      </w:r>
    </w:p>
    <w:p>
      <w:pPr>
        <w:spacing w:after="20"/>
      </w:pPr>
      <w:r>
        <w:rPr>
          <w:rFonts w:ascii="Calibri" w:hAnsi="Calibri"/>
          <w:b/>
          <w:i w:val="0"/>
          <w:color w:val="083058"/>
          <w:sz w:val="20"/>
        </w:rPr>
        <w:t>F8  Juego Consciente</w:t>
      </w:r>
    </w:p>
    <w:p>
      <w:pPr>
        <w:spacing w:after="20"/>
        <w:ind w:left="403"/>
      </w:pPr>
      <w:hyperlink r:id="rId16">
        <w:r>
          <w:rPr>
            <w:color w:val="0D5B97"/>
            <w:u w:val="single"/>
          </w:rPr>
          <w:t>https://www.betxico.mx/juego-responsable</w:t>
        </w:r>
      </w:hyperlink>
    </w:p>
    <w:p>
      <w:pPr>
        <w:spacing w:after="100"/>
        <w:ind w:left="403"/>
      </w:pPr>
      <w:r>
        <w:rPr>
          <w:rFonts w:ascii="Calibri" w:hAnsi="Calibri"/>
          <w:b w:val="0"/>
          <w:i/>
          <w:color w:val="5B6C7E"/>
          <w:sz w:val="18"/>
        </w:rPr>
        <w:t>Fuente pública oficial consultada el 13 de agosto de 2026.</w:t>
      </w:r>
    </w:p>
    <w:p>
      <w:pPr>
        <w:spacing w:after="20"/>
      </w:pPr>
      <w:r>
        <w:rPr>
          <w:rFonts w:ascii="Calibri" w:hAnsi="Calibri"/>
          <w:b/>
          <w:i w:val="0"/>
          <w:color w:val="083058"/>
          <w:sz w:val="20"/>
        </w:rPr>
        <w:t>F9  Herramientas de Juego Consciente</w:t>
      </w:r>
    </w:p>
    <w:p>
      <w:pPr>
        <w:spacing w:after="20"/>
        <w:ind w:left="403"/>
      </w:pPr>
      <w:hyperlink r:id="rId17">
        <w:r>
          <w:rPr>
            <w:color w:val="0D5B97"/>
            <w:u w:val="single"/>
          </w:rPr>
          <w:t>https://www.betxico.mx/juego-responsable/herramientas-utiles</w:t>
        </w:r>
      </w:hyperlink>
    </w:p>
    <w:p>
      <w:pPr>
        <w:spacing w:after="100"/>
        <w:ind w:left="403"/>
      </w:pPr>
      <w:r>
        <w:rPr>
          <w:rFonts w:ascii="Calibri" w:hAnsi="Calibri"/>
          <w:b w:val="0"/>
          <w:i/>
          <w:color w:val="5B6C7E"/>
          <w:sz w:val="18"/>
        </w:rPr>
        <w:t>Fuente pública oficial consultada el 13 de agosto de 2026.</w:t>
      </w:r>
    </w:p>
    <w:p>
      <w:pPr>
        <w:spacing w:after="20"/>
      </w:pPr>
      <w:r>
        <w:rPr>
          <w:rFonts w:ascii="Calibri" w:hAnsi="Calibri"/>
          <w:b/>
          <w:i w:val="0"/>
          <w:color w:val="083058"/>
          <w:sz w:val="20"/>
        </w:rPr>
        <w:t>F10  Política de Protección de Datos</w:t>
      </w:r>
    </w:p>
    <w:p>
      <w:pPr>
        <w:spacing w:after="20"/>
        <w:ind w:left="403"/>
      </w:pPr>
      <w:hyperlink r:id="rId18">
        <w:r>
          <w:rPr>
            <w:color w:val="0D5B97"/>
            <w:u w:val="single"/>
          </w:rPr>
          <w:t>https://www.betxico.mx/politica-de-privacidade</w:t>
        </w:r>
      </w:hyperlink>
    </w:p>
    <w:p>
      <w:pPr>
        <w:spacing w:after="100"/>
        <w:ind w:left="403"/>
      </w:pPr>
      <w:r>
        <w:rPr>
          <w:rFonts w:ascii="Calibri" w:hAnsi="Calibri"/>
          <w:b w:val="0"/>
          <w:i/>
          <w:color w:val="5B6C7E"/>
          <w:sz w:val="18"/>
        </w:rPr>
        <w:t>Fuente pública oficial consultada el 13 de agosto de 2026.</w:t>
      </w:r>
    </w:p>
    <w:p>
      <w:pPr>
        <w:spacing w:after="20"/>
      </w:pPr>
      <w:r>
        <w:rPr>
          <w:rFonts w:ascii="Calibri" w:hAnsi="Calibri"/>
          <w:b/>
          <w:i w:val="0"/>
          <w:color w:val="083058"/>
          <w:sz w:val="20"/>
        </w:rPr>
        <w:t>F11  Cómo apostar</w:t>
      </w:r>
    </w:p>
    <w:p>
      <w:pPr>
        <w:spacing w:after="20"/>
        <w:ind w:left="403"/>
      </w:pPr>
      <w:hyperlink r:id="rId19">
        <w:r>
          <w:rPr>
            <w:color w:val="0D5B97"/>
            <w:u w:val="single"/>
          </w:rPr>
          <w:t>https://www.betxico.mx/como-apostar</w:t>
        </w:r>
      </w:hyperlink>
    </w:p>
    <w:p>
      <w:pPr>
        <w:spacing w:after="100"/>
        <w:ind w:left="403"/>
      </w:pPr>
      <w:r>
        <w:rPr>
          <w:rFonts w:ascii="Calibri" w:hAnsi="Calibri"/>
          <w:b w:val="0"/>
          <w:i/>
          <w:color w:val="5B6C7E"/>
          <w:sz w:val="18"/>
        </w:rPr>
        <w:t>Fuente pública oficial consultada el 13 de agosto de 2026.</w:t>
      </w:r>
    </w:p>
    <w:p>
      <w:pPr>
        <w:spacing w:after="20"/>
      </w:pPr>
      <w:r>
        <w:rPr>
          <w:rFonts w:ascii="Calibri" w:hAnsi="Calibri"/>
          <w:b/>
          <w:i w:val="0"/>
          <w:color w:val="083058"/>
          <w:sz w:val="20"/>
        </w:rPr>
        <w:t>F12  Canales de Servicio</w:t>
      </w:r>
    </w:p>
    <w:p>
      <w:pPr>
        <w:spacing w:after="20"/>
        <w:ind w:left="403"/>
      </w:pPr>
      <w:hyperlink r:id="rId20">
        <w:r>
          <w:rPr>
            <w:color w:val="0D5B97"/>
            <w:u w:val="single"/>
          </w:rPr>
          <w:t>https://www.betxico.mx/atendimento</w:t>
        </w:r>
      </w:hyperlink>
    </w:p>
    <w:p>
      <w:pPr>
        <w:spacing w:after="100"/>
        <w:ind w:left="403"/>
      </w:pPr>
      <w:r>
        <w:rPr>
          <w:rFonts w:ascii="Calibri" w:hAnsi="Calibri"/>
          <w:b w:val="0"/>
          <w:i/>
          <w:color w:val="5B6C7E"/>
          <w:sz w:val="18"/>
        </w:rPr>
        <w:t>Fuente pública oficial consultada el 13 de agosto de 2026.</w:t>
      </w:r>
    </w:p>
    <w:p>
      <w:pPr>
        <w:spacing w:after="20"/>
      </w:pPr>
      <w:r>
        <w:rPr>
          <w:rFonts w:ascii="Calibri" w:hAnsi="Calibri"/>
          <w:b/>
          <w:i w:val="0"/>
          <w:color w:val="083058"/>
          <w:sz w:val="20"/>
        </w:rPr>
        <w:t>F13  Depósitos</w:t>
      </w:r>
    </w:p>
    <w:p>
      <w:pPr>
        <w:spacing w:after="20"/>
        <w:ind w:left="403"/>
      </w:pPr>
      <w:hyperlink r:id="rId21">
        <w:r>
          <w:rPr>
            <w:color w:val="0D5B97"/>
            <w:u w:val="single"/>
          </w:rPr>
          <w:t>https://www.betxico.mx/deposito</w:t>
        </w:r>
      </w:hyperlink>
    </w:p>
    <w:p>
      <w:pPr>
        <w:spacing w:after="100"/>
        <w:ind w:left="403"/>
      </w:pPr>
      <w:r>
        <w:rPr>
          <w:rFonts w:ascii="Calibri" w:hAnsi="Calibri"/>
          <w:b w:val="0"/>
          <w:i/>
          <w:color w:val="5B6C7E"/>
          <w:sz w:val="18"/>
        </w:rPr>
        <w:t>Fuente pública oficial consultada el 13 de agosto de 2026.</w:t>
      </w:r>
    </w:p>
    <w:tbl>
      <w:tblPr>
        <w:tblW w:type="auto" w:w="0"/>
        <w:jc w:val="center"/>
        <w:tblLayout w:type="fixed"/>
        <w:tblLook w:firstColumn="1" w:firstRow="1" w:lastColumn="0" w:lastRow="0" w:noHBand="0" w:noVBand="1" w:val="04A0"/>
      </w:tblPr>
      <w:tblGrid>
        <w:gridCol w:w="9360"/>
      </w:tblGrid>
      <w:tr>
        <w:trPr>
          <w:cantSplit/>
        </w:trPr>
        <w:tc>
          <w:tcPr>
            <w:tcW w:type="dxa" w:w="9878"/>
            <w:shd w:fill="E7F0F8"/>
            <w:tcMar>
              <w:top w:w="140" w:type="dxa"/>
              <w:bottom w:w="140" w:type="dxa"/>
              <w:start w:w="180" w:type="dxa"/>
              <w:end w:w="180" w:type="dxa"/>
            </w:tcMar>
          </w:tcPr>
          <w:p>
            <w:pPr>
              <w:spacing w:after="60"/>
            </w:pPr>
            <w:r>
              <w:rPr>
                <w:rFonts w:ascii="Calibri" w:hAnsi="Calibri"/>
                <w:b/>
                <w:i w:val="0"/>
                <w:color w:val="0D5B97"/>
                <w:sz w:val="21"/>
              </w:rPr>
              <w:t>CONTROL DE CAMBIOS</w:t>
            </w:r>
          </w:p>
          <w:p>
            <w:pPr>
              <w:spacing w:after="0" w:line="283" w:lineRule="auto"/>
            </w:pPr>
            <w:r>
              <w:rPr>
                <w:rFonts w:ascii="Calibri" w:hAnsi="Calibri"/>
                <w:b w:val="0"/>
                <w:i w:val="0"/>
                <w:color w:val="1F2D3D"/>
                <w:sz w:val="20"/>
              </w:rPr>
              <w:t>Revisar fuentes al publicar una promoción, cambiar un proceso financiero o modificar KYC. Registrar fecha, fuente, texto anterior, texto nuevo, impacto en las ramas y aprobación responsable.</w:t>
            </w:r>
          </w:p>
        </w:tc>
      </w:tr>
    </w:tbl>
    <w:p>
      <w:pPr>
        <w:spacing w:after="20"/>
      </w:pP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C7E"/>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083058"/>
        <w:sz w:val="17"/>
      </w:rPr>
      <w:t>BETXICO | MANUAL MAESTRO INTEGRADO</w:t>
    </w:r>
    <w:r>
      <w:rPr>
        <w:rFonts w:ascii="Calibri" w:hAnsi="Calibri"/>
        <w:b w:val="0"/>
        <w:i w:val="0"/>
        <w:color w:val="5B6C7E"/>
        <w:sz w:val="17"/>
      </w:rPr>
      <w:t xml:space="preserve">   •   Revisión 13 ago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F2D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0D5B97"/>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D5B9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8305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etxico.mx/termos-e-condicoes" TargetMode="External"/><Relationship Id="rId12" Type="http://schemas.openxmlformats.org/officeDocument/2006/relationships/hyperlink" Target="https://www.betxico.mx/regras-procedimentos" TargetMode="External"/><Relationship Id="rId13" Type="http://schemas.openxmlformats.org/officeDocument/2006/relationships/hyperlink" Target="https://www.betxico.mx/promociones" TargetMode="External"/><Relationship Id="rId14" Type="http://schemas.openxmlformats.org/officeDocument/2006/relationships/hyperlink" Target="https://www.betxico.mx/promociones/100REGALOP" TargetMode="External"/><Relationship Id="rId15" Type="http://schemas.openxmlformats.org/officeDocument/2006/relationships/hyperlink" Target="https://www.betxico.mx/promociones/PAGOANTICIPADO2" TargetMode="External"/><Relationship Id="rId16" Type="http://schemas.openxmlformats.org/officeDocument/2006/relationships/hyperlink" Target="https://www.betxico.mx/juego-responsable" TargetMode="External"/><Relationship Id="rId17" Type="http://schemas.openxmlformats.org/officeDocument/2006/relationships/hyperlink" Target="https://www.betxico.mx/juego-responsable/herramientas-utiles" TargetMode="External"/><Relationship Id="rId18" Type="http://schemas.openxmlformats.org/officeDocument/2006/relationships/hyperlink" Target="https://www.betxico.mx/politica-de-privacidade" TargetMode="External"/><Relationship Id="rId19" Type="http://schemas.openxmlformats.org/officeDocument/2006/relationships/hyperlink" Target="https://www.betxico.mx/como-apostar" TargetMode="External"/><Relationship Id="rId20" Type="http://schemas.openxmlformats.org/officeDocument/2006/relationships/hyperlink" Target="https://www.betxico.mx/atendimento" TargetMode="External"/><Relationship Id="rId21" Type="http://schemas.openxmlformats.org/officeDocument/2006/relationships/hyperlink" Target="https://www.betxico.mx/deposi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