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300" w:lineRule="auto"/>
      </w:pPr>
      <w:r>
        <w:rPr>
          <w:rFonts w:ascii="Calibri" w:hAnsi="Calibri"/>
          <w:b/>
          <w:i w:val="0"/>
          <w:color w:val="F04C18"/>
          <w:sz w:val="24"/>
        </w:rPr>
        <w:t>BETXICO SOPORTE</w:t>
      </w:r>
    </w:p>
    <w:p>
      <w:pPr>
        <w:spacing w:before="0" w:after="160" w:line="300" w:lineRule="auto"/>
      </w:pPr>
      <w:r>
        <w:rPr>
          <w:rFonts w:ascii="Calibri" w:hAnsi="Calibri"/>
          <w:b/>
          <w:i w:val="0"/>
          <w:color w:val="072D57"/>
          <w:sz w:val="56"/>
        </w:rPr>
        <w:t>Manual operativo de términos, bonos y reglas</w:t>
      </w:r>
    </w:p>
    <w:p>
      <w:pPr>
        <w:spacing w:before="0" w:after="440" w:line="300" w:lineRule="auto"/>
      </w:pPr>
      <w:r>
        <w:rPr>
          <w:rFonts w:ascii="Calibri" w:hAnsi="Calibri"/>
          <w:b w:val="0"/>
          <w:i w:val="0"/>
          <w:color w:val="105091"/>
          <w:sz w:val="32"/>
        </w:rPr>
        <w:t>Base de conocimiento para responder dudas de clientes</w:t>
      </w:r>
    </w:p>
    <w:tbl>
      <w:tblPr>
        <w:tblW w:type="auto" w:w="0"/>
        <w:jc w:val="center"/>
        <w:tblLayout w:type="fixed"/>
        <w:tblLook w:firstColumn="1" w:firstRow="1" w:lastColumn="0" w:lastRow="0" w:noHBand="0" w:noVBand="1" w:val="04A0"/>
      </w:tblPr>
      <w:tblGrid>
        <w:gridCol w:w="9360"/>
      </w:tblGrid>
      <w:tr>
        <w:trPr>
          <w:cantSplit/>
        </w:trPr>
        <w:tc>
          <w:tcPr>
            <w:tcW w:type="dxa" w:w="9878"/>
            <w:shd w:fill="E8F0F8"/>
            <w:tcMar>
              <w:top w:w="140" w:type="dxa"/>
              <w:start w:w="180" w:type="dxa"/>
              <w:bottom w:w="140" w:type="dxa"/>
              <w:end w:w="180" w:type="dxa"/>
            </w:tcMar>
          </w:tcPr>
          <w:p>
            <w:pPr>
              <w:spacing w:after="60"/>
            </w:pPr>
            <w:r>
              <w:rPr>
                <w:rFonts w:ascii="Calibri" w:hAnsi="Calibri"/>
                <w:b/>
                <w:i w:val="0"/>
                <w:color w:val="105091"/>
                <w:sz w:val="22"/>
              </w:rPr>
              <w:t>ALCANCE</w:t>
            </w:r>
          </w:p>
          <w:p>
            <w:pPr>
              <w:spacing w:after="0" w:line="288" w:lineRule="auto"/>
            </w:pPr>
            <w:r>
              <w:rPr>
                <w:rFonts w:ascii="Calibri" w:hAnsi="Calibri"/>
                <w:b w:val="0"/>
                <w:i w:val="0"/>
                <w:color w:val="1D2939"/>
                <w:sz w:val="21"/>
              </w:rPr>
              <w:t>Resumen operativo elaborado a partir de las páginas públicas oficiales de Betxico. Sirve para orientar respuestas de soporte; no reemplaza el texto legal vigente ni autoriza promesas de pago, aprobación, premio o desbloqueo.</w:t>
            </w:r>
          </w:p>
        </w:tc>
      </w:tr>
    </w:tbl>
    <w:p>
      <w:pPr>
        <w:spacing w:after="20"/>
      </w:pPr>
    </w:p>
    <w:p>
      <w:pPr>
        <w:spacing w:before="0" w:after="20" w:line="300" w:lineRule="auto"/>
      </w:pPr>
      <w:r>
        <w:rPr>
          <w:rFonts w:ascii="Calibri" w:hAnsi="Calibri"/>
          <w:b/>
          <w:i w:val="0"/>
          <w:color w:val="586778"/>
          <w:sz w:val="19"/>
        </w:rPr>
        <w:t>Fecha de corte</w:t>
      </w:r>
    </w:p>
    <w:p>
      <w:pPr>
        <w:spacing w:before="0" w:after="160" w:line="300" w:lineRule="auto"/>
      </w:pPr>
      <w:r>
        <w:rPr>
          <w:rFonts w:ascii="Calibri" w:hAnsi="Calibri"/>
          <w:b/>
          <w:i w:val="0"/>
          <w:color w:val="1D2939"/>
          <w:sz w:val="22"/>
        </w:rPr>
        <w:t>13 de agosto de 2026</w:t>
      </w:r>
    </w:p>
    <w:p>
      <w:pPr>
        <w:spacing w:before="0" w:after="20" w:line="300" w:lineRule="auto"/>
      </w:pPr>
      <w:r>
        <w:rPr>
          <w:rFonts w:ascii="Calibri" w:hAnsi="Calibri"/>
          <w:b/>
          <w:i w:val="0"/>
          <w:color w:val="586778"/>
          <w:sz w:val="19"/>
        </w:rPr>
        <w:t>Fuentes revisadas</w:t>
      </w:r>
    </w:p>
    <w:p>
      <w:pPr>
        <w:spacing w:before="0" w:after="440" w:line="300" w:lineRule="auto"/>
      </w:pPr>
      <w:r>
        <w:rPr>
          <w:rFonts w:ascii="Calibri" w:hAnsi="Calibri"/>
          <w:b w:val="0"/>
          <w:i w:val="0"/>
          <w:color w:val="1D2939"/>
          <w:sz w:val="21"/>
        </w:rPr>
        <w:t>Términos generales, reglas deportivas, promociones, juego consciente, privacidad, depósitos, guía de uso y canales de atención.</w:t>
      </w:r>
    </w:p>
    <w:p>
      <w:pPr>
        <w:spacing w:before="0" w:after="120" w:line="300" w:lineRule="auto"/>
      </w:pPr>
      <w:r>
        <w:rPr>
          <w:rFonts w:ascii="Calibri" w:hAnsi="Calibri"/>
          <w:b w:val="0"/>
          <w:i/>
          <w:color w:val="586778"/>
          <w:sz w:val="19"/>
        </w:rPr>
        <w:t>Uso interno • La información variable debe verificarse en el sitio y en la cuenta del cliente antes de responder.</w:t>
      </w:r>
    </w:p>
    <w:p>
      <w:r>
        <w:br w:type="page"/>
      </w:r>
    </w:p>
    <w:p>
      <w:pPr>
        <w:pStyle w:val="Heading1"/>
        <w:keepNext/>
      </w:pPr>
      <w:r>
        <w:t>Contenido</w:t>
      </w:r>
    </w:p>
    <w:p>
      <w:pPr>
        <w:pStyle w:val="ListBullet"/>
        <w:spacing w:after="80" w:line="300" w:lineRule="auto"/>
      </w:pPr>
      <w:r>
        <w:rPr>
          <w:rFonts w:ascii="Calibri" w:hAnsi="Calibri"/>
          <w:b w:val="0"/>
          <w:i w:val="0"/>
          <w:color w:val="1D2939"/>
          <w:sz w:val="22"/>
        </w:rPr>
        <w:t>1. Cómo usar esta guía</w:t>
      </w:r>
    </w:p>
    <w:p>
      <w:pPr>
        <w:pStyle w:val="ListBullet"/>
        <w:spacing w:after="80" w:line="300" w:lineRule="auto"/>
      </w:pPr>
      <w:r>
        <w:rPr>
          <w:rFonts w:ascii="Calibri" w:hAnsi="Calibri"/>
          <w:b w:val="0"/>
          <w:i w:val="0"/>
          <w:color w:val="1D2939"/>
          <w:sz w:val="22"/>
        </w:rPr>
        <w:t>2. Respuestas rápidas y ruta de verificación</w:t>
      </w:r>
    </w:p>
    <w:p>
      <w:pPr>
        <w:pStyle w:val="ListBullet"/>
        <w:spacing w:after="80" w:line="300" w:lineRule="auto"/>
      </w:pPr>
      <w:r>
        <w:rPr>
          <w:rFonts w:ascii="Calibri" w:hAnsi="Calibri"/>
          <w:b w:val="0"/>
          <w:i w:val="0"/>
          <w:color w:val="1D2939"/>
          <w:sz w:val="22"/>
        </w:rPr>
        <w:t>3. Cuenta, elegibilidad y seguridad</w:t>
      </w:r>
    </w:p>
    <w:p>
      <w:pPr>
        <w:pStyle w:val="ListBullet"/>
        <w:spacing w:after="80" w:line="300" w:lineRule="auto"/>
      </w:pPr>
      <w:r>
        <w:rPr>
          <w:rFonts w:ascii="Calibri" w:hAnsi="Calibri"/>
          <w:b w:val="0"/>
          <w:i w:val="0"/>
          <w:color w:val="1D2939"/>
          <w:sz w:val="22"/>
        </w:rPr>
        <w:t>4. Verificación de identidad (KYC)</w:t>
      </w:r>
    </w:p>
    <w:p>
      <w:pPr>
        <w:pStyle w:val="ListBullet"/>
        <w:spacing w:after="80" w:line="300" w:lineRule="auto"/>
      </w:pPr>
      <w:r>
        <w:rPr>
          <w:rFonts w:ascii="Calibri" w:hAnsi="Calibri"/>
          <w:b w:val="0"/>
          <w:i w:val="0"/>
          <w:color w:val="1D2939"/>
          <w:sz w:val="22"/>
        </w:rPr>
        <w:t>5. Depósitos, saldo y movimientos</w:t>
      </w:r>
    </w:p>
    <w:p>
      <w:pPr>
        <w:pStyle w:val="ListBullet"/>
        <w:spacing w:after="80" w:line="300" w:lineRule="auto"/>
      </w:pPr>
      <w:r>
        <w:rPr>
          <w:rFonts w:ascii="Calibri" w:hAnsi="Calibri"/>
          <w:b w:val="0"/>
          <w:i w:val="0"/>
          <w:color w:val="1D2939"/>
          <w:sz w:val="22"/>
        </w:rPr>
        <w:t>6. Retiros y pago de ganancias</w:t>
      </w:r>
    </w:p>
    <w:p>
      <w:pPr>
        <w:pStyle w:val="ListBullet"/>
        <w:spacing w:after="80" w:line="300" w:lineRule="auto"/>
      </w:pPr>
      <w:r>
        <w:rPr>
          <w:rFonts w:ascii="Calibri" w:hAnsi="Calibri"/>
          <w:b w:val="0"/>
          <w:i w:val="0"/>
          <w:color w:val="1D2939"/>
          <w:sz w:val="22"/>
        </w:rPr>
        <w:t>7. Apuestas y liquidación</w:t>
      </w:r>
    </w:p>
    <w:p>
      <w:pPr>
        <w:pStyle w:val="ListBullet"/>
        <w:spacing w:after="80" w:line="300" w:lineRule="auto"/>
      </w:pPr>
      <w:r>
        <w:rPr>
          <w:rFonts w:ascii="Calibri" w:hAnsi="Calibri"/>
          <w:b w:val="0"/>
          <w:i w:val="0"/>
          <w:color w:val="1D2939"/>
          <w:sz w:val="22"/>
        </w:rPr>
        <w:t>8. Reglas deportivas esenciales</w:t>
      </w:r>
    </w:p>
    <w:p>
      <w:pPr>
        <w:pStyle w:val="ListBullet"/>
        <w:spacing w:after="80" w:line="300" w:lineRule="auto"/>
      </w:pPr>
      <w:r>
        <w:rPr>
          <w:rFonts w:ascii="Calibri" w:hAnsi="Calibri"/>
          <w:b w:val="0"/>
          <w:i w:val="0"/>
          <w:color w:val="1D2939"/>
          <w:sz w:val="22"/>
        </w:rPr>
        <w:t>9. Cashout o cierre de apuesta</w:t>
      </w:r>
    </w:p>
    <w:p>
      <w:pPr>
        <w:pStyle w:val="ListBullet"/>
        <w:spacing w:after="80" w:line="300" w:lineRule="auto"/>
      </w:pPr>
      <w:r>
        <w:rPr>
          <w:rFonts w:ascii="Calibri" w:hAnsi="Calibri"/>
          <w:b w:val="0"/>
          <w:i w:val="0"/>
          <w:color w:val="1D2939"/>
          <w:sz w:val="22"/>
        </w:rPr>
        <w:t>10. Casino y fallas de juego</w:t>
      </w:r>
    </w:p>
    <w:p>
      <w:pPr>
        <w:pStyle w:val="ListBullet"/>
        <w:spacing w:after="80" w:line="300" w:lineRule="auto"/>
      </w:pPr>
      <w:r>
        <w:rPr>
          <w:rFonts w:ascii="Calibri" w:hAnsi="Calibri"/>
          <w:b w:val="0"/>
          <w:i w:val="0"/>
          <w:color w:val="1D2939"/>
          <w:sz w:val="22"/>
        </w:rPr>
        <w:t>11. Bonos y promociones</w:t>
      </w:r>
    </w:p>
    <w:p>
      <w:pPr>
        <w:pStyle w:val="ListBullet"/>
        <w:spacing w:after="80" w:line="300" w:lineRule="auto"/>
      </w:pPr>
      <w:r>
        <w:rPr>
          <w:rFonts w:ascii="Calibri" w:hAnsi="Calibri"/>
          <w:b w:val="0"/>
          <w:i w:val="0"/>
          <w:color w:val="1D2939"/>
          <w:sz w:val="22"/>
        </w:rPr>
        <w:t>12. Juego consciente y cierre de cuenta</w:t>
      </w:r>
    </w:p>
    <w:p>
      <w:pPr>
        <w:pStyle w:val="ListBullet"/>
        <w:spacing w:after="80" w:line="300" w:lineRule="auto"/>
      </w:pPr>
      <w:r>
        <w:rPr>
          <w:rFonts w:ascii="Calibri" w:hAnsi="Calibri"/>
          <w:b w:val="0"/>
          <w:i w:val="0"/>
          <w:color w:val="1D2939"/>
          <w:sz w:val="22"/>
        </w:rPr>
        <w:t>13. Privacidad y datos personales</w:t>
      </w:r>
    </w:p>
    <w:p>
      <w:pPr>
        <w:pStyle w:val="ListBullet"/>
        <w:spacing w:after="80" w:line="300" w:lineRule="auto"/>
      </w:pPr>
      <w:r>
        <w:rPr>
          <w:rFonts w:ascii="Calibri" w:hAnsi="Calibri"/>
          <w:b w:val="0"/>
          <w:i w:val="0"/>
          <w:color w:val="1D2939"/>
          <w:sz w:val="22"/>
        </w:rPr>
        <w:t>14. Quejas, fraude y escalamiento</w:t>
      </w:r>
    </w:p>
    <w:p>
      <w:pPr>
        <w:pStyle w:val="ListBullet"/>
        <w:spacing w:after="80" w:line="300" w:lineRule="auto"/>
      </w:pPr>
      <w:r>
        <w:rPr>
          <w:rFonts w:ascii="Calibri" w:hAnsi="Calibri"/>
          <w:b w:val="0"/>
          <w:i w:val="0"/>
          <w:color w:val="1D2939"/>
          <w:sz w:val="22"/>
        </w:rPr>
        <w:t>15. Preguntas frecuentes para agentes</w:t>
      </w:r>
    </w:p>
    <w:p>
      <w:pPr>
        <w:pStyle w:val="ListBullet"/>
        <w:spacing w:after="80" w:line="300" w:lineRule="auto"/>
      </w:pPr>
      <w:r>
        <w:rPr>
          <w:rFonts w:ascii="Calibri" w:hAnsi="Calibri"/>
          <w:b w:val="0"/>
          <w:i w:val="0"/>
          <w:color w:val="1D2939"/>
          <w:sz w:val="22"/>
        </w:rPr>
        <w:t>16. Inconsistencias y datos variables</w:t>
      </w:r>
    </w:p>
    <w:p>
      <w:pPr>
        <w:pStyle w:val="ListBullet"/>
        <w:spacing w:after="80" w:line="300" w:lineRule="auto"/>
      </w:pPr>
      <w:r>
        <w:rPr>
          <w:rFonts w:ascii="Calibri" w:hAnsi="Calibri"/>
          <w:b w:val="0"/>
          <w:i w:val="0"/>
          <w:color w:val="1D2939"/>
          <w:sz w:val="22"/>
        </w:rPr>
        <w:t>17. Registro de fuentes oficiales</w:t>
      </w:r>
    </w:p>
    <w:p>
      <w:pPr>
        <w:pStyle w:val="Heading1"/>
        <w:keepNext/>
      </w:pPr>
      <w:r>
        <w:t>1. Cómo usar esta guía</w:t>
      </w:r>
    </w:p>
    <w:p>
      <w:pPr>
        <w:spacing w:before="0" w:after="120" w:line="300" w:lineRule="auto"/>
      </w:pPr>
      <w:r>
        <w:rPr>
          <w:rFonts w:ascii="Calibri" w:hAnsi="Calibri"/>
          <w:b w:val="0"/>
          <w:i w:val="0"/>
          <w:color w:val="1D2939"/>
          <w:sz w:val="22"/>
        </w:rPr>
        <w:t>La respuesta correcta depende de distinguir una regla general, un dato actual de la cuenta y una decisión de Operaciones. Una política pública explica qué puede ocurrir; no demuestra qué ocurrió en un caso específico.</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072D57"/>
            <w:tcMar>
              <w:top w:w="100" w:type="dxa"/>
              <w:start w:w="120" w:type="dxa"/>
              <w:bottom w:w="100" w:type="dxa"/>
              <w:end w:w="120" w:type="dxa"/>
            </w:tcMar>
            <w:vAlign w:val="center"/>
          </w:tcPr>
          <w:p>
            <w:pPr>
              <w:jc w:val="left"/>
            </w:pPr>
            <w:r>
              <w:rPr>
                <w:rFonts w:ascii="Calibri" w:hAnsi="Calibri"/>
                <w:b/>
                <w:i w:val="0"/>
                <w:color w:val="FFFFFF"/>
                <w:sz w:val="19"/>
              </w:rPr>
              <w:t>Nivel</w:t>
            </w:r>
          </w:p>
        </w:tc>
        <w:tc>
          <w:tcPr>
            <w:tcW w:type="dxa" w:w="3960"/>
            <w:shd w:fill="072D57"/>
            <w:tcMar>
              <w:top w:w="100" w:type="dxa"/>
              <w:start w:w="120" w:type="dxa"/>
              <w:bottom w:w="100" w:type="dxa"/>
              <w:end w:w="120" w:type="dxa"/>
            </w:tcMar>
            <w:vAlign w:val="center"/>
          </w:tcPr>
          <w:p>
            <w:pPr>
              <w:jc w:val="left"/>
            </w:pPr>
            <w:r>
              <w:rPr>
                <w:rFonts w:ascii="Calibri" w:hAnsi="Calibri"/>
                <w:b/>
                <w:i w:val="0"/>
                <w:color w:val="FFFFFF"/>
                <w:sz w:val="19"/>
              </w:rPr>
              <w:t>Qué puede hacer el agente</w:t>
            </w:r>
          </w:p>
        </w:tc>
        <w:tc>
          <w:tcPr>
            <w:tcW w:type="dxa" w:w="3888"/>
            <w:shd w:fill="072D57"/>
            <w:tcMar>
              <w:top w:w="100" w:type="dxa"/>
              <w:start w:w="120" w:type="dxa"/>
              <w:bottom w:w="100" w:type="dxa"/>
              <w:end w:w="120" w:type="dxa"/>
            </w:tcMar>
            <w:vAlign w:val="center"/>
          </w:tcPr>
          <w:p>
            <w:pPr>
              <w:jc w:val="left"/>
            </w:pPr>
            <w:r>
              <w:rPr>
                <w:rFonts w:ascii="Calibri" w:hAnsi="Calibri"/>
                <w:b/>
                <w:i w:val="0"/>
                <w:color w:val="FFFFFF"/>
                <w:sz w:val="19"/>
              </w:rPr>
              <w:t>Ejemplos</w:t>
            </w:r>
          </w:p>
        </w:tc>
      </w:tr>
      <w:tr>
        <w:tc>
          <w:tcPr>
            <w:tcW w:type="dxa" w:w="1512"/>
            <w:tcMar>
              <w:top w:w="100" w:type="dxa"/>
              <w:start w:w="120" w:type="dxa"/>
              <w:bottom w:w="100" w:type="dxa"/>
              <w:end w:w="120" w:type="dxa"/>
            </w:tcMar>
            <w:vAlign w:val="center"/>
          </w:tcPr>
          <w:p>
            <w:pPr>
              <w:spacing w:after="0" w:line="264" w:lineRule="auto"/>
            </w:pPr>
            <w:r>
              <w:rPr>
                <w:rFonts w:ascii="Calibri" w:hAnsi="Calibri"/>
                <w:b w:val="0"/>
                <w:i w:val="0"/>
                <w:color w:val="1D2939"/>
                <w:sz w:val="19"/>
              </w:rPr>
              <w:t>Responder</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1D2939"/>
                <w:sz w:val="19"/>
              </w:rPr>
              <w:t>Explicar reglas publicadas y pasos de navegación.</w:t>
            </w:r>
          </w:p>
        </w:tc>
        <w:tc>
          <w:tcPr>
            <w:tcW w:type="dxa" w:w="3888"/>
            <w:tcMar>
              <w:top w:w="100" w:type="dxa"/>
              <w:start w:w="120" w:type="dxa"/>
              <w:bottom w:w="100" w:type="dxa"/>
              <w:end w:w="120" w:type="dxa"/>
            </w:tcMar>
            <w:vAlign w:val="center"/>
          </w:tcPr>
          <w:p>
            <w:pPr>
              <w:spacing w:after="0" w:line="264" w:lineRule="auto"/>
            </w:pPr>
            <w:r>
              <w:rPr>
                <w:rFonts w:ascii="Calibri" w:hAnsi="Calibri"/>
                <w:b w:val="0"/>
                <w:i w:val="0"/>
                <w:color w:val="1D2939"/>
                <w:sz w:val="19"/>
              </w:rPr>
              <w:t>Edad mínima, definición de apuesta combinada, requisitos generales de KYC.</w:t>
            </w:r>
          </w:p>
        </w:tc>
      </w:tr>
      <w:tr>
        <w:tc>
          <w:tcPr>
            <w:tcW w:type="dxa" w:w="151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Consultar</w:t>
            </w:r>
          </w:p>
        </w:tc>
        <w:tc>
          <w:tcPr>
            <w:tcW w:type="dxa" w:w="39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Revisar evidencia actual antes de afirmar el estado del caso.</w:t>
            </w:r>
          </w:p>
        </w:tc>
        <w:tc>
          <w:tcPr>
            <w:tcW w:type="dxa" w:w="38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Atena para retiro/saldo; KYC para documentos; Jira y Lista 7 para antecedentes.</w:t>
            </w:r>
          </w:p>
        </w:tc>
      </w:tr>
      <w:tr>
        <w:tc>
          <w:tcPr>
            <w:tcW w:type="dxa" w:w="1512"/>
            <w:tcMar>
              <w:top w:w="100" w:type="dxa"/>
              <w:start w:w="120" w:type="dxa"/>
              <w:bottom w:w="100" w:type="dxa"/>
              <w:end w:w="120" w:type="dxa"/>
            </w:tcMar>
            <w:vAlign w:val="center"/>
          </w:tcPr>
          <w:p>
            <w:pPr>
              <w:spacing w:after="0" w:line="264" w:lineRule="auto"/>
            </w:pPr>
            <w:r>
              <w:rPr>
                <w:rFonts w:ascii="Calibri" w:hAnsi="Calibri"/>
                <w:b w:val="0"/>
                <w:i w:val="0"/>
                <w:color w:val="1D2939"/>
                <w:sz w:val="19"/>
              </w:rPr>
              <w:t>Escalar</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1D2939"/>
                <w:sz w:val="19"/>
              </w:rPr>
              <w:t>Solicitar revisión cuando la fuente sea insuficiente, contradictoria o sensible.</w:t>
            </w:r>
          </w:p>
        </w:tc>
        <w:tc>
          <w:tcPr>
            <w:tcW w:type="dxa" w:w="3888"/>
            <w:tcMar>
              <w:top w:w="100" w:type="dxa"/>
              <w:start w:w="120" w:type="dxa"/>
              <w:bottom w:w="100" w:type="dxa"/>
              <w:end w:w="120" w:type="dxa"/>
            </w:tcMar>
            <w:vAlign w:val="center"/>
          </w:tcPr>
          <w:p>
            <w:pPr>
              <w:spacing w:after="0" w:line="264" w:lineRule="auto"/>
            </w:pPr>
            <w:r>
              <w:rPr>
                <w:rFonts w:ascii="Calibri" w:hAnsi="Calibri"/>
                <w:b w:val="0"/>
                <w:i w:val="0"/>
                <w:color w:val="1D2939"/>
                <w:sz w:val="19"/>
              </w:rPr>
              <w:t>Disputa de premio, fraude, suspensión, cambio de identidad, queja formal.</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FF0E9"/>
            <w:tcMar>
              <w:top w:w="140" w:type="dxa"/>
              <w:start w:w="180" w:type="dxa"/>
              <w:bottom w:w="140" w:type="dxa"/>
              <w:end w:w="180" w:type="dxa"/>
            </w:tcMar>
          </w:tcPr>
          <w:p>
            <w:pPr>
              <w:spacing w:after="60"/>
            </w:pPr>
            <w:r>
              <w:rPr>
                <w:rFonts w:ascii="Calibri" w:hAnsi="Calibri"/>
                <w:b/>
                <w:i w:val="0"/>
                <w:color w:val="F04C18"/>
                <w:sz w:val="22"/>
              </w:rPr>
              <w:t>REGLA DE ORO</w:t>
            </w:r>
          </w:p>
          <w:p>
            <w:pPr>
              <w:spacing w:after="0" w:line="288" w:lineRule="auto"/>
            </w:pPr>
            <w:r>
              <w:rPr>
                <w:rFonts w:ascii="Calibri" w:hAnsi="Calibri"/>
                <w:b w:val="0"/>
                <w:i w:val="0"/>
                <w:color w:val="1D2939"/>
                <w:sz w:val="21"/>
              </w:rPr>
              <w:t>No convertir una condición general en una conclusión sobre el cliente. Por ejemplo, que los retiros puedan retenerse por verificación no significa que ese sea el motivo del retiro consultado.</w:t>
            </w:r>
          </w:p>
        </w:tc>
      </w:tr>
    </w:tbl>
    <w:p>
      <w:pPr>
        <w:spacing w:after="20"/>
      </w:pPr>
    </w:p>
    <w:p>
      <w:pPr>
        <w:pStyle w:val="Heading1"/>
        <w:keepNext/>
      </w:pPr>
      <w:r>
        <w:t>2. Respuestas rápidas y ruta de verificación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shd w:fill="072D57"/>
            <w:tcMar>
              <w:top w:w="100" w:type="dxa"/>
              <w:start w:w="120" w:type="dxa"/>
              <w:bottom w:w="100" w:type="dxa"/>
              <w:end w:w="120" w:type="dxa"/>
            </w:tcMar>
            <w:vAlign w:val="center"/>
          </w:tcPr>
          <w:p>
            <w:pPr>
              <w:jc w:val="left"/>
            </w:pPr>
            <w:r>
              <w:rPr>
                <w:rFonts w:ascii="Calibri" w:hAnsi="Calibri"/>
                <w:b/>
                <w:i w:val="0"/>
                <w:color w:val="FFFFFF"/>
                <w:sz w:val="19"/>
              </w:rPr>
              <w:t>Duda del cliente</w:t>
            </w:r>
          </w:p>
        </w:tc>
        <w:tc>
          <w:tcPr>
            <w:tcW w:type="dxa" w:w="3240"/>
            <w:shd w:fill="072D57"/>
            <w:tcMar>
              <w:top w:w="100" w:type="dxa"/>
              <w:start w:w="120" w:type="dxa"/>
              <w:bottom w:w="100" w:type="dxa"/>
              <w:end w:w="120" w:type="dxa"/>
            </w:tcMar>
            <w:vAlign w:val="center"/>
          </w:tcPr>
          <w:p>
            <w:pPr>
              <w:jc w:val="left"/>
            </w:pPr>
            <w:r>
              <w:rPr>
                <w:rFonts w:ascii="Calibri" w:hAnsi="Calibri"/>
                <w:b/>
                <w:i w:val="0"/>
                <w:color w:val="FFFFFF"/>
                <w:sz w:val="19"/>
              </w:rPr>
              <w:t>Primera consulta</w:t>
            </w:r>
          </w:p>
        </w:tc>
        <w:tc>
          <w:tcPr>
            <w:tcW w:type="dxa" w:w="3600"/>
            <w:shd w:fill="072D57"/>
            <w:tcMar>
              <w:top w:w="100" w:type="dxa"/>
              <w:start w:w="120" w:type="dxa"/>
              <w:bottom w:w="100" w:type="dxa"/>
              <w:end w:w="120" w:type="dxa"/>
            </w:tcMar>
            <w:vAlign w:val="center"/>
          </w:tcPr>
          <w:p>
            <w:pPr>
              <w:jc w:val="left"/>
            </w:pPr>
            <w:r>
              <w:rPr>
                <w:rFonts w:ascii="Calibri" w:hAnsi="Calibri"/>
                <w:b/>
                <w:i w:val="0"/>
                <w:color w:val="FFFFFF"/>
                <w:sz w:val="19"/>
              </w:rPr>
              <w:t>Después</w:t>
            </w:r>
          </w:p>
        </w:tc>
      </w:tr>
      <w:tr>
        <w:tc>
          <w:tcPr>
            <w:tcW w:type="dxa" w:w="2520"/>
            <w:tcMar>
              <w:top w:w="100" w:type="dxa"/>
              <w:start w:w="120" w:type="dxa"/>
              <w:bottom w:w="100" w:type="dxa"/>
              <w:end w:w="120" w:type="dxa"/>
            </w:tcMar>
            <w:vAlign w:val="center"/>
          </w:tcPr>
          <w:p>
            <w:pPr>
              <w:spacing w:after="0" w:line="264" w:lineRule="auto"/>
            </w:pPr>
            <w:r>
              <w:rPr>
                <w:rFonts w:ascii="Calibri" w:hAnsi="Calibri"/>
                <w:b w:val="0"/>
                <w:i w:val="0"/>
                <w:color w:val="1D2939"/>
                <w:sz w:val="19"/>
              </w:rPr>
              <w:t>Mi retiro no llega</w:t>
            </w:r>
          </w:p>
        </w:tc>
        <w:tc>
          <w:tcPr>
            <w:tcW w:type="dxa" w:w="3240"/>
            <w:tcMar>
              <w:top w:w="100" w:type="dxa"/>
              <w:start w:w="120" w:type="dxa"/>
              <w:bottom w:w="100" w:type="dxa"/>
              <w:end w:w="120" w:type="dxa"/>
            </w:tcMar>
            <w:vAlign w:val="center"/>
          </w:tcPr>
          <w:p>
            <w:pPr>
              <w:spacing w:after="0" w:line="264" w:lineRule="auto"/>
            </w:pPr>
            <w:r>
              <w:rPr>
                <w:rFonts w:ascii="Calibri" w:hAnsi="Calibri"/>
                <w:b w:val="0"/>
                <w:i w:val="0"/>
                <w:color w:val="1D2939"/>
                <w:sz w:val="19"/>
              </w:rPr>
              <w:t>Atena: retiro más reciente, fecha, monto y estado.</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1D2939"/>
                <w:sz w:val="19"/>
              </w:rPr>
              <w:t>Jira/Lista 7 para motivo; KYC si se relaciona con documentos.</w:t>
            </w:r>
          </w:p>
        </w:tc>
      </w:tr>
      <w:tr>
        <w:tc>
          <w:tcPr>
            <w:tcW w:type="dxa" w:w="252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Mi depósito no aparece</w:t>
            </w:r>
          </w:p>
        </w:tc>
        <w:tc>
          <w:tcPr>
            <w:tcW w:type="dxa" w:w="324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Atena: movimientos, saldo y estado operativo.</w:t>
            </w:r>
          </w:p>
        </w:tc>
        <w:tc>
          <w:tcPr>
            <w:tcW w:type="dxa" w:w="36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Pedir comprobante/CEP solo si la evidencia no permite resolver.</w:t>
            </w:r>
          </w:p>
        </w:tc>
      </w:tr>
      <w:tr>
        <w:tc>
          <w:tcPr>
            <w:tcW w:type="dxa" w:w="2520"/>
            <w:tcMar>
              <w:top w:w="100" w:type="dxa"/>
              <w:start w:w="120" w:type="dxa"/>
              <w:bottom w:w="100" w:type="dxa"/>
              <w:end w:w="120" w:type="dxa"/>
            </w:tcMar>
            <w:vAlign w:val="center"/>
          </w:tcPr>
          <w:p>
            <w:pPr>
              <w:spacing w:after="0" w:line="264" w:lineRule="auto"/>
            </w:pPr>
            <w:r>
              <w:rPr>
                <w:rFonts w:ascii="Calibri" w:hAnsi="Calibri"/>
                <w:b w:val="0"/>
                <w:i w:val="0"/>
                <w:color w:val="1D2939"/>
                <w:sz w:val="19"/>
              </w:rPr>
              <w:t>Me falta verificar la cuenta</w:t>
            </w:r>
          </w:p>
        </w:tc>
        <w:tc>
          <w:tcPr>
            <w:tcW w:type="dxa" w:w="3240"/>
            <w:tcMar>
              <w:top w:w="100" w:type="dxa"/>
              <w:start w:w="120" w:type="dxa"/>
              <w:bottom w:w="100" w:type="dxa"/>
              <w:end w:w="120" w:type="dxa"/>
            </w:tcMar>
            <w:vAlign w:val="center"/>
          </w:tcPr>
          <w:p>
            <w:pPr>
              <w:spacing w:after="0" w:line="264" w:lineRule="auto"/>
            </w:pPr>
            <w:r>
              <w:rPr>
                <w:rFonts w:ascii="Calibri" w:hAnsi="Calibri"/>
                <w:b w:val="0"/>
                <w:i w:val="0"/>
                <w:color w:val="1D2939"/>
                <w:sz w:val="19"/>
              </w:rPr>
              <w:t>KYC: Usuarios KYC y Verificaciones.</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1D2939"/>
                <w:sz w:val="19"/>
              </w:rPr>
              <w:t>Pedir únicamente el documento realmente faltante.</w:t>
            </w:r>
          </w:p>
        </w:tc>
      </w:tr>
      <w:tr>
        <w:tc>
          <w:tcPr>
            <w:tcW w:type="dxa" w:w="252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No me dieron el bono</w:t>
            </w:r>
          </w:p>
        </w:tc>
        <w:tc>
          <w:tcPr>
            <w:tcW w:type="dxa" w:w="324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Promoción visible/habilitada en la cuenta.</w:t>
            </w:r>
          </w:p>
        </w:tc>
        <w:tc>
          <w:tcPr>
            <w:tcW w:type="dxa" w:w="36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Comparar depósito, activación, rollover, juego y vigencia.</w:t>
            </w:r>
          </w:p>
        </w:tc>
      </w:tr>
      <w:tr>
        <w:tc>
          <w:tcPr>
            <w:tcW w:type="dxa" w:w="2520"/>
            <w:tcMar>
              <w:top w:w="100" w:type="dxa"/>
              <w:start w:w="120" w:type="dxa"/>
              <w:bottom w:w="100" w:type="dxa"/>
              <w:end w:w="120" w:type="dxa"/>
            </w:tcMar>
            <w:vAlign w:val="center"/>
          </w:tcPr>
          <w:p>
            <w:pPr>
              <w:spacing w:after="0" w:line="264" w:lineRule="auto"/>
            </w:pPr>
            <w:r>
              <w:rPr>
                <w:rFonts w:ascii="Calibri" w:hAnsi="Calibri"/>
                <w:b w:val="0"/>
                <w:i w:val="0"/>
                <w:color w:val="1D2939"/>
                <w:sz w:val="19"/>
              </w:rPr>
              <w:t>Mi apuesta está mal pagada</w:t>
            </w:r>
          </w:p>
        </w:tc>
        <w:tc>
          <w:tcPr>
            <w:tcW w:type="dxa" w:w="3240"/>
            <w:tcMar>
              <w:top w:w="100" w:type="dxa"/>
              <w:start w:w="120" w:type="dxa"/>
              <w:bottom w:w="100" w:type="dxa"/>
              <w:end w:w="120" w:type="dxa"/>
            </w:tcMar>
            <w:vAlign w:val="center"/>
          </w:tcPr>
          <w:p>
            <w:pPr>
              <w:spacing w:after="0" w:line="264" w:lineRule="auto"/>
            </w:pPr>
            <w:r>
              <w:rPr>
                <w:rFonts w:ascii="Calibri" w:hAnsi="Calibri"/>
                <w:b w:val="0"/>
                <w:i w:val="0"/>
                <w:color w:val="1D2939"/>
                <w:sz w:val="19"/>
              </w:rPr>
              <w:t>Boleto, mercado y resultado del sistema.</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1D2939"/>
                <w:sz w:val="19"/>
              </w:rPr>
              <w:t>Regla deportiva y proveedor oficial; escalar si hay divergencia.</w:t>
            </w:r>
          </w:p>
        </w:tc>
      </w:tr>
      <w:tr>
        <w:tc>
          <w:tcPr>
            <w:tcW w:type="dxa" w:w="252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Quiero cambiar mis datos</w:t>
            </w:r>
          </w:p>
        </w:tc>
        <w:tc>
          <w:tcPr>
            <w:tcW w:type="dxa" w:w="324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Perfil y KYC actual.</w:t>
            </w:r>
          </w:p>
        </w:tc>
        <w:tc>
          <w:tcPr>
            <w:tcW w:type="dxa" w:w="36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Los nombres requieren justificación y validación documental.</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BEAEA"/>
            <w:tcMar>
              <w:top w:w="140" w:type="dxa"/>
              <w:start w:w="180" w:type="dxa"/>
              <w:bottom w:w="140" w:type="dxa"/>
              <w:end w:w="180" w:type="dxa"/>
            </w:tcMar>
          </w:tcPr>
          <w:p>
            <w:pPr>
              <w:spacing w:after="60"/>
            </w:pPr>
            <w:r>
              <w:rPr>
                <w:rFonts w:ascii="Calibri" w:hAnsi="Calibri"/>
                <w:b/>
                <w:i w:val="0"/>
                <w:color w:val="AE2626"/>
                <w:sz w:val="22"/>
              </w:rPr>
              <w:t>FUENTES NO DISPONIBLES</w:t>
            </w:r>
          </w:p>
          <w:p>
            <w:pPr>
              <w:spacing w:after="0" w:line="288" w:lineRule="auto"/>
            </w:pPr>
            <w:r>
              <w:rPr>
                <w:rFonts w:ascii="Calibri" w:hAnsi="Calibri"/>
                <w:b w:val="0"/>
                <w:i w:val="0"/>
                <w:color w:val="1D2939"/>
                <w:sz w:val="21"/>
              </w:rPr>
              <w:t>Un error o una sesión cerrada no equivale a “sin registros”. Responder que la consulta no está disponible y continuar con las fuentes restantes o escalar.</w:t>
            </w:r>
          </w:p>
        </w:tc>
      </w:tr>
    </w:tbl>
    <w:p>
      <w:pPr>
        <w:spacing w:after="20"/>
      </w:pPr>
    </w:p>
    <w:p>
      <w:pPr>
        <w:pStyle w:val="Heading1"/>
        <w:keepNext/>
      </w:pPr>
      <w:r>
        <w:t>3. Cuenta, elegibilidad y seguridad</w:t>
      </w:r>
    </w:p>
    <w:p>
      <w:pPr>
        <w:pStyle w:val="ListBullet"/>
        <w:spacing w:after="80" w:line="300" w:lineRule="auto"/>
      </w:pPr>
      <w:r>
        <w:rPr>
          <w:rFonts w:ascii="Calibri" w:hAnsi="Calibri"/>
          <w:b w:val="0"/>
          <w:i w:val="0"/>
          <w:color w:val="1D2939"/>
          <w:sz w:val="22"/>
        </w:rPr>
        <w:t>Solo pueden registrarse y apostar personas mayores de 18 años con capacidad legal para jugar. [F1]</w:t>
      </w:r>
    </w:p>
    <w:p>
      <w:pPr>
        <w:pStyle w:val="ListBullet"/>
        <w:spacing w:after="80" w:line="300" w:lineRule="auto"/>
      </w:pPr>
      <w:r>
        <w:rPr>
          <w:rFonts w:ascii="Calibri" w:hAnsi="Calibri"/>
          <w:b w:val="0"/>
          <w:i w:val="0"/>
          <w:color w:val="1D2939"/>
          <w:sz w:val="22"/>
        </w:rPr>
        <w:t>No se aceptan personas de nacionalidad estadounidense ni ubicadas en Estados Unidos. El usuario también debe verificar la legalidad del servicio en su jurisdicción. [F1]</w:t>
      </w:r>
    </w:p>
    <w:p>
      <w:pPr>
        <w:pStyle w:val="ListBullet"/>
        <w:spacing w:after="80" w:line="300" w:lineRule="auto"/>
      </w:pPr>
      <w:r>
        <w:rPr>
          <w:rFonts w:ascii="Calibri" w:hAnsi="Calibri"/>
          <w:b w:val="0"/>
          <w:i w:val="0"/>
          <w:color w:val="1D2939"/>
          <w:sz w:val="22"/>
        </w:rPr>
        <w:t>La cuenta es personal. No debe compartirse con terceros ni permitir acceso a menores. [F1]</w:t>
      </w:r>
    </w:p>
    <w:p>
      <w:pPr>
        <w:pStyle w:val="ListBullet"/>
        <w:spacing w:after="80" w:line="300" w:lineRule="auto"/>
      </w:pPr>
      <w:r>
        <w:rPr>
          <w:rFonts w:ascii="Calibri" w:hAnsi="Calibri"/>
          <w:b w:val="0"/>
          <w:i w:val="0"/>
          <w:color w:val="1D2939"/>
          <w:sz w:val="22"/>
        </w:rPr>
        <w:t>El registro debe contener información real, completa, precisa y actualizada. Datos falsos o engañosos pueden causar suspensión. [F1]</w:t>
      </w:r>
    </w:p>
    <w:p>
      <w:pPr>
        <w:pStyle w:val="ListBullet"/>
        <w:spacing w:after="80" w:line="300" w:lineRule="auto"/>
      </w:pPr>
      <w:r>
        <w:rPr>
          <w:rFonts w:ascii="Calibri" w:hAnsi="Calibri"/>
          <w:b w:val="0"/>
          <w:i w:val="0"/>
          <w:color w:val="1D2939"/>
          <w:sz w:val="22"/>
        </w:rPr>
        <w:t>La contraseña y el usuario son responsabilidad del cliente; operaciones realizadas con credenciales válidas pueden considerarse autorizadas. [F1]</w:t>
      </w:r>
    </w:p>
    <w:p>
      <w:pPr>
        <w:pStyle w:val="ListBullet"/>
        <w:spacing w:after="80" w:line="300" w:lineRule="auto"/>
      </w:pPr>
      <w:r>
        <w:rPr>
          <w:rFonts w:ascii="Calibri" w:hAnsi="Calibri"/>
          <w:b w:val="0"/>
          <w:i w:val="0"/>
          <w:color w:val="1D2939"/>
          <w:sz w:val="22"/>
        </w:rPr>
        <w:t>Betxico no ofrece crédito: las apuestas requieren saldo disponible. Los fondos depositados no generan intereses. [F1]</w:t>
      </w:r>
    </w:p>
    <w:p>
      <w:pPr>
        <w:pStyle w:val="ListBullet"/>
        <w:spacing w:after="80" w:line="300" w:lineRule="auto"/>
      </w:pPr>
      <w:r>
        <w:rPr>
          <w:rFonts w:ascii="Calibri" w:hAnsi="Calibri"/>
          <w:b w:val="0"/>
          <w:i w:val="0"/>
          <w:color w:val="1D2939"/>
          <w:sz w:val="22"/>
        </w:rPr>
        <w:t>La plataforma puede investigar cuentas relacionadas por dirección IP, dispositivo, domicilio, teléfono, correo, método de pago o documentos compartidos. [F1]</w:t>
      </w:r>
    </w:p>
    <w:p>
      <w:pPr>
        <w:pStyle w:val="Heading1"/>
        <w:keepNext/>
      </w:pPr>
      <w:r>
        <w:t>4. Verificación de identidad (KYC)</w:t>
      </w:r>
    </w:p>
    <w:p>
      <w:pPr>
        <w:spacing w:before="0" w:after="120" w:line="300" w:lineRule="auto"/>
      </w:pPr>
      <w:r>
        <w:rPr>
          <w:rFonts w:ascii="Calibri" w:hAnsi="Calibri"/>
          <w:b w:val="0"/>
          <w:i w:val="0"/>
          <w:color w:val="1D2939"/>
          <w:sz w:val="22"/>
        </w:rPr>
        <w:t>El proceso de identidad protege la cuenta, los pagos y el cumplimiento regulatorio. Para responder un caso concreto debe consultarse KYC, no inferirse el estado por el mensaje del cliente.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72D57"/>
            <w:tcMar>
              <w:top w:w="100" w:type="dxa"/>
              <w:start w:w="120" w:type="dxa"/>
              <w:bottom w:w="100" w:type="dxa"/>
              <w:end w:w="120" w:type="dxa"/>
            </w:tcMar>
            <w:vAlign w:val="center"/>
          </w:tcPr>
          <w:p>
            <w:pPr>
              <w:jc w:val="left"/>
            </w:pPr>
            <w:r>
              <w:rPr>
                <w:rFonts w:ascii="Calibri" w:hAnsi="Calibri"/>
                <w:b/>
                <w:i w:val="0"/>
                <w:color w:val="FFFFFF"/>
                <w:sz w:val="19"/>
              </w:rPr>
              <w:t>Requisito</w:t>
            </w:r>
          </w:p>
        </w:tc>
        <w:tc>
          <w:tcPr>
            <w:tcW w:type="dxa" w:w="7272"/>
            <w:shd w:fill="072D57"/>
            <w:tcMar>
              <w:top w:w="100" w:type="dxa"/>
              <w:start w:w="120" w:type="dxa"/>
              <w:bottom w:w="100" w:type="dxa"/>
              <w:end w:w="120" w:type="dxa"/>
            </w:tcMar>
            <w:vAlign w:val="center"/>
          </w:tcPr>
          <w:p>
            <w:pPr>
              <w:jc w:val="left"/>
            </w:pPr>
            <w:r>
              <w:rPr>
                <w:rFonts w:ascii="Calibri" w:hAnsi="Calibri"/>
                <w:b/>
                <w:i w:val="0"/>
                <w:color w:val="FFFFFF"/>
                <w:sz w:val="19"/>
              </w:rPr>
              <w:t>Regla operativa</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Selfie</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Debe capturarse en tiempo real con cámara funcional; no usar fotografías impresas, previamente tomadas, borrosas o con iluminación insuficiente.</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Identificación</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Los datos deben coincidir con identificación oficial. El sitio menciona INE, pasaporte o licencia de conducir.</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Domicilio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Puede solicitarse comprobante vigente si el domicilio no es legible en la identificación. La guía de uso indica antigüedad no mayor a seis meses.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Datos bancarios</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El titular y los nombres deben corresponder con la identificación y con la cuenta Betxico.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Nombre y apellidos</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Después del registro no se modifican salvo excepción justificada y validación documental.</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Documentación adicional</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Betxico puede solicitar información necesaria para autenticar al cliente y cumplir obligaciones legales.</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EAF5ED"/>
            <w:tcMar>
              <w:top w:w="140" w:type="dxa"/>
              <w:start w:w="180" w:type="dxa"/>
              <w:bottom w:w="140" w:type="dxa"/>
              <w:end w:w="180" w:type="dxa"/>
            </w:tcMar>
          </w:tcPr>
          <w:p>
            <w:pPr>
              <w:spacing w:after="60"/>
            </w:pPr>
            <w:r>
              <w:rPr>
                <w:rFonts w:ascii="Calibri" w:hAnsi="Calibri"/>
                <w:b/>
                <w:i w:val="0"/>
                <w:color w:val="267845"/>
                <w:sz w:val="22"/>
              </w:rPr>
              <w:t>RESPUESTA SEGURA</w:t>
            </w:r>
          </w:p>
          <w:p>
            <w:pPr>
              <w:spacing w:after="0" w:line="288" w:lineRule="auto"/>
            </w:pPr>
            <w:r>
              <w:rPr>
                <w:rFonts w:ascii="Calibri" w:hAnsi="Calibri"/>
                <w:b w:val="0"/>
                <w:i w:val="0"/>
                <w:color w:val="1D2939"/>
                <w:sz w:val="21"/>
              </w:rPr>
              <w:t>Indicar exactamente qué falta según KYC: selfie, documento, domicilio o prueba de vida. No afirmar “KYC completo” mientras exista una verificación pendiente o una revisión humana no confirmada.</w:t>
            </w:r>
          </w:p>
        </w:tc>
      </w:tr>
    </w:tbl>
    <w:p>
      <w:pPr>
        <w:spacing w:after="20"/>
      </w:pPr>
    </w:p>
    <w:p>
      <w:pPr>
        <w:pStyle w:val="Heading1"/>
        <w:keepNext/>
      </w:pPr>
      <w:r>
        <w:t>5. Depósitos, saldo y movimientos</w:t>
      </w:r>
    </w:p>
    <w:p>
      <w:pPr>
        <w:pStyle w:val="ListBullet"/>
        <w:spacing w:after="80" w:line="300" w:lineRule="auto"/>
      </w:pPr>
      <w:r>
        <w:rPr>
          <w:rFonts w:ascii="Calibri" w:hAnsi="Calibri"/>
          <w:b w:val="0"/>
          <w:i w:val="0"/>
          <w:color w:val="1D2939"/>
          <w:sz w:val="22"/>
        </w:rPr>
        <w:t>Los depósitos deben provenir de recursos lícitos y de medios de pago del titular. [F1]</w:t>
      </w:r>
    </w:p>
    <w:p>
      <w:pPr>
        <w:pStyle w:val="ListBullet"/>
        <w:spacing w:after="80" w:line="300" w:lineRule="auto"/>
      </w:pPr>
      <w:r>
        <w:rPr>
          <w:rFonts w:ascii="Calibri" w:hAnsi="Calibri"/>
          <w:b w:val="0"/>
          <w:i w:val="0"/>
          <w:color w:val="1D2939"/>
          <w:sz w:val="22"/>
        </w:rPr>
        <w:t>Los depósitos y pagos se manejan en pesos mexicanos. [F1]</w:t>
      </w:r>
    </w:p>
    <w:p>
      <w:pPr>
        <w:pStyle w:val="ListBullet"/>
        <w:spacing w:after="80" w:line="300" w:lineRule="auto"/>
      </w:pPr>
      <w:r>
        <w:rPr>
          <w:rFonts w:ascii="Calibri" w:hAnsi="Calibri"/>
          <w:b w:val="0"/>
          <w:i w:val="0"/>
          <w:color w:val="1D2939"/>
          <w:sz w:val="22"/>
        </w:rPr>
        <w:t>Para SPEI, el nombre de la cuenta emisora debe coincidir con el titular registrado en Betxico. [F1]</w:t>
      </w:r>
    </w:p>
    <w:p>
      <w:pPr>
        <w:pStyle w:val="ListBullet"/>
        <w:spacing w:after="80" w:line="300" w:lineRule="auto"/>
      </w:pPr>
      <w:r>
        <w:rPr>
          <w:rFonts w:ascii="Calibri" w:hAnsi="Calibri"/>
          <w:b w:val="0"/>
          <w:i w:val="0"/>
          <w:color w:val="1D2939"/>
          <w:sz w:val="22"/>
        </w:rPr>
        <w:t>La guía pública menciona tarjetas de crédito/débito, SPEI y OXXO Pay, y un depósito mínimo de $10 MXN. La disponibilidad real del método y sus límites debe confirmarse en la pantalla de depósito. [F11]</w:t>
      </w:r>
    </w:p>
    <w:p>
      <w:pPr>
        <w:pStyle w:val="ListBullet"/>
        <w:spacing w:after="80" w:line="300" w:lineRule="auto"/>
      </w:pPr>
      <w:r>
        <w:rPr>
          <w:rFonts w:ascii="Calibri" w:hAnsi="Calibri"/>
          <w:b w:val="0"/>
          <w:i w:val="0"/>
          <w:color w:val="1D2939"/>
          <w:sz w:val="22"/>
        </w:rPr>
        <w:t>Si existe un abono incorrecto, Betxico puede revertirlo y anular apuestas o ganancias realizadas con esos fondos. [F1]</w:t>
      </w:r>
    </w:p>
    <w:p>
      <w:pPr>
        <w:pStyle w:val="ListBullet"/>
        <w:spacing w:after="80" w:line="300" w:lineRule="auto"/>
      </w:pPr>
      <w:r>
        <w:rPr>
          <w:rFonts w:ascii="Calibri" w:hAnsi="Calibri"/>
          <w:b w:val="0"/>
          <w:i w:val="0"/>
          <w:color w:val="1D2939"/>
          <w:sz w:val="22"/>
        </w:rPr>
        <w:t>La página de depósito recuerda verificar la cuenta antes de depositar. [F13]</w:t>
      </w:r>
    </w:p>
    <w:tbl>
      <w:tblPr>
        <w:tblW w:type="auto" w:w="0"/>
        <w:jc w:val="center"/>
        <w:tblLayout w:type="fixed"/>
        <w:tblLook w:firstColumn="1" w:firstRow="1" w:lastColumn="0" w:lastRow="0" w:noHBand="0" w:noVBand="1" w:val="04A0"/>
      </w:tblPr>
      <w:tblGrid>
        <w:gridCol w:w="9360"/>
      </w:tblGrid>
      <w:tr>
        <w:trPr>
          <w:cantSplit/>
        </w:trPr>
        <w:tc>
          <w:tcPr>
            <w:tcW w:type="dxa" w:w="9878"/>
            <w:shd w:fill="E8F0F8"/>
            <w:tcMar>
              <w:top w:w="140" w:type="dxa"/>
              <w:start w:w="180" w:type="dxa"/>
              <w:bottom w:w="140" w:type="dxa"/>
              <w:end w:w="180" w:type="dxa"/>
            </w:tcMar>
          </w:tcPr>
          <w:p>
            <w:pPr>
              <w:spacing w:after="60"/>
            </w:pPr>
            <w:r>
              <w:rPr>
                <w:rFonts w:ascii="Calibri" w:hAnsi="Calibri"/>
                <w:b/>
                <w:i w:val="0"/>
                <w:color w:val="105091"/>
                <w:sz w:val="22"/>
              </w:rPr>
              <w:t>DEPÓSITO NO REFLEJADO</w:t>
            </w:r>
          </w:p>
          <w:p>
            <w:pPr>
              <w:spacing w:after="0" w:line="288" w:lineRule="auto"/>
            </w:pPr>
            <w:r>
              <w:rPr>
                <w:rFonts w:ascii="Calibri" w:hAnsi="Calibri"/>
                <w:b w:val="0"/>
                <w:i w:val="0"/>
                <w:color w:val="1D2939"/>
                <w:sz w:val="21"/>
              </w:rPr>
              <w:t>Consultar primero Atena. Si el movimiento no aparece o requiere rastreo, solicitar solo los datos necesarios del pago. Un comprobante no siempre sustituye un CEP o una confirmación bancaria.</w:t>
            </w:r>
          </w:p>
        </w:tc>
      </w:tr>
    </w:tbl>
    <w:p>
      <w:pPr>
        <w:spacing w:after="20"/>
      </w:pPr>
    </w:p>
    <w:p>
      <w:pPr>
        <w:pStyle w:val="Heading1"/>
        <w:keepNext/>
      </w:pPr>
      <w:r>
        <w:t>6. Retiros y pago de ganancias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72D57"/>
            <w:tcMar>
              <w:top w:w="100" w:type="dxa"/>
              <w:start w:w="120" w:type="dxa"/>
              <w:bottom w:w="100" w:type="dxa"/>
              <w:end w:w="120" w:type="dxa"/>
            </w:tcMar>
            <w:vAlign w:val="center"/>
          </w:tcPr>
          <w:p>
            <w:pPr>
              <w:jc w:val="left"/>
            </w:pPr>
            <w:r>
              <w:rPr>
                <w:rFonts w:ascii="Calibri" w:hAnsi="Calibri"/>
                <w:b/>
                <w:i w:val="0"/>
                <w:color w:val="FFFFFF"/>
                <w:sz w:val="19"/>
              </w:rPr>
              <w:t>Tema</w:t>
            </w:r>
          </w:p>
        </w:tc>
        <w:tc>
          <w:tcPr>
            <w:tcW w:type="dxa" w:w="7272"/>
            <w:shd w:fill="072D57"/>
            <w:tcMar>
              <w:top w:w="100" w:type="dxa"/>
              <w:start w:w="120" w:type="dxa"/>
              <w:bottom w:w="100" w:type="dxa"/>
              <w:end w:w="120" w:type="dxa"/>
            </w:tcMar>
            <w:vAlign w:val="center"/>
          </w:tcPr>
          <w:p>
            <w:pPr>
              <w:jc w:val="left"/>
            </w:pPr>
            <w:r>
              <w:rPr>
                <w:rFonts w:ascii="Calibri" w:hAnsi="Calibri"/>
                <w:b/>
                <w:i w:val="0"/>
                <w:color w:val="FFFFFF"/>
                <w:sz w:val="19"/>
              </w:rPr>
              <w:t>Condición publicada</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Verificación</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El retiro requiere pagos confirmados, condiciones cumplidas y procedimientos de identidad satisfechos.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SPEI</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Se publica un retiro SPEI gratuito por día; desde el segundo retiro del mismo día se indica una tarifa de $3.50 MXN por retiro adicional.</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Monto máximo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Los términos publican $35,000 MXN diarios y agregan la frase “con un período de 30 días”; esta redacción es ambigua y requiere confirmación operativa.</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Titularidad</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El retiro/premio solo se paga al jugador y mediante cuenta o tarjeta reconocida que corresponda al titular.</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Sin actividad de juego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Puede devolverse al mismo medio de pago una sola vez; para tarjeta se publican 5 a 20 días hábiles, sujetos al banco.</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Comisión sin juego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Los términos publican una comisión administrativa del 5% cuando se depositan fondos y se solicita retirarlos sin actividad de juego.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Revisión</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Puede retenerse un retiro por sospecha de fraude, colusión, apuestas irregulares, dudas de legitimidad o verificación adicional.</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Impuestos</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Los pagos pueden estar sujetos a retenciones federales, estatales y municipales conforme a la legislación aplicable.</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FF0E9"/>
            <w:tcMar>
              <w:top w:w="140" w:type="dxa"/>
              <w:start w:w="180" w:type="dxa"/>
              <w:bottom w:w="140" w:type="dxa"/>
              <w:end w:w="180" w:type="dxa"/>
            </w:tcMar>
          </w:tcPr>
          <w:p>
            <w:pPr>
              <w:spacing w:after="60"/>
            </w:pPr>
            <w:r>
              <w:rPr>
                <w:rFonts w:ascii="Calibri" w:hAnsi="Calibri"/>
                <w:b/>
                <w:i w:val="0"/>
                <w:color w:val="F04C18"/>
                <w:sz w:val="22"/>
              </w:rPr>
              <w:t>NO PROMETER TIEMPOS</w:t>
            </w:r>
          </w:p>
          <w:p>
            <w:pPr>
              <w:spacing w:after="0" w:line="288" w:lineRule="auto"/>
            </w:pPr>
            <w:r>
              <w:rPr>
                <w:rFonts w:ascii="Calibri" w:hAnsi="Calibri"/>
                <w:b w:val="0"/>
                <w:i w:val="0"/>
                <w:color w:val="1D2939"/>
                <w:sz w:val="21"/>
              </w:rPr>
              <w:t>Los términos no fijan un plazo general único para todos los retiros. La respuesta debe basarse en el estado actual de Atena y, si existe retención, en el motivo registrado en Jira o Lista 7.</w:t>
            </w:r>
          </w:p>
        </w:tc>
      </w:tr>
    </w:tbl>
    <w:p>
      <w:pPr>
        <w:spacing w:after="20"/>
      </w:pPr>
    </w:p>
    <w:p>
      <w:pPr>
        <w:pStyle w:val="Heading2"/>
        <w:keepNext/>
      </w:pPr>
      <w:r>
        <w:t>Cuenta inactiva</w:t>
      </w:r>
    </w:p>
    <w:p>
      <w:pPr>
        <w:pStyle w:val="ListBullet"/>
        <w:spacing w:after="80" w:line="300" w:lineRule="auto"/>
      </w:pPr>
      <w:r>
        <w:rPr>
          <w:rFonts w:ascii="Calibri" w:hAnsi="Calibri"/>
          <w:b w:val="0"/>
          <w:i w:val="0"/>
          <w:color w:val="1D2939"/>
          <w:sz w:val="22"/>
        </w:rPr>
        <w:t>Tras 60 días naturales sin apuesta o transacción, la cuenta puede clasificarse como inactiva. [F1]</w:t>
      </w:r>
    </w:p>
    <w:p>
      <w:pPr>
        <w:pStyle w:val="ListBullet"/>
        <w:spacing w:after="80" w:line="300" w:lineRule="auto"/>
      </w:pPr>
      <w:r>
        <w:rPr>
          <w:rFonts w:ascii="Calibri" w:hAnsi="Calibri"/>
          <w:b w:val="0"/>
          <w:i w:val="0"/>
          <w:color w:val="1D2939"/>
          <w:sz w:val="22"/>
        </w:rPr>
        <w:t>Se publica un cargo mensual de 3% del saldo por mantenimiento, hasta doce meses consecutivos. [F1]</w:t>
      </w:r>
    </w:p>
    <w:p>
      <w:pPr>
        <w:pStyle w:val="ListBullet"/>
        <w:spacing w:after="80" w:line="300" w:lineRule="auto"/>
      </w:pPr>
      <w:r>
        <w:rPr>
          <w:rFonts w:ascii="Calibri" w:hAnsi="Calibri"/>
          <w:b w:val="0"/>
          <w:i w:val="0"/>
          <w:color w:val="1D2939"/>
          <w:sz w:val="22"/>
        </w:rPr>
        <w:t>El cargo cesa al iniciar sesión y realizar una apuesta válida o al solicitar el cierre definitivo. [F1]</w:t>
      </w:r>
    </w:p>
    <w:p>
      <w:pPr>
        <w:pStyle w:val="Heading2"/>
        <w:keepNext/>
      </w:pPr>
      <w:r>
        <w:t>Límites de ganancia publicados</w:t>
      </w:r>
    </w:p>
    <w:p>
      <w:pPr>
        <w:pStyle w:val="ListBullet"/>
        <w:spacing w:after="80" w:line="300" w:lineRule="auto"/>
      </w:pPr>
      <w:r>
        <w:rPr>
          <w:rFonts w:ascii="Calibri" w:hAnsi="Calibri"/>
          <w:b w:val="0"/>
          <w:i w:val="0"/>
          <w:color w:val="1D2939"/>
          <w:sz w:val="22"/>
        </w:rPr>
        <w:t>Apuestas deportivas: máximo publicado de $50,000 MXN por apuesta sencilla o múltiple, incluyendo grupos/coordinación sobre las mismas selecciones. [F1]</w:t>
      </w:r>
    </w:p>
    <w:p>
      <w:pPr>
        <w:pStyle w:val="ListBullet"/>
        <w:spacing w:after="80" w:line="300" w:lineRule="auto"/>
      </w:pPr>
      <w:r>
        <w:rPr>
          <w:rFonts w:ascii="Calibri" w:hAnsi="Calibri"/>
          <w:b w:val="0"/>
          <w:i w:val="0"/>
          <w:color w:val="1D2939"/>
          <w:sz w:val="22"/>
        </w:rPr>
        <w:t>Casino y Casino en Vivo: máximo diario publicado de $150,000 MXN. [F1]</w:t>
      </w:r>
    </w:p>
    <w:p>
      <w:pPr>
        <w:pStyle w:val="ListBullet"/>
        <w:spacing w:after="80" w:line="300" w:lineRule="auto"/>
      </w:pPr>
      <w:r>
        <w:rPr>
          <w:rFonts w:ascii="Calibri" w:hAnsi="Calibri"/>
          <w:b w:val="0"/>
          <w:i w:val="0"/>
          <w:color w:val="1D2939"/>
          <w:sz w:val="22"/>
        </w:rPr>
        <w:t>Betxico se reserva la posibilidad de aplicar límites adicionales por evento, mercado, periodo o canal. [F1]</w:t>
      </w:r>
    </w:p>
    <w:p>
      <w:pPr>
        <w:pStyle w:val="Heading1"/>
        <w:keepNext/>
      </w:pPr>
      <w:r>
        <w:t>7. Apuestas y liquidación</w:t>
      </w:r>
    </w:p>
    <w:p>
      <w:pPr>
        <w:pStyle w:val="ListBullet"/>
        <w:spacing w:after="80" w:line="300" w:lineRule="auto"/>
      </w:pPr>
      <w:r>
        <w:rPr>
          <w:rFonts w:ascii="Calibri" w:hAnsi="Calibri"/>
          <w:b w:val="0"/>
          <w:i w:val="0"/>
          <w:color w:val="1D2939"/>
          <w:sz w:val="22"/>
        </w:rPr>
        <w:t>Una apuesta es válida cuando existe confirmación electrónica y número de identificación. [F1]</w:t>
      </w:r>
    </w:p>
    <w:p>
      <w:pPr>
        <w:pStyle w:val="ListBullet"/>
        <w:spacing w:after="80" w:line="300" w:lineRule="auto"/>
      </w:pPr>
      <w:r>
        <w:rPr>
          <w:rFonts w:ascii="Calibri" w:hAnsi="Calibri"/>
          <w:b w:val="0"/>
          <w:i w:val="0"/>
          <w:color w:val="1D2939"/>
          <w:sz w:val="22"/>
        </w:rPr>
        <w:t>Los momios pueden cambiar antes de la aceptación. El registro interno del sistema se considera evidencia para resolver discrepancias. [F1]</w:t>
      </w:r>
    </w:p>
    <w:p>
      <w:pPr>
        <w:pStyle w:val="ListBullet"/>
        <w:spacing w:after="80" w:line="300" w:lineRule="auto"/>
      </w:pPr>
      <w:r>
        <w:rPr>
          <w:rFonts w:ascii="Calibri" w:hAnsi="Calibri"/>
          <w:b w:val="0"/>
          <w:i w:val="0"/>
          <w:color w:val="1D2939"/>
          <w:sz w:val="22"/>
        </w:rPr>
        <w:t>Una selección declarada nula se liquida con momio 1.00; en combinadas se recalculan los momios restantes. [F1]</w:t>
      </w:r>
    </w:p>
    <w:p>
      <w:pPr>
        <w:pStyle w:val="ListBullet"/>
        <w:spacing w:after="80" w:line="300" w:lineRule="auto"/>
      </w:pPr>
      <w:r>
        <w:rPr>
          <w:rFonts w:ascii="Calibri" w:hAnsi="Calibri"/>
          <w:b w:val="0"/>
          <w:i w:val="0"/>
          <w:color w:val="1D2939"/>
          <w:sz w:val="22"/>
        </w:rPr>
        <w:t>Una apuesta simple es independiente. En una combinada deben acertarse todas las selecciones. [F11]</w:t>
      </w:r>
    </w:p>
    <w:p>
      <w:pPr>
        <w:pStyle w:val="ListBullet"/>
        <w:spacing w:after="80" w:line="300" w:lineRule="auto"/>
      </w:pPr>
      <w:r>
        <w:rPr>
          <w:rFonts w:ascii="Calibri" w:hAnsi="Calibri"/>
          <w:b w:val="0"/>
          <w:i w:val="0"/>
          <w:color w:val="1D2939"/>
          <w:sz w:val="22"/>
        </w:rPr>
        <w:t>La plataforma puede anular apuestas por cuota manifiestamente incorrecta, mercado inválido, apuesta posterior al inicio fuera de mercados en vivo u otros errores evidentes. [F1]</w:t>
      </w:r>
    </w:p>
    <w:p>
      <w:pPr>
        <w:pStyle w:val="ListBullet"/>
        <w:spacing w:after="80" w:line="300" w:lineRule="auto"/>
      </w:pPr>
      <w:r>
        <w:rPr>
          <w:rFonts w:ascii="Calibri" w:hAnsi="Calibri"/>
          <w:b w:val="0"/>
          <w:i w:val="0"/>
          <w:color w:val="1D2939"/>
          <w:sz w:val="22"/>
        </w:rPr>
        <w:t>La información visual o transmisión puede tener retraso. Para la liquidación prevalece la fuente oficial o el proveedor, no un sitio externo de resultados. [F2]</w:t>
      </w:r>
    </w:p>
    <w:tbl>
      <w:tblPr>
        <w:tblW w:type="auto" w:w="0"/>
        <w:jc w:val="center"/>
        <w:tblLayout w:type="fixed"/>
        <w:tblLook w:firstColumn="1" w:firstRow="1" w:lastColumn="0" w:lastRow="0" w:noHBand="0" w:noVBand="1" w:val="04A0"/>
      </w:tblPr>
      <w:tblGrid>
        <w:gridCol w:w="9360"/>
      </w:tblGrid>
      <w:tr>
        <w:trPr>
          <w:cantSplit/>
        </w:trPr>
        <w:tc>
          <w:tcPr>
            <w:tcW w:type="dxa" w:w="9878"/>
            <w:shd w:fill="FBEAEA"/>
            <w:tcMar>
              <w:top w:w="140" w:type="dxa"/>
              <w:start w:w="180" w:type="dxa"/>
              <w:bottom w:w="140" w:type="dxa"/>
              <w:end w:w="180" w:type="dxa"/>
            </w:tcMar>
          </w:tcPr>
          <w:p>
            <w:pPr>
              <w:spacing w:after="60"/>
            </w:pPr>
            <w:r>
              <w:rPr>
                <w:rFonts w:ascii="Calibri" w:hAnsi="Calibri"/>
                <w:b/>
                <w:i w:val="0"/>
                <w:color w:val="AE2626"/>
                <w:sz w:val="22"/>
              </w:rPr>
              <w:t>PREMIO O RESULTADO</w:t>
            </w:r>
          </w:p>
          <w:p>
            <w:pPr>
              <w:spacing w:after="0" w:line="288" w:lineRule="auto"/>
            </w:pPr>
            <w:r>
              <w:rPr>
                <w:rFonts w:ascii="Calibri" w:hAnsi="Calibri"/>
                <w:b w:val="0"/>
                <w:i w:val="0"/>
                <w:color w:val="1D2939"/>
                <w:sz w:val="21"/>
              </w:rPr>
              <w:t>El agente puede explicar el estado observado, pero no validar oficialmente un premio. El sistema central y Operaciones son la fuente definitiva.</w:t>
            </w:r>
          </w:p>
        </w:tc>
      </w:tr>
    </w:tbl>
    <w:p>
      <w:pPr>
        <w:spacing w:after="20"/>
      </w:pPr>
    </w:p>
    <w:p>
      <w:pPr>
        <w:pStyle w:val="Heading1"/>
        <w:keepNext/>
      </w:pPr>
      <w:r>
        <w:t>8. Reglas deportivas esenciales</w:t>
      </w:r>
    </w:p>
    <w:p>
      <w:pPr>
        <w:spacing w:before="0" w:after="120" w:line="300" w:lineRule="auto"/>
      </w:pPr>
      <w:r>
        <w:rPr>
          <w:rFonts w:ascii="Calibri" w:hAnsi="Calibri"/>
          <w:b w:val="0"/>
          <w:i w:val="0"/>
          <w:color w:val="1D2939"/>
          <w:sz w:val="22"/>
        </w:rPr>
        <w:t>La página oficial contiene reglas detalladas por deporte y mercado. Esta sección resume los criterios que más afectan consultas de soporte; ante una disputa, revisar el mercado exacto del boleto y la regla completa. [F2]</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072D57"/>
            <w:tcMar>
              <w:top w:w="100" w:type="dxa"/>
              <w:start w:w="120" w:type="dxa"/>
              <w:bottom w:w="100" w:type="dxa"/>
              <w:end w:w="120" w:type="dxa"/>
            </w:tcMar>
            <w:vAlign w:val="center"/>
          </w:tcPr>
          <w:p>
            <w:pPr>
              <w:jc w:val="left"/>
            </w:pPr>
            <w:r>
              <w:rPr>
                <w:rFonts w:ascii="Calibri" w:hAnsi="Calibri"/>
                <w:b/>
                <w:i w:val="0"/>
                <w:color w:val="FFFFFF"/>
                <w:sz w:val="19"/>
              </w:rPr>
              <w:t>Deporte</w:t>
            </w:r>
          </w:p>
        </w:tc>
        <w:tc>
          <w:tcPr>
            <w:tcW w:type="dxa" w:w="7200"/>
            <w:shd w:fill="072D57"/>
            <w:tcMar>
              <w:top w:w="100" w:type="dxa"/>
              <w:start w:w="120" w:type="dxa"/>
              <w:bottom w:w="100" w:type="dxa"/>
              <w:end w:w="120" w:type="dxa"/>
            </w:tcMar>
            <w:vAlign w:val="center"/>
          </w:tcPr>
          <w:p>
            <w:pPr>
              <w:jc w:val="left"/>
            </w:pPr>
            <w:r>
              <w:rPr>
                <w:rFonts w:ascii="Calibri" w:hAnsi="Calibri"/>
                <w:b/>
                <w:i w:val="0"/>
                <w:color w:val="FFFFFF"/>
                <w:sz w:val="19"/>
              </w:rPr>
              <w:t>Criterio de liquidación destacado</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Fútbol</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90 minutos más compensación. Prórroga y penales solo cuentan si el mercado lo indica. Evento aplazado: ventana publicada de hasta 24 horas.</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Baloncesto</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Cuatro cuartos o dos periodos. La prórroga solo se incorpora cuando la modalidad específica la contempla.</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Tenis</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Resultado al completar el partido de 3 o 5 sets. Interrupciones o reanudaciones pueden esperar hasta 24 horas.</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Tenis de mesa</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Liquidación tras la conclusión completa; no se cancelan apuestas en vivo por solicitud del cliente.</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Béisbol</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Si se interrumpe sin concluir, puede esperarse hasta 24 horas para reinicio; si se cancela, se devuelve la apuesta.</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Boxeo</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Se valida por nocaut o decisión de jueces. Combate inconcluso puede esperar hasta 24 horas; cancelación implica devolución.</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MMA</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Se valida por nocaut, sumisión o decisión. Una ronda se considera completada según la regla específica publicada.</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Fútbol americano</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Cuatro cuartos; tiempo extra solo cuando el mercado específico lo incluye. Aplazamiento: hasta 24 horas.</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Fútbol sala</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Dos tiempos de 20 minutos; no se consideran prórroga ni penales salvo una regla/mercado específico que lo establezca.</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Hockey sobre hielo</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Tres periodos de 20 minutos; prórroga y shootout dependen del mercado elegido.</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Voleibol</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Se valida al completar los sets requeridos; mercados pueden cubrir ganador, sets, puntos y hándicap.</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Voleibol de playa</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Se valida al concluir todos los sets, incluyendo el tercero cuando sea necesario.</w:t>
            </w:r>
          </w:p>
        </w:tc>
      </w:tr>
      <w:tr>
        <w:tc>
          <w:tcPr>
            <w:tcW w:type="dxa" w:w="2160"/>
            <w:tcMar>
              <w:top w:w="100" w:type="dxa"/>
              <w:start w:w="120" w:type="dxa"/>
              <w:bottom w:w="100" w:type="dxa"/>
              <w:end w:w="120" w:type="dxa"/>
            </w:tcMar>
            <w:vAlign w:val="center"/>
          </w:tcPr>
          <w:p>
            <w:pPr>
              <w:spacing w:after="0" w:line="264" w:lineRule="auto"/>
            </w:pPr>
            <w:r>
              <w:rPr>
                <w:rFonts w:ascii="Calibri" w:hAnsi="Calibri"/>
                <w:b w:val="0"/>
                <w:i w:val="0"/>
                <w:color w:val="1D2939"/>
                <w:sz w:val="19"/>
              </w:rPr>
              <w:t>Fórmula 1</w:t>
            </w:r>
          </w:p>
        </w:tc>
        <w:tc>
          <w:tcPr>
            <w:tcW w:type="dxa" w:w="7200"/>
            <w:tcMar>
              <w:top w:w="100" w:type="dxa"/>
              <w:start w:w="120" w:type="dxa"/>
              <w:bottom w:w="100" w:type="dxa"/>
              <w:end w:w="120" w:type="dxa"/>
            </w:tcMar>
            <w:vAlign w:val="center"/>
          </w:tcPr>
          <w:p>
            <w:pPr>
              <w:spacing w:after="0" w:line="264" w:lineRule="auto"/>
            </w:pPr>
            <w:r>
              <w:rPr>
                <w:rFonts w:ascii="Calibri" w:hAnsi="Calibri"/>
                <w:b w:val="0"/>
                <w:i w:val="0"/>
                <w:color w:val="1D2939"/>
                <w:sz w:val="19"/>
              </w:rPr>
              <w:t>La oferta se centra en clasificación y carrera; revisar si el mercado es previo a clasificación o previo a carrera.</w:t>
            </w:r>
          </w:p>
        </w:tc>
      </w:tr>
      <w:tr>
        <w:tc>
          <w:tcPr>
            <w:tcW w:type="dxa" w:w="216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Rugby, balonmano y snooker</w:t>
            </w:r>
          </w:p>
        </w:tc>
        <w:tc>
          <w:tcPr>
            <w:tcW w:type="dxa" w:w="7200"/>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Aplican reglas de su federación/organizador, ventana de reprogramación y mercado específico.</w:t>
            </w:r>
          </w:p>
        </w:tc>
      </w:tr>
    </w:tbl>
    <w:p>
      <w:pPr>
        <w:spacing w:after="20"/>
      </w:pPr>
    </w:p>
    <w:p>
      <w:pPr>
        <w:spacing w:before="0" w:after="120" w:line="300" w:lineRule="auto"/>
      </w:pPr>
      <w:r>
        <w:rPr>
          <w:rFonts w:ascii="Calibri" w:hAnsi="Calibri"/>
          <w:b w:val="0"/>
          <w:i/>
          <w:color w:val="586778"/>
          <w:sz w:val="22"/>
        </w:rPr>
        <w:t>Regla común ante cancelación publicada: en una apuesta simple se devuelve el importe; en una combinada se elimina la selección anulada y se recalcula el boleto con los eventos restantes.</w:t>
      </w:r>
    </w:p>
    <w:p>
      <w:pPr>
        <w:pStyle w:val="Heading1"/>
        <w:keepNext/>
      </w:pPr>
      <w:r>
        <w:t>9. Cashout o cierre de apuesta</w:t>
      </w:r>
    </w:p>
    <w:p>
      <w:pPr>
        <w:pStyle w:val="ListBullet"/>
        <w:spacing w:after="80" w:line="300" w:lineRule="auto"/>
      </w:pPr>
      <w:r>
        <w:rPr>
          <w:rFonts w:ascii="Calibri" w:hAnsi="Calibri"/>
          <w:b w:val="0"/>
          <w:i w:val="0"/>
          <w:color w:val="1D2939"/>
          <w:sz w:val="22"/>
        </w:rPr>
        <w:t>Cashout permite liquidar un boleto antes de que termine el evento; la oferta puede ser menor o mayor al importe apostado. [F2]</w:t>
      </w:r>
    </w:p>
    <w:p>
      <w:pPr>
        <w:pStyle w:val="ListBullet"/>
        <w:spacing w:after="80" w:line="300" w:lineRule="auto"/>
      </w:pPr>
      <w:r>
        <w:rPr>
          <w:rFonts w:ascii="Calibri" w:hAnsi="Calibri"/>
          <w:b w:val="0"/>
          <w:i w:val="0"/>
          <w:color w:val="1D2939"/>
          <w:sz w:val="22"/>
        </w:rPr>
        <w:t>Es opcional, variable y depende del proveedor, del evento y del momento. Puede suspenderse durante jugadas relevantes, actualizaciones o fallas técnicas. [F2]</w:t>
      </w:r>
    </w:p>
    <w:p>
      <w:pPr>
        <w:pStyle w:val="ListBullet"/>
        <w:spacing w:after="80" w:line="300" w:lineRule="auto"/>
      </w:pPr>
      <w:r>
        <w:rPr>
          <w:rFonts w:ascii="Calibri" w:hAnsi="Calibri"/>
          <w:b w:val="0"/>
          <w:i w:val="0"/>
          <w:color w:val="1D2939"/>
          <w:sz w:val="22"/>
        </w:rPr>
        <w:t>El valor aceptado mediante cashout no cuenta para rollover de bonos o promociones. [F2]</w:t>
      </w:r>
    </w:p>
    <w:p>
      <w:pPr>
        <w:pStyle w:val="ListBullet"/>
        <w:spacing w:after="80" w:line="300" w:lineRule="auto"/>
      </w:pPr>
      <w:r>
        <w:rPr>
          <w:rFonts w:ascii="Calibri" w:hAnsi="Calibri"/>
          <w:b w:val="0"/>
          <w:i w:val="0"/>
          <w:color w:val="1D2939"/>
          <w:sz w:val="22"/>
        </w:rPr>
        <w:t>La aceptación requiere dos confirmaciones. Una vez confirmado, el cierre no puede cancelarse para reanudar la apuesta. [F2]</w:t>
      </w:r>
    </w:p>
    <w:p>
      <w:pPr>
        <w:pStyle w:val="ListBullet"/>
        <w:spacing w:after="80" w:line="300" w:lineRule="auto"/>
      </w:pPr>
      <w:r>
        <w:rPr>
          <w:rFonts w:ascii="Calibri" w:hAnsi="Calibri"/>
          <w:b w:val="0"/>
          <w:i w:val="0"/>
          <w:color w:val="1D2939"/>
          <w:sz w:val="22"/>
        </w:rPr>
        <w:t>La transmisión no determina el valor de cashout porque puede tener retraso; se usan datos del proveedor. [F2]</w:t>
      </w:r>
    </w:p>
    <w:p>
      <w:pPr>
        <w:pStyle w:val="ListBullet"/>
        <w:spacing w:after="80" w:line="300" w:lineRule="auto"/>
      </w:pPr>
      <w:r>
        <w:rPr>
          <w:rFonts w:ascii="Calibri" w:hAnsi="Calibri"/>
          <w:b w:val="0"/>
          <w:i w:val="0"/>
          <w:color w:val="1D2939"/>
          <w:sz w:val="22"/>
        </w:rPr>
        <w:t>La disponibilidad publicada comprende boletos simples y combinados, pero puede cambiar sin aviso. [F2]</w:t>
      </w:r>
    </w:p>
    <w:p>
      <w:pPr>
        <w:pStyle w:val="Heading1"/>
        <w:keepNext/>
      </w:pPr>
      <w:r>
        <w:t>10. Casino y fallas de juego</w:t>
      </w:r>
    </w:p>
    <w:p>
      <w:pPr>
        <w:pStyle w:val="ListBullet"/>
        <w:spacing w:after="80" w:line="300" w:lineRule="auto"/>
      </w:pPr>
      <w:r>
        <w:rPr>
          <w:rFonts w:ascii="Calibri" w:hAnsi="Calibri"/>
          <w:b w:val="0"/>
          <w:i w:val="0"/>
          <w:color w:val="1D2939"/>
          <w:sz w:val="22"/>
        </w:rPr>
        <w:t>Cada juego muestra sus reglas antes de comenzar. El cliente debe revisarlas porque cambian por producto y proveedor. [F11]</w:t>
      </w:r>
    </w:p>
    <w:p>
      <w:pPr>
        <w:pStyle w:val="ListBullet"/>
        <w:spacing w:after="80" w:line="300" w:lineRule="auto"/>
      </w:pPr>
      <w:r>
        <w:rPr>
          <w:rFonts w:ascii="Calibri" w:hAnsi="Calibri"/>
          <w:b w:val="0"/>
          <w:i w:val="0"/>
          <w:color w:val="1D2939"/>
          <w:sz w:val="22"/>
        </w:rPr>
        <w:t>Después de cada ronda, el saldo se actualiza automáticamente cuando existe premio. [F11]</w:t>
      </w:r>
    </w:p>
    <w:p>
      <w:pPr>
        <w:pStyle w:val="ListBullet"/>
        <w:spacing w:after="80" w:line="300" w:lineRule="auto"/>
      </w:pPr>
      <w:r>
        <w:rPr>
          <w:rFonts w:ascii="Calibri" w:hAnsi="Calibri"/>
          <w:b w:val="0"/>
          <w:i w:val="0"/>
          <w:color w:val="1D2939"/>
          <w:sz w:val="22"/>
        </w:rPr>
        <w:t>Ante interrupción, error o mal funcionamiento, el caso puede enviarse al proveedor para revisión. [F1]</w:t>
      </w:r>
    </w:p>
    <w:p>
      <w:pPr>
        <w:pStyle w:val="ListBullet"/>
        <w:spacing w:after="80" w:line="300" w:lineRule="auto"/>
      </w:pPr>
      <w:r>
        <w:rPr>
          <w:rFonts w:ascii="Calibri" w:hAnsi="Calibri"/>
          <w:b w:val="0"/>
          <w:i w:val="0"/>
          <w:color w:val="1D2939"/>
          <w:sz w:val="22"/>
        </w:rPr>
        <w:t>La devolución del monto apostado o saldo afectado procede únicamente si así lo determina el proveedor. [F1]</w:t>
      </w:r>
    </w:p>
    <w:p>
      <w:pPr>
        <w:pStyle w:val="ListBullet"/>
        <w:spacing w:after="80" w:line="300" w:lineRule="auto"/>
      </w:pPr>
      <w:r>
        <w:rPr>
          <w:rFonts w:ascii="Calibri" w:hAnsi="Calibri"/>
          <w:b w:val="0"/>
          <w:i w:val="0"/>
          <w:color w:val="1D2939"/>
          <w:sz w:val="22"/>
        </w:rPr>
        <w:t>Servicio al Cliente no puede confirmar oficialmente un premio; prevalecen el sistema central y Operaciones. [F1]</w:t>
      </w:r>
    </w:p>
    <w:p>
      <w:pPr>
        <w:pStyle w:val="Heading1"/>
        <w:keepNext/>
      </w:pPr>
      <w:r>
        <w:t>11. Bonos y promociones</w:t>
      </w:r>
    </w:p>
    <w:tbl>
      <w:tblPr>
        <w:tblW w:type="auto" w:w="0"/>
        <w:jc w:val="center"/>
        <w:tblLayout w:type="fixed"/>
        <w:tblLook w:firstColumn="1" w:firstRow="1" w:lastColumn="0" w:lastRow="0" w:noHBand="0" w:noVBand="1" w:val="04A0"/>
      </w:tblPr>
      <w:tblGrid>
        <w:gridCol w:w="9360"/>
      </w:tblGrid>
      <w:tr>
        <w:trPr>
          <w:cantSplit/>
        </w:trPr>
        <w:tc>
          <w:tcPr>
            <w:tcW w:type="dxa" w:w="9878"/>
            <w:shd w:fill="EAF5ED"/>
            <w:tcMar>
              <w:top w:w="140" w:type="dxa"/>
              <w:start w:w="180" w:type="dxa"/>
              <w:bottom w:w="140" w:type="dxa"/>
              <w:end w:w="180" w:type="dxa"/>
            </w:tcMar>
          </w:tcPr>
          <w:p>
            <w:pPr>
              <w:spacing w:after="60"/>
            </w:pPr>
            <w:r>
              <w:rPr>
                <w:rFonts w:ascii="Calibri" w:hAnsi="Calibri"/>
                <w:b/>
                <w:i w:val="0"/>
                <w:color w:val="267845"/>
                <w:sz w:val="22"/>
              </w:rPr>
              <w:t>ESTADO OBSERVADO</w:t>
            </w:r>
          </w:p>
          <w:p>
            <w:pPr>
              <w:spacing w:after="0" w:line="288" w:lineRule="auto"/>
            </w:pPr>
            <w:r>
              <w:rPr>
                <w:rFonts w:ascii="Calibri" w:hAnsi="Calibri"/>
                <w:b w:val="0"/>
                <w:i w:val="0"/>
                <w:color w:val="1D2939"/>
                <w:sz w:val="21"/>
              </w:rPr>
              <w:t>En la vista autenticada del 13 de agosto de 2026 aparecen cuatro promociones: Pago Anticipado, Mega Impulsos, $100 con el primer depósito y 10% Extra solo Casino. La extracción pública sin sesión puede mostrar que no hay promociones; para soporte prevalece lo visible en la cuenta autenticada del cliente.</w:t>
            </w:r>
          </w:p>
        </w:tc>
      </w:tr>
    </w:tbl>
    <w:p>
      <w:pPr>
        <w:spacing w:after="20"/>
      </w:pPr>
    </w:p>
    <w:p>
      <w:pPr>
        <w:pStyle w:val="Heading2"/>
        <w:keepNext/>
      </w:pPr>
      <w:r>
        <w:t>Reglas generales</w:t>
      </w:r>
    </w:p>
    <w:p>
      <w:pPr>
        <w:pStyle w:val="ListBullet"/>
        <w:spacing w:after="80" w:line="300" w:lineRule="auto"/>
      </w:pPr>
      <w:r>
        <w:rPr>
          <w:rFonts w:ascii="Calibri" w:hAnsi="Calibri"/>
          <w:b w:val="0"/>
          <w:i w:val="0"/>
          <w:color w:val="1D2939"/>
          <w:sz w:val="22"/>
        </w:rPr>
        <w:t>Las promociones pueden tener reglas adicionales. La cláusula 13.2 establece que las condiciones específicas de la promoción prevalecen sobre las generales. [F1]</w:t>
      </w:r>
    </w:p>
    <w:p>
      <w:pPr>
        <w:pStyle w:val="ListBullet"/>
        <w:spacing w:after="80" w:line="300" w:lineRule="auto"/>
      </w:pPr>
      <w:r>
        <w:rPr>
          <w:rFonts w:ascii="Calibri" w:hAnsi="Calibri"/>
          <w:b w:val="0"/>
          <w:i w:val="0"/>
          <w:color w:val="1D2939"/>
          <w:sz w:val="22"/>
        </w:rPr>
        <w:t>El cliente debe verificar disponibilidad, elegibilidad, activación, vigencia, rollover, mercados/juegos válidos y límites antes de participar. [F1]</w:t>
      </w:r>
    </w:p>
    <w:p>
      <w:pPr>
        <w:pStyle w:val="ListBullet"/>
        <w:spacing w:after="80" w:line="300" w:lineRule="auto"/>
      </w:pPr>
      <w:r>
        <w:rPr>
          <w:rFonts w:ascii="Calibri" w:hAnsi="Calibri"/>
          <w:b w:val="0"/>
          <w:i w:val="0"/>
          <w:color w:val="1D2939"/>
          <w:sz w:val="22"/>
        </w:rPr>
        <w:t>Las promociones pueden suspenderse, modificarse o cancelarse. La oferta que aparezca en la cuenta es la referencia operativa. [F1][F3]</w:t>
      </w:r>
    </w:p>
    <w:p>
      <w:pPr>
        <w:pStyle w:val="ListBullet"/>
        <w:spacing w:after="80" w:line="300" w:lineRule="auto"/>
      </w:pPr>
      <w:r>
        <w:rPr>
          <w:rFonts w:ascii="Calibri" w:hAnsi="Calibri"/>
          <w:b w:val="0"/>
          <w:i w:val="0"/>
          <w:color w:val="1D2939"/>
          <w:sz w:val="22"/>
        </w:rPr>
        <w:t>La guía de uso indica que solo puede elegirse una promoción por apuesta. [F11]</w:t>
      </w:r>
    </w:p>
    <w:p>
      <w:pPr>
        <w:pStyle w:val="Heading2"/>
        <w:keepNext/>
      </w:pPr>
      <w:r>
        <w:t>$100 con el primer depósito</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72D57"/>
            <w:tcMar>
              <w:top w:w="100" w:type="dxa"/>
              <w:start w:w="120" w:type="dxa"/>
              <w:bottom w:w="100" w:type="dxa"/>
              <w:end w:w="120" w:type="dxa"/>
            </w:tcMar>
            <w:vAlign w:val="center"/>
          </w:tcPr>
          <w:p>
            <w:pPr>
              <w:jc w:val="left"/>
            </w:pPr>
            <w:r>
              <w:rPr>
                <w:rFonts w:ascii="Calibri" w:hAnsi="Calibri"/>
                <w:b/>
                <w:i w:val="0"/>
                <w:color w:val="FFFFFF"/>
                <w:sz w:val="19"/>
              </w:rPr>
              <w:t>Campo</w:t>
            </w:r>
          </w:p>
        </w:tc>
        <w:tc>
          <w:tcPr>
            <w:tcW w:type="dxa" w:w="7272"/>
            <w:shd w:fill="072D57"/>
            <w:tcMar>
              <w:top w:w="100" w:type="dxa"/>
              <w:start w:w="120" w:type="dxa"/>
              <w:bottom w:w="100" w:type="dxa"/>
              <w:end w:w="120" w:type="dxa"/>
            </w:tcMar>
            <w:vAlign w:val="center"/>
          </w:tcPr>
          <w:p>
            <w:pPr>
              <w:jc w:val="left"/>
            </w:pPr>
            <w:r>
              <w:rPr>
                <w:rFonts w:ascii="Calibri" w:hAnsi="Calibri"/>
                <w:b/>
                <w:i w:val="0"/>
                <w:color w:val="FFFFFF"/>
                <w:sz w:val="19"/>
              </w:rPr>
              <w:t>Condición pública localizada</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Elegibilidad</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Nuevos usuarios con verificación satisfactoria y correo validado.</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Beneficio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$100 MXN extra en el primer depósito.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Depósito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La guía dice mínimo $100; la regla dice mayor a $100. Para un depósito exacto de $100, no prometer y verificar la oferta.</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Uso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La página indica cualquier sección de Betxico.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Rollover</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Apostar una vez el depósito más el bono antes de retirar las ganancias derivadas.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Ganancia máxima</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$10,000 MXN derivados del bono.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Deportes</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Momio mínimo -200 y máximo +600.</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Dato de página</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Muestra 30/09/2026; confirmar vigencia y disponibilidad en la cuenta.</w:t>
            </w:r>
          </w:p>
        </w:tc>
      </w:tr>
    </w:tbl>
    <w:p>
      <w:pPr>
        <w:spacing w:after="20"/>
      </w:pPr>
    </w:p>
    <w:p>
      <w:pPr>
        <w:spacing w:before="0" w:after="120" w:line="300" w:lineRule="auto"/>
      </w:pPr>
      <w:r>
        <w:rPr>
          <w:rFonts w:ascii="Calibri" w:hAnsi="Calibri"/>
          <w:b/>
          <w:i w:val="0"/>
          <w:color w:val="AE2626"/>
          <w:sz w:val="22"/>
        </w:rPr>
        <w:t>La página señala expresamente que sustituye a la promoción anterior que no requería depósito. No ofrecer un bono sin depósito con base en información histórica. [F4]</w:t>
      </w:r>
    </w:p>
    <w:p>
      <w:pPr>
        <w:pStyle w:val="Heading2"/>
        <w:keepNext/>
      </w:pPr>
      <w:r>
        <w:t>10% Extra solo Casino</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72D57"/>
            <w:tcMar>
              <w:top w:w="100" w:type="dxa"/>
              <w:start w:w="120" w:type="dxa"/>
              <w:bottom w:w="100" w:type="dxa"/>
              <w:end w:w="120" w:type="dxa"/>
            </w:tcMar>
            <w:vAlign w:val="center"/>
          </w:tcPr>
          <w:p>
            <w:pPr>
              <w:jc w:val="left"/>
            </w:pPr>
            <w:r>
              <w:rPr>
                <w:rFonts w:ascii="Calibri" w:hAnsi="Calibri"/>
                <w:b/>
                <w:i w:val="0"/>
                <w:color w:val="FFFFFF"/>
                <w:sz w:val="19"/>
              </w:rPr>
              <w:t>Campo</w:t>
            </w:r>
          </w:p>
        </w:tc>
        <w:tc>
          <w:tcPr>
            <w:tcW w:type="dxa" w:w="7272"/>
            <w:shd w:fill="072D57"/>
            <w:tcMar>
              <w:top w:w="100" w:type="dxa"/>
              <w:start w:w="120" w:type="dxa"/>
              <w:bottom w:w="100" w:type="dxa"/>
              <w:end w:w="120" w:type="dxa"/>
            </w:tcMar>
            <w:vAlign w:val="center"/>
          </w:tcPr>
          <w:p>
            <w:pPr>
              <w:jc w:val="left"/>
            </w:pPr>
            <w:r>
              <w:rPr>
                <w:rFonts w:ascii="Calibri" w:hAnsi="Calibri"/>
                <w:b/>
                <w:i w:val="0"/>
                <w:color w:val="FFFFFF"/>
                <w:sz w:val="19"/>
              </w:rPr>
              <w:t>Condición pública localizada</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Elegibilidad</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Cuenta verificada; desde el segundo depósito histórico.</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Depósito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Segundo depósito histórico igual o mayor a $150 MXN según el detalle autenticado actual.</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Beneficio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10% del depósito, con máximo de $200 MXN por depósito.</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Activación</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Después de acreditarse el depósito, ir a Promociones y activar.</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Uso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Solo tragamonedas/slots; no Casino en Vivo ni Deportes.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Rollover</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Una vez el depósito más la bonificación. No se permite retiro hasta completarlo.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Retiro temprano</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Cancela el bono y las ganancias derivadas.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Vigencia del saldo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30 días desde su acreditación.</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Exclusiones</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Interactivos y proveedores listados en la regla: PGSoft, Playtech, Red Tiger, Evolution, NetEnt, Ezugi, No Limit City y Big Time Gaming.</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Acumulación</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No acumulable con otras promociones.</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BEAEA"/>
            <w:tcMar>
              <w:top w:w="140" w:type="dxa"/>
              <w:start w:w="180" w:type="dxa"/>
              <w:bottom w:w="140" w:type="dxa"/>
              <w:end w:w="180" w:type="dxa"/>
            </w:tcMar>
          </w:tcPr>
          <w:p>
            <w:pPr>
              <w:spacing w:after="60"/>
            </w:pPr>
            <w:r>
              <w:rPr>
                <w:rFonts w:ascii="Calibri" w:hAnsi="Calibri"/>
                <w:b/>
                <w:i w:val="0"/>
                <w:color w:val="AE2626"/>
                <w:sz w:val="22"/>
              </w:rPr>
              <w:t>CONTRADICCIÓN EN LA MISMA PROMOCIÓN</w:t>
            </w:r>
          </w:p>
          <w:p>
            <w:pPr>
              <w:spacing w:after="0" w:line="288" w:lineRule="auto"/>
            </w:pPr>
            <w:r>
              <w:rPr>
                <w:rFonts w:ascii="Calibri" w:hAnsi="Calibri"/>
                <w:b w:val="0"/>
                <w:i w:val="0"/>
                <w:color w:val="1D2939"/>
                <w:sz w:val="21"/>
              </w:rPr>
              <w:t>El detalle autenticado indica “deposita $150 o más” y exige un segundo depósito igual o mayor a $150; la tarjeta lateral todavía anuncia depósitos mayores a $200. Para elegibilidad debe usarse el detalle de reglas visible al abrir la promoción, pero conviene corregir la tarjeta. La promoción específica es solo para tragamonedas y no debe extenderse a Deportes.</w:t>
            </w:r>
          </w:p>
        </w:tc>
      </w:tr>
    </w:tbl>
    <w:p>
      <w:pPr>
        <w:spacing w:after="20"/>
      </w:pPr>
    </w:p>
    <w:p>
      <w:pPr>
        <w:pStyle w:val="Heading2"/>
        <w:keepNext/>
      </w:pPr>
      <w:r>
        <w:t>Pago Anticipado</w:t>
      </w:r>
    </w:p>
    <w:p>
      <w:pPr>
        <w:pStyle w:val="ListBullet"/>
        <w:spacing w:after="80" w:line="300" w:lineRule="auto"/>
      </w:pPr>
      <w:r>
        <w:rPr>
          <w:rFonts w:ascii="Calibri" w:hAnsi="Calibri"/>
          <w:b w:val="0"/>
          <w:i w:val="0"/>
          <w:color w:val="1D2939"/>
          <w:sz w:val="22"/>
        </w:rPr>
        <w:t>Requiere cuenta verificada y solo aplica a eventos con el icono de Pago Anticipado. [F6]</w:t>
      </w:r>
    </w:p>
    <w:p>
      <w:pPr>
        <w:pStyle w:val="ListBullet"/>
        <w:spacing w:after="80" w:line="300" w:lineRule="auto"/>
      </w:pPr>
      <w:r>
        <w:rPr>
          <w:rFonts w:ascii="Calibri" w:hAnsi="Calibri"/>
          <w:b w:val="0"/>
          <w:i w:val="0"/>
          <w:color w:val="1D2939"/>
          <w:sz w:val="22"/>
        </w:rPr>
        <w:t>Aplica a apuestas pre-partido en el mercado 1X2 Resultado Final. [F6]</w:t>
      </w:r>
    </w:p>
    <w:p>
      <w:pPr>
        <w:pStyle w:val="ListBullet"/>
        <w:spacing w:after="80" w:line="300" w:lineRule="auto"/>
      </w:pPr>
      <w:r>
        <w:rPr>
          <w:rFonts w:ascii="Calibri" w:hAnsi="Calibri"/>
          <w:b w:val="0"/>
          <w:i w:val="0"/>
          <w:color w:val="1D2939"/>
          <w:sz w:val="22"/>
        </w:rPr>
        <w:t>Umbrales publicados: fútbol +2 goles; NBA +20 puntos; fútbol americano +17 puntos; béisbol +5 carreras. [F6]</w:t>
      </w:r>
    </w:p>
    <w:p>
      <w:pPr>
        <w:pStyle w:val="ListBullet"/>
        <w:spacing w:after="80" w:line="300" w:lineRule="auto"/>
      </w:pPr>
      <w:r>
        <w:rPr>
          <w:rFonts w:ascii="Calibri" w:hAnsi="Calibri"/>
          <w:b w:val="0"/>
          <w:i w:val="0"/>
          <w:color w:val="1D2939"/>
          <w:sz w:val="22"/>
        </w:rPr>
        <w:t>La página indica condiciones modificables y posible cancelación por abuso. El pie legal refiere autorización hasta el 31 de diciembre de 2026. [F6]</w:t>
      </w:r>
    </w:p>
    <w:p>
      <w:pPr>
        <w:pStyle w:val="Heading2"/>
        <w:keepNext/>
      </w:pPr>
      <w:r>
        <w:t>Mega Impulsos</w:t>
      </w:r>
    </w:p>
    <w:p>
      <w:pPr>
        <w:pStyle w:val="ListBullet"/>
        <w:spacing w:after="80" w:line="300" w:lineRule="auto"/>
      </w:pPr>
      <w:r>
        <w:rPr>
          <w:rFonts w:ascii="Calibri" w:hAnsi="Calibri"/>
          <w:b w:val="0"/>
          <w:i w:val="0"/>
          <w:color w:val="1D2939"/>
          <w:sz w:val="22"/>
        </w:rPr>
        <w:t>Requiere cuenta verificada y solo aplica a eventos mostrados en el carrusel correspondiente. [F7]</w:t>
      </w:r>
    </w:p>
    <w:p>
      <w:pPr>
        <w:pStyle w:val="ListBullet"/>
        <w:spacing w:after="80" w:line="300" w:lineRule="auto"/>
      </w:pPr>
      <w:r>
        <w:rPr>
          <w:rFonts w:ascii="Calibri" w:hAnsi="Calibri"/>
          <w:b w:val="0"/>
          <w:i w:val="0"/>
          <w:color w:val="1D2939"/>
          <w:sz w:val="22"/>
        </w:rPr>
        <w:t>Apuesta máxima publicada: $500 MXN; Mega Impulso dorado: $100 MXN. [F7]</w:t>
      </w:r>
    </w:p>
    <w:p>
      <w:pPr>
        <w:pStyle w:val="ListBullet"/>
        <w:spacing w:after="80" w:line="300" w:lineRule="auto"/>
      </w:pPr>
      <w:r>
        <w:rPr>
          <w:rFonts w:ascii="Calibri" w:hAnsi="Calibri"/>
          <w:b w:val="0"/>
          <w:i w:val="0"/>
          <w:color w:val="1D2939"/>
          <w:sz w:val="22"/>
        </w:rPr>
        <w:t>La página advierte bloqueo/cancelación de ganancias por abuso o más de una apuesta sobre el mismo Mega Impulso. [F7]</w:t>
      </w:r>
    </w:p>
    <w:p>
      <w:pPr>
        <w:pStyle w:val="ListBullet"/>
        <w:spacing w:after="80" w:line="300" w:lineRule="auto"/>
      </w:pPr>
      <w:r>
        <w:rPr>
          <w:rFonts w:ascii="Calibri" w:hAnsi="Calibri"/>
          <w:b w:val="0"/>
          <w:i w:val="0"/>
          <w:color w:val="1D2939"/>
          <w:sz w:val="22"/>
        </w:rPr>
        <w:t>El pie legal refiere autorización hasta el 31 de diciembre de 2026; confirmar la oferta disponible en la cuenta. [F7]</w:t>
      </w:r>
    </w:p>
    <w:p>
      <w:pPr>
        <w:pStyle w:val="Heading1"/>
        <w:keepNext/>
      </w:pPr>
      <w:r>
        <w:t>12. Juego consciente y cierre de cuenta</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72D57"/>
            <w:tcMar>
              <w:top w:w="100" w:type="dxa"/>
              <w:start w:w="120" w:type="dxa"/>
              <w:bottom w:w="100" w:type="dxa"/>
              <w:end w:w="120" w:type="dxa"/>
            </w:tcMar>
            <w:vAlign w:val="center"/>
          </w:tcPr>
          <w:p>
            <w:pPr>
              <w:jc w:val="left"/>
            </w:pPr>
            <w:r>
              <w:rPr>
                <w:rFonts w:ascii="Calibri" w:hAnsi="Calibri"/>
                <w:b/>
                <w:i w:val="0"/>
                <w:color w:val="FFFFFF"/>
                <w:sz w:val="19"/>
              </w:rPr>
              <w:t>Herramienta</w:t>
            </w:r>
          </w:p>
        </w:tc>
        <w:tc>
          <w:tcPr>
            <w:tcW w:type="dxa" w:w="7272"/>
            <w:shd w:fill="072D57"/>
            <w:tcMar>
              <w:top w:w="100" w:type="dxa"/>
              <w:start w:w="120" w:type="dxa"/>
              <w:bottom w:w="100" w:type="dxa"/>
              <w:end w:w="120" w:type="dxa"/>
            </w:tcMar>
            <w:vAlign w:val="center"/>
          </w:tcPr>
          <w:p>
            <w:pPr>
              <w:jc w:val="left"/>
            </w:pPr>
            <w:r>
              <w:rPr>
                <w:rFonts w:ascii="Calibri" w:hAnsi="Calibri"/>
                <w:b/>
                <w:i w:val="0"/>
                <w:color w:val="FFFFFF"/>
                <w:sz w:val="19"/>
              </w:rPr>
              <w:t>Funcionamiento publicado</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Mis Actividades</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Muestra estadísticas, actividad reciente e historial en periodos de 7 días, 30 días o 12 meses.</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Límite de depósito</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Las reducciones se aplican inmediatamente. Para nuevas solicitudes o aumentos se publica una espera mínima de 24 horas.</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Pausa/autoexclusión</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Periodos publicados: 24 horas, 1 mes, 6 meses o 1 año. No se puede acceder durante el periodo.</w:t>
            </w:r>
          </w:p>
        </w:tc>
      </w:tr>
      <w:tr>
        <w:tc>
          <w:tcPr>
            <w:tcW w:type="dxa" w:w="208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Cierre</w:t>
            </w:r>
          </w:p>
        </w:tc>
        <w:tc>
          <w:tcPr>
            <w:tcW w:type="dxa" w:w="727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La página de juego consciente lo describe como definitivo e irreversible y recomienda revisar saldo, apuestas y retiros antes de confirmar.</w:t>
            </w:r>
          </w:p>
        </w:tc>
      </w:tr>
      <w:tr>
        <w:tc>
          <w:tcPr>
            <w:tcW w:type="dxa" w:w="2088"/>
            <w:tcMar>
              <w:top w:w="100" w:type="dxa"/>
              <w:start w:w="120" w:type="dxa"/>
              <w:bottom w:w="100" w:type="dxa"/>
              <w:end w:w="120" w:type="dxa"/>
            </w:tcMar>
            <w:vAlign w:val="center"/>
          </w:tcPr>
          <w:p>
            <w:pPr>
              <w:spacing w:after="0" w:line="264" w:lineRule="auto"/>
            </w:pPr>
            <w:r>
              <w:rPr>
                <w:rFonts w:ascii="Calibri" w:hAnsi="Calibri"/>
                <w:b w:val="0"/>
                <w:i w:val="0"/>
                <w:color w:val="1D2939"/>
                <w:sz w:val="19"/>
              </w:rPr>
              <w:t>Gamban</w:t>
            </w:r>
          </w:p>
        </w:tc>
        <w:tc>
          <w:tcPr>
            <w:tcW w:type="dxa" w:w="7272"/>
            <w:tcMar>
              <w:top w:w="100" w:type="dxa"/>
              <w:start w:w="120" w:type="dxa"/>
              <w:bottom w:w="100" w:type="dxa"/>
              <w:end w:w="120" w:type="dxa"/>
            </w:tcMar>
            <w:vAlign w:val="center"/>
          </w:tcPr>
          <w:p>
            <w:pPr>
              <w:spacing w:after="0" w:line="264" w:lineRule="auto"/>
            </w:pPr>
            <w:r>
              <w:rPr>
                <w:rFonts w:ascii="Calibri" w:hAnsi="Calibri"/>
                <w:b w:val="0"/>
                <w:i w:val="0"/>
                <w:color w:val="1D2939"/>
                <w:sz w:val="19"/>
              </w:rPr>
              <w:t>Software externo para bloquear sitios y aplicaciones de apuestas en los dispositivos del usuario.</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FBEAEA"/>
            <w:tcMar>
              <w:top w:w="140" w:type="dxa"/>
              <w:start w:w="180" w:type="dxa"/>
              <w:bottom w:w="140" w:type="dxa"/>
              <w:end w:w="180" w:type="dxa"/>
            </w:tcMar>
          </w:tcPr>
          <w:p>
            <w:pPr>
              <w:spacing w:after="60"/>
            </w:pPr>
            <w:r>
              <w:rPr>
                <w:rFonts w:ascii="Calibri" w:hAnsi="Calibri"/>
                <w:b/>
                <w:i w:val="0"/>
                <w:color w:val="AE2626"/>
                <w:sz w:val="22"/>
              </w:rPr>
              <w:t>TRATAR CON PRIORIDAD</w:t>
            </w:r>
          </w:p>
          <w:p>
            <w:pPr>
              <w:spacing w:after="0" w:line="288" w:lineRule="auto"/>
            </w:pPr>
            <w:r>
              <w:rPr>
                <w:rFonts w:ascii="Calibri" w:hAnsi="Calibri"/>
                <w:b w:val="0"/>
                <w:i w:val="0"/>
                <w:color w:val="1D2939"/>
                <w:sz w:val="21"/>
              </w:rPr>
              <w:t>Cuando el cliente expresa pérdida de control, deuda, compulsión, autolesión o deseo de autoexcluirse, evitar promociones y persuasión. Guiar de inmediato a las herramientas de juego consciente y al proceso humano correspondiente.</w:t>
            </w:r>
          </w:p>
        </w:tc>
      </w:tr>
    </w:tbl>
    <w:p>
      <w:pPr>
        <w:spacing w:after="20"/>
      </w:pPr>
    </w:p>
    <w:p>
      <w:pPr>
        <w:pStyle w:val="Heading1"/>
        <w:keepNext/>
      </w:pPr>
      <w:r>
        <w:t>13. Privacidad y datos personales</w:t>
      </w:r>
    </w:p>
    <w:p>
      <w:pPr>
        <w:pStyle w:val="ListBullet"/>
        <w:spacing w:after="80" w:line="300" w:lineRule="auto"/>
      </w:pPr>
      <w:r>
        <w:rPr>
          <w:rFonts w:ascii="Calibri" w:hAnsi="Calibri"/>
          <w:b w:val="0"/>
          <w:i w:val="0"/>
          <w:color w:val="1D2939"/>
          <w:sz w:val="22"/>
        </w:rPr>
        <w:t>La política contempla datos de registro, contacto, domicilio, fecha de nacimiento, transacciones, medios de pago e información obtenida durante verificaciones. [F10]</w:t>
      </w:r>
    </w:p>
    <w:p>
      <w:pPr>
        <w:pStyle w:val="ListBullet"/>
        <w:spacing w:after="80" w:line="300" w:lineRule="auto"/>
      </w:pPr>
      <w:r>
        <w:rPr>
          <w:rFonts w:ascii="Calibri" w:hAnsi="Calibri"/>
          <w:b w:val="0"/>
          <w:i w:val="0"/>
          <w:color w:val="1D2939"/>
          <w:sz w:val="22"/>
        </w:rPr>
        <w:t>Los datos pueden compartirse con empresas del grupo, proveedores, verificadores, procesadores de pago, auditores, asesores, autoridades y organismos regulatorios conforme a las finalidades y requisitos aplicables. [F10]</w:t>
      </w:r>
    </w:p>
    <w:p>
      <w:pPr>
        <w:pStyle w:val="ListBullet"/>
        <w:spacing w:after="80" w:line="300" w:lineRule="auto"/>
      </w:pPr>
      <w:r>
        <w:rPr>
          <w:rFonts w:ascii="Calibri" w:hAnsi="Calibri"/>
          <w:b w:val="0"/>
          <w:i w:val="0"/>
          <w:color w:val="1D2939"/>
          <w:sz w:val="22"/>
        </w:rPr>
        <w:t>El cliente puede ejercer derechos ARCO: acceso, rectificación, cancelación u oposición. La página indica solicitud por el canal de correo oficial y acompañar identificación vigente. [F10]</w:t>
      </w:r>
    </w:p>
    <w:p>
      <w:pPr>
        <w:pStyle w:val="ListBullet"/>
        <w:spacing w:after="80" w:line="300" w:lineRule="auto"/>
      </w:pPr>
      <w:r>
        <w:rPr>
          <w:rFonts w:ascii="Calibri" w:hAnsi="Calibri"/>
          <w:b w:val="0"/>
          <w:i w:val="0"/>
          <w:color w:val="1D2939"/>
          <w:sz w:val="22"/>
        </w:rPr>
        <w:t>La política publicada indica respuesta de procedencia hasta en 20 días hábiles y, de proceder, ejecución dentro de los 15 días hábiles siguientes. [F10]</w:t>
      </w:r>
    </w:p>
    <w:p>
      <w:pPr>
        <w:pStyle w:val="ListBullet"/>
        <w:spacing w:after="80" w:line="300" w:lineRule="auto"/>
      </w:pPr>
      <w:r>
        <w:rPr>
          <w:rFonts w:ascii="Calibri" w:hAnsi="Calibri"/>
          <w:b w:val="0"/>
          <w:i w:val="0"/>
          <w:color w:val="1D2939"/>
          <w:sz w:val="22"/>
        </w:rPr>
        <w:t>El cliente puede solicitar baja de comunicaciones promocionales mediante enlace de baja, chat o correo oficial. [F10]</w:t>
      </w:r>
    </w:p>
    <w:p>
      <w:pPr>
        <w:pStyle w:val="ListBullet"/>
        <w:spacing w:after="80" w:line="300" w:lineRule="auto"/>
      </w:pPr>
      <w:r>
        <w:rPr>
          <w:rFonts w:ascii="Calibri" w:hAnsi="Calibri"/>
          <w:b w:val="0"/>
          <w:i w:val="0"/>
          <w:color w:val="1D2939"/>
          <w:sz w:val="22"/>
        </w:rPr>
        <w:t>La política describe uso de cookies, cifrado SSL de 256 bits y conservación conforme a la finalidad y obligaciones legales. [F10]</w:t>
      </w:r>
    </w:p>
    <w:tbl>
      <w:tblPr>
        <w:tblW w:type="auto" w:w="0"/>
        <w:jc w:val="center"/>
        <w:tblLayout w:type="fixed"/>
        <w:tblLook w:firstColumn="1" w:firstRow="1" w:lastColumn="0" w:lastRow="0" w:noHBand="0" w:noVBand="1" w:val="04A0"/>
      </w:tblPr>
      <w:tblGrid>
        <w:gridCol w:w="9360"/>
      </w:tblGrid>
      <w:tr>
        <w:trPr>
          <w:cantSplit/>
        </w:trPr>
        <w:tc>
          <w:tcPr>
            <w:tcW w:type="dxa" w:w="9878"/>
            <w:shd w:fill="FFF0E9"/>
            <w:tcMar>
              <w:top w:w="140" w:type="dxa"/>
              <w:start w:w="180" w:type="dxa"/>
              <w:bottom w:w="140" w:type="dxa"/>
              <w:end w:w="180" w:type="dxa"/>
            </w:tcMar>
          </w:tcPr>
          <w:p>
            <w:pPr>
              <w:spacing w:after="60"/>
            </w:pPr>
            <w:r>
              <w:rPr>
                <w:rFonts w:ascii="Calibri" w:hAnsi="Calibri"/>
                <w:b/>
                <w:i w:val="0"/>
                <w:color w:val="F04C18"/>
                <w:sz w:val="22"/>
              </w:rPr>
              <w:t>DATOS SENSIBLES</w:t>
            </w:r>
          </w:p>
          <w:p>
            <w:pPr>
              <w:spacing w:after="0" w:line="288" w:lineRule="auto"/>
            </w:pPr>
            <w:r>
              <w:rPr>
                <w:rFonts w:ascii="Calibri" w:hAnsi="Calibri"/>
                <w:b w:val="0"/>
                <w:i w:val="0"/>
                <w:color w:val="1D2939"/>
                <w:sz w:val="21"/>
              </w:rPr>
              <w:t>No solicitar contraseñas, PIN, cookies, códigos de sesión ni datos bancarios completos por chat. Documentos de identidad deben enviarse únicamente por el canal autorizado de verificación.</w:t>
            </w:r>
          </w:p>
        </w:tc>
      </w:tr>
    </w:tbl>
    <w:p>
      <w:pPr>
        <w:spacing w:after="20"/>
      </w:pPr>
    </w:p>
    <w:p>
      <w:pPr>
        <w:pStyle w:val="Heading1"/>
        <w:keepNext/>
      </w:pPr>
      <w:r>
        <w:t>14. Quejas, fraude y escalamiento</w:t>
      </w:r>
    </w:p>
    <w:p>
      <w:pPr>
        <w:pStyle w:val="ListBullet"/>
        <w:spacing w:after="80" w:line="300" w:lineRule="auto"/>
      </w:pPr>
      <w:r>
        <w:rPr>
          <w:rFonts w:ascii="Calibri" w:hAnsi="Calibri"/>
          <w:b w:val="0"/>
          <w:i w:val="0"/>
          <w:color w:val="1D2939"/>
          <w:sz w:val="22"/>
        </w:rPr>
        <w:t>Las quejas relacionadas con apuestas deben presentarse por Servicio al Cliente dentro de las cuatro semanas posteriores al evento, según los términos publicados. [F1]</w:t>
      </w:r>
    </w:p>
    <w:p>
      <w:pPr>
        <w:pStyle w:val="ListBullet"/>
        <w:spacing w:after="80" w:line="300" w:lineRule="auto"/>
      </w:pPr>
      <w:r>
        <w:rPr>
          <w:rFonts w:ascii="Calibri" w:hAnsi="Calibri"/>
          <w:b w:val="0"/>
          <w:i w:val="0"/>
          <w:color w:val="1D2939"/>
          <w:sz w:val="22"/>
        </w:rPr>
        <w:t>El canal de soporte se publica como disponible 24 horas, 7 días. [F12]</w:t>
      </w:r>
    </w:p>
    <w:p>
      <w:pPr>
        <w:pStyle w:val="ListBullet"/>
        <w:spacing w:after="80" w:line="300" w:lineRule="auto"/>
      </w:pPr>
      <w:r>
        <w:rPr>
          <w:rFonts w:ascii="Calibri" w:hAnsi="Calibri"/>
          <w:b w:val="0"/>
          <w:i w:val="0"/>
          <w:color w:val="1D2939"/>
          <w:sz w:val="22"/>
        </w:rPr>
        <w:t>Betxico puede solicitar pruebas para resolver la queja y conservar registros de comunicaciones y transacciones. [F1]</w:t>
      </w:r>
    </w:p>
    <w:p>
      <w:pPr>
        <w:pStyle w:val="ListBullet"/>
        <w:spacing w:after="80" w:line="300" w:lineRule="auto"/>
      </w:pPr>
      <w:r>
        <w:rPr>
          <w:rFonts w:ascii="Calibri" w:hAnsi="Calibri"/>
          <w:b w:val="0"/>
          <w:i w:val="0"/>
          <w:color w:val="1D2939"/>
          <w:sz w:val="22"/>
        </w:rPr>
        <w:t>Conductas sujetas a revisión incluyen fraude, colusión, cuentas múltiples, bots/scripts, datos falsos, abuso de bonos, apuestas coordinadas o patrones atípicos. [F1]</w:t>
      </w:r>
    </w:p>
    <w:p>
      <w:pPr>
        <w:pStyle w:val="ListBullet"/>
        <w:spacing w:after="80" w:line="300" w:lineRule="auto"/>
      </w:pPr>
      <w:r>
        <w:rPr>
          <w:rFonts w:ascii="Calibri" w:hAnsi="Calibri"/>
          <w:b w:val="0"/>
          <w:i w:val="0"/>
          <w:color w:val="1D2939"/>
          <w:sz w:val="22"/>
        </w:rPr>
        <w:t>Una investigación puede implicar suspensión temporal, retención de fondos y solicitud de documentación adicional. [F1]</w:t>
      </w:r>
    </w:p>
    <w:p>
      <w:pPr>
        <w:pStyle w:val="ListBullet"/>
        <w:spacing w:after="80" w:line="300" w:lineRule="auto"/>
      </w:pPr>
      <w:r>
        <w:rPr>
          <w:rFonts w:ascii="Calibri" w:hAnsi="Calibri"/>
          <w:b w:val="0"/>
          <w:i w:val="0"/>
          <w:color w:val="1D2939"/>
          <w:sz w:val="22"/>
        </w:rPr>
        <w:t>Los términos publican investigaciones internas de hasta 90 días naturales para determinados supuestos de abuso o fraude. No usar este plazo como respuesta automática para todo retiro retenido. [F1]</w:t>
      </w:r>
    </w:p>
    <w:tbl>
      <w:tblPr>
        <w:tblW w:type="auto" w:w="0"/>
        <w:jc w:val="center"/>
        <w:tblLayout w:type="fixed"/>
        <w:tblLook w:firstColumn="1" w:firstRow="1" w:lastColumn="0" w:lastRow="0" w:noHBand="0" w:noVBand="1" w:val="04A0"/>
      </w:tblPr>
      <w:tblGrid>
        <w:gridCol w:w="9360"/>
      </w:tblGrid>
      <w:tr>
        <w:trPr>
          <w:cantSplit/>
        </w:trPr>
        <w:tc>
          <w:tcPr>
            <w:tcW w:type="dxa" w:w="9878"/>
            <w:shd w:fill="FFF0E9"/>
            <w:tcMar>
              <w:top w:w="140" w:type="dxa"/>
              <w:start w:w="180" w:type="dxa"/>
              <w:bottom w:w="140" w:type="dxa"/>
              <w:end w:w="180" w:type="dxa"/>
            </w:tcMar>
          </w:tcPr>
          <w:p>
            <w:pPr>
              <w:spacing w:after="60"/>
            </w:pPr>
            <w:r>
              <w:rPr>
                <w:rFonts w:ascii="Calibri" w:hAnsi="Calibri"/>
                <w:b/>
                <w:i w:val="0"/>
                <w:color w:val="F04C18"/>
                <w:sz w:val="22"/>
              </w:rPr>
              <w:t>ESCALAR, NO ACUSAR</w:t>
            </w:r>
          </w:p>
          <w:p>
            <w:pPr>
              <w:spacing w:after="0" w:line="288" w:lineRule="auto"/>
            </w:pPr>
            <w:r>
              <w:rPr>
                <w:rFonts w:ascii="Calibri" w:hAnsi="Calibri"/>
                <w:b w:val="0"/>
                <w:i w:val="0"/>
                <w:color w:val="1D2939"/>
                <w:sz w:val="21"/>
              </w:rPr>
              <w:t>Soporte no debe decir al cliente que cometió fraude sin una determinación autorizada. Debe informar que el caso está en revisión, solicitar solo la documentación indicada y evitar revelar criterios internos de prevención.</w:t>
            </w:r>
          </w:p>
        </w:tc>
      </w:tr>
    </w:tbl>
    <w:p>
      <w:pPr>
        <w:spacing w:after="20"/>
      </w:pPr>
    </w:p>
    <w:p>
      <w:pPr>
        <w:pStyle w:val="Heading1"/>
        <w:keepNext/>
      </w:pPr>
      <w:r>
        <w:t>15. Preguntas frecuentes para agentes</w:t>
      </w:r>
    </w:p>
    <w:p>
      <w:pPr>
        <w:spacing w:before="120" w:after="40"/>
        <w:keepNext/>
      </w:pPr>
      <w:r>
        <w:rPr>
          <w:rFonts w:ascii="Calibri" w:hAnsi="Calibri"/>
          <w:b/>
          <w:i w:val="0"/>
          <w:color w:val="072D57"/>
          <w:sz w:val="22"/>
        </w:rPr>
        <w:t>¿Por qué no llega mi retiro?</w:t>
      </w:r>
    </w:p>
    <w:p>
      <w:pPr>
        <w:spacing w:after="60" w:line="288" w:lineRule="auto"/>
        <w:ind w:left="259"/>
      </w:pPr>
      <w:r>
        <w:rPr>
          <w:rFonts w:ascii="Calibri" w:hAnsi="Calibri"/>
          <w:b w:val="0"/>
          <w:i w:val="0"/>
          <w:color w:val="1D2939"/>
          <w:sz w:val="21"/>
        </w:rPr>
        <w:t>Voy a revisar el estado actual de tu retiro y si existe algún requisito pendiente. Con el correo de tu cuenta podemos consultar el movimiento; si aparece una retención, te indicaré el paso específico.</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Atena, Jira, Lista 7 y KYC cuando exista un motivo documental.</w:t>
      </w:r>
    </w:p>
    <w:p>
      <w:pPr>
        <w:spacing w:before="120" w:after="40"/>
        <w:keepNext/>
      </w:pPr>
      <w:r>
        <w:rPr>
          <w:rFonts w:ascii="Calibri" w:hAnsi="Calibri"/>
          <w:b/>
          <w:i w:val="0"/>
          <w:color w:val="072D57"/>
          <w:sz w:val="22"/>
        </w:rPr>
        <w:t>¿Cuánto tarda un retiro?</w:t>
      </w:r>
    </w:p>
    <w:p>
      <w:pPr>
        <w:spacing w:after="60" w:line="288" w:lineRule="auto"/>
        <w:ind w:left="259"/>
      </w:pPr>
      <w:r>
        <w:rPr>
          <w:rFonts w:ascii="Calibri" w:hAnsi="Calibri"/>
          <w:b w:val="0"/>
          <w:i w:val="0"/>
          <w:color w:val="1D2939"/>
          <w:sz w:val="21"/>
        </w:rPr>
        <w:t>El tiempo depende del estado y del método. Los términos no publican un plazo único para todos los retiros, por lo que primero debemos revisar el movimiento real.</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No prometer horas o días sin evidencia del proveedor/operación.</w:t>
      </w:r>
    </w:p>
    <w:p>
      <w:pPr>
        <w:spacing w:before="120" w:after="40"/>
        <w:keepNext/>
      </w:pPr>
      <w:r>
        <w:rPr>
          <w:rFonts w:ascii="Calibri" w:hAnsi="Calibri"/>
          <w:b/>
          <w:i w:val="0"/>
          <w:color w:val="072D57"/>
          <w:sz w:val="22"/>
        </w:rPr>
        <w:t>¿Por qué me piden INE o selfie?</w:t>
      </w:r>
    </w:p>
    <w:p>
      <w:pPr>
        <w:spacing w:after="60" w:line="288" w:lineRule="auto"/>
        <w:ind w:left="259"/>
      </w:pPr>
      <w:r>
        <w:rPr>
          <w:rFonts w:ascii="Calibri" w:hAnsi="Calibri"/>
          <w:b w:val="0"/>
          <w:i w:val="0"/>
          <w:color w:val="1D2939"/>
          <w:sz w:val="21"/>
        </w:rPr>
        <w:t>La verificación confirma que la cuenta y los medios de pago pertenecen al titular. La selfie debe tomarse en tiempo real y los datos deben coincidir con la identificación.</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Consultar KYC y pedir solo lo que realmente falta.</w:t>
      </w:r>
    </w:p>
    <w:p>
      <w:pPr>
        <w:spacing w:before="120" w:after="40"/>
        <w:keepNext/>
      </w:pPr>
      <w:r>
        <w:rPr>
          <w:rFonts w:ascii="Calibri" w:hAnsi="Calibri"/>
          <w:b/>
          <w:i w:val="0"/>
          <w:color w:val="072D57"/>
          <w:sz w:val="22"/>
        </w:rPr>
        <w:t>¿Puedo depositar desde una cuenta de otra persona?</w:t>
      </w:r>
    </w:p>
    <w:p>
      <w:pPr>
        <w:spacing w:after="60" w:line="288" w:lineRule="auto"/>
        <w:ind w:left="259"/>
      </w:pPr>
      <w:r>
        <w:rPr>
          <w:rFonts w:ascii="Calibri" w:hAnsi="Calibri"/>
          <w:b w:val="0"/>
          <w:i w:val="0"/>
          <w:color w:val="1D2939"/>
          <w:sz w:val="21"/>
        </w:rPr>
        <w:t>No. El medio de pago y la cuenta emisora deben corresponder al titular registrado en Betxico.</w:t>
      </w:r>
      <w:r>
        <w:rPr>
          <w:rFonts w:ascii="Calibri" w:hAnsi="Calibri"/>
          <w:b/>
          <w:i w:val="0"/>
          <w:color w:val="105091"/>
          <w:sz w:val="18"/>
        </w:rPr>
        <w:t xml:space="preserve">  [F1]</w:t>
      </w:r>
    </w:p>
    <w:p>
      <w:pPr>
        <w:spacing w:before="120" w:after="40"/>
        <w:keepNext/>
      </w:pPr>
      <w:r>
        <w:rPr>
          <w:rFonts w:ascii="Calibri" w:hAnsi="Calibri"/>
          <w:b/>
          <w:i w:val="0"/>
          <w:color w:val="072D57"/>
          <w:sz w:val="22"/>
        </w:rPr>
        <w:t>¿Cuántos retiros puedo hacer al día?</w:t>
      </w:r>
    </w:p>
    <w:p>
      <w:pPr>
        <w:spacing w:after="60" w:line="288" w:lineRule="auto"/>
        <w:ind w:left="259"/>
      </w:pPr>
      <w:r>
        <w:rPr>
          <w:rFonts w:ascii="Calibri" w:hAnsi="Calibri"/>
          <w:b w:val="0"/>
          <w:i w:val="0"/>
          <w:color w:val="1D2939"/>
          <w:sz w:val="21"/>
        </w:rPr>
        <w:t>Los términos publican un retiro SPEI gratuito por día y una tarifa de $3.50 MXN desde el segundo retiro del mismo día.</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Confirmar que el método sea SPEI y revisar cualquier cambio visible en la pantalla de retiro.</w:t>
      </w:r>
    </w:p>
    <w:p>
      <w:pPr>
        <w:spacing w:before="120" w:after="40"/>
        <w:keepNext/>
      </w:pPr>
      <w:r>
        <w:rPr>
          <w:rFonts w:ascii="Calibri" w:hAnsi="Calibri"/>
          <w:b/>
          <w:i w:val="0"/>
          <w:color w:val="072D57"/>
          <w:sz w:val="22"/>
        </w:rPr>
        <w:t>¿Por qué me cobraron comisión al retirar?</w:t>
      </w:r>
    </w:p>
    <w:p>
      <w:pPr>
        <w:spacing w:after="60" w:line="288" w:lineRule="auto"/>
        <w:ind w:left="259"/>
      </w:pPr>
      <w:r>
        <w:rPr>
          <w:rFonts w:ascii="Calibri" w:hAnsi="Calibri"/>
          <w:b w:val="0"/>
          <w:i w:val="0"/>
          <w:color w:val="1D2939"/>
          <w:sz w:val="21"/>
        </w:rPr>
        <w:t>Puede existir una tarifa por retiros SPEI adicionales en el mismo día o una comisión administrativa cuando se depositan fondos sin actividad de juego. Revisaremos cuál corresponde a tu movimiento.</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Consultar movimiento real; no asumir el motivo.</w:t>
      </w:r>
    </w:p>
    <w:p>
      <w:pPr>
        <w:spacing w:before="120" w:after="40"/>
        <w:keepNext/>
      </w:pPr>
      <w:r>
        <w:rPr>
          <w:rFonts w:ascii="Calibri" w:hAnsi="Calibri"/>
          <w:b/>
          <w:i w:val="0"/>
          <w:color w:val="072D57"/>
          <w:sz w:val="22"/>
        </w:rPr>
        <w:t>¿Hay bono sin depósito?</w:t>
      </w:r>
    </w:p>
    <w:p>
      <w:pPr>
        <w:spacing w:after="60" w:line="288" w:lineRule="auto"/>
        <w:ind w:left="259"/>
      </w:pPr>
      <w:r>
        <w:rPr>
          <w:rFonts w:ascii="Calibri" w:hAnsi="Calibri"/>
          <w:b w:val="0"/>
          <w:i w:val="0"/>
          <w:color w:val="1D2939"/>
          <w:sz w:val="21"/>
        </w:rPr>
        <w:t>La promoción pública de $100 indica que sustituyó a la anterior que no requería depósito. Actualmente no debemos ofrecer un bono sin depósito salvo que aparezca habilitado expresamente en tu cuenta.</w:t>
      </w:r>
      <w:r>
        <w:rPr>
          <w:rFonts w:ascii="Calibri" w:hAnsi="Calibri"/>
          <w:b/>
          <w:i w:val="0"/>
          <w:color w:val="105091"/>
          <w:sz w:val="18"/>
        </w:rPr>
        <w:t xml:space="preserve">  [F3/F4]</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Revisar promociones de la cuenta.</w:t>
      </w:r>
    </w:p>
    <w:p>
      <w:pPr>
        <w:spacing w:before="120" w:after="40"/>
        <w:keepNext/>
      </w:pPr>
      <w:r>
        <w:rPr>
          <w:rFonts w:ascii="Calibri" w:hAnsi="Calibri"/>
          <w:b/>
          <w:i w:val="0"/>
          <w:color w:val="072D57"/>
          <w:sz w:val="22"/>
        </w:rPr>
        <w:t>¿Cómo funciona el bono de $100?</w:t>
      </w:r>
    </w:p>
    <w:p>
      <w:pPr>
        <w:spacing w:after="60" w:line="288" w:lineRule="auto"/>
        <w:ind w:left="259"/>
      </w:pPr>
      <w:r>
        <w:rPr>
          <w:rFonts w:ascii="Calibri" w:hAnsi="Calibri"/>
          <w:b w:val="0"/>
          <w:i w:val="0"/>
          <w:color w:val="1D2939"/>
          <w:sz w:val="21"/>
        </w:rPr>
        <w:t>Está dirigido a usuarios nuevos verificados y se relaciona con el primer depósito. Antes de confirmarlo revisaremos que la oferta esté habilitada y las condiciones exactas de depósito y rollover.</w:t>
      </w:r>
      <w:r>
        <w:rPr>
          <w:rFonts w:ascii="Calibri" w:hAnsi="Calibri"/>
          <w:b/>
          <w:i w:val="0"/>
          <w:color w:val="105091"/>
          <w:sz w:val="18"/>
        </w:rPr>
        <w:t xml:space="preserve">  [F4]</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Existe contradicción entre “mínimo $100” y “mayor a $100”.</w:t>
      </w:r>
    </w:p>
    <w:p>
      <w:pPr>
        <w:spacing w:before="120" w:after="40"/>
        <w:keepNext/>
      </w:pPr>
      <w:r>
        <w:rPr>
          <w:rFonts w:ascii="Calibri" w:hAnsi="Calibri"/>
          <w:b/>
          <w:i w:val="0"/>
          <w:color w:val="072D57"/>
          <w:sz w:val="22"/>
        </w:rPr>
        <w:t>¿Puedo retirar sin apostar el bono?</w:t>
      </w:r>
    </w:p>
    <w:p>
      <w:pPr>
        <w:spacing w:after="60" w:line="288" w:lineRule="auto"/>
        <w:ind w:left="259"/>
      </w:pPr>
      <w:r>
        <w:rPr>
          <w:rFonts w:ascii="Calibri" w:hAnsi="Calibri"/>
          <w:b w:val="0"/>
          <w:i w:val="0"/>
          <w:color w:val="1D2939"/>
          <w:sz w:val="21"/>
        </w:rPr>
        <w:t>No cuando la promoción exige rollover. En las promociones publicadas, retirar antes de completar el requisito puede cancelar el bono y las ganancias derivadas.</w:t>
      </w:r>
      <w:r>
        <w:rPr>
          <w:rFonts w:ascii="Calibri" w:hAnsi="Calibri"/>
          <w:b/>
          <w:i w:val="0"/>
          <w:color w:val="105091"/>
          <w:sz w:val="18"/>
        </w:rPr>
        <w:t xml:space="preserve">  [F1/F5]</w:t>
      </w:r>
    </w:p>
    <w:p>
      <w:pPr>
        <w:spacing w:before="120" w:after="40"/>
        <w:keepNext/>
      </w:pPr>
      <w:r>
        <w:rPr>
          <w:rFonts w:ascii="Calibri" w:hAnsi="Calibri"/>
          <w:b/>
          <w:i w:val="0"/>
          <w:color w:val="072D57"/>
          <w:sz w:val="22"/>
        </w:rPr>
        <w:t>¿Por qué se anuló mi apuesta?</w:t>
      </w:r>
    </w:p>
    <w:p>
      <w:pPr>
        <w:spacing w:after="60" w:line="288" w:lineRule="auto"/>
        <w:ind w:left="259"/>
      </w:pPr>
      <w:r>
        <w:rPr>
          <w:rFonts w:ascii="Calibri" w:hAnsi="Calibri"/>
          <w:b w:val="0"/>
          <w:i w:val="0"/>
          <w:color w:val="1D2939"/>
          <w:sz w:val="21"/>
        </w:rPr>
        <w:t>Una apuesta puede anularse por mercado inválido, cuota manifiestamente incorrecta, evento cancelado o condiciones específicas. Revisaremos el boleto y la regla del mercado.</w:t>
      </w:r>
      <w:r>
        <w:rPr>
          <w:rFonts w:ascii="Calibri" w:hAnsi="Calibri"/>
          <w:b/>
          <w:i w:val="0"/>
          <w:color w:val="105091"/>
          <w:sz w:val="18"/>
        </w:rPr>
        <w:t xml:space="preserve">  [F1/F2]</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Boleto, mercado exacto, evento y resultado oficial.</w:t>
      </w:r>
    </w:p>
    <w:p>
      <w:pPr>
        <w:spacing w:before="120" w:after="40"/>
        <w:keepNext/>
      </w:pPr>
      <w:r>
        <w:rPr>
          <w:rFonts w:ascii="Calibri" w:hAnsi="Calibri"/>
          <w:b/>
          <w:i w:val="0"/>
          <w:color w:val="072D57"/>
          <w:sz w:val="22"/>
        </w:rPr>
        <w:t>¿Cuenta la prórroga?</w:t>
      </w:r>
    </w:p>
    <w:p>
      <w:pPr>
        <w:spacing w:after="60" w:line="288" w:lineRule="auto"/>
        <w:ind w:left="259"/>
      </w:pPr>
      <w:r>
        <w:rPr>
          <w:rFonts w:ascii="Calibri" w:hAnsi="Calibri"/>
          <w:b w:val="0"/>
          <w:i w:val="0"/>
          <w:color w:val="1D2939"/>
          <w:sz w:val="21"/>
        </w:rPr>
        <w:t>Depende del deporte y del mercado. Solo se incluye cuando la modalidad lo indica expresamente.</w:t>
      </w:r>
      <w:r>
        <w:rPr>
          <w:rFonts w:ascii="Calibri" w:hAnsi="Calibri"/>
          <w:b/>
          <w:i w:val="0"/>
          <w:color w:val="105091"/>
          <w:sz w:val="18"/>
        </w:rPr>
        <w:t xml:space="preserve">  [F2]</w:t>
      </w:r>
    </w:p>
    <w:p>
      <w:pPr>
        <w:spacing w:before="120" w:after="40"/>
        <w:keepNext/>
      </w:pPr>
      <w:r>
        <w:rPr>
          <w:rFonts w:ascii="Calibri" w:hAnsi="Calibri"/>
          <w:b/>
          <w:i w:val="0"/>
          <w:color w:val="072D57"/>
          <w:sz w:val="22"/>
        </w:rPr>
        <w:t>¿Por qué no aparece Cashout?</w:t>
      </w:r>
    </w:p>
    <w:p>
      <w:pPr>
        <w:spacing w:after="60" w:line="288" w:lineRule="auto"/>
        <w:ind w:left="259"/>
      </w:pPr>
      <w:r>
        <w:rPr>
          <w:rFonts w:ascii="Calibri" w:hAnsi="Calibri"/>
          <w:b w:val="0"/>
          <w:i w:val="0"/>
          <w:color w:val="1D2939"/>
          <w:sz w:val="21"/>
        </w:rPr>
        <w:t>Cashout es opcional y depende del proveedor, del evento y del momento. Puede suspenderse durante actualizaciones, jugadas relevantes o fallas técnicas.</w:t>
      </w:r>
      <w:r>
        <w:rPr>
          <w:rFonts w:ascii="Calibri" w:hAnsi="Calibri"/>
          <w:b/>
          <w:i w:val="0"/>
          <w:color w:val="105091"/>
          <w:sz w:val="18"/>
        </w:rPr>
        <w:t xml:space="preserve">  [F2]</w:t>
      </w:r>
    </w:p>
    <w:p>
      <w:pPr>
        <w:spacing w:before="120" w:after="40"/>
        <w:keepNext/>
      </w:pPr>
      <w:r>
        <w:rPr>
          <w:rFonts w:ascii="Calibri" w:hAnsi="Calibri"/>
          <w:b/>
          <w:i w:val="0"/>
          <w:color w:val="072D57"/>
          <w:sz w:val="22"/>
        </w:rPr>
        <w:t>¿Puedo cancelar una apuesta?</w:t>
      </w:r>
    </w:p>
    <w:p>
      <w:pPr>
        <w:spacing w:after="60" w:line="288" w:lineRule="auto"/>
        <w:ind w:left="259"/>
      </w:pPr>
      <w:r>
        <w:rPr>
          <w:rFonts w:ascii="Calibri" w:hAnsi="Calibri"/>
          <w:b w:val="0"/>
          <w:i w:val="0"/>
          <w:color w:val="1D2939"/>
          <w:sz w:val="21"/>
        </w:rPr>
        <w:t>Las reglas deportivas contemplan solicitudes antes del inicio en determinados casos. Las apuestas en vivo generalmente no admiten cancelación por solicitud del cliente.</w:t>
      </w:r>
      <w:r>
        <w:rPr>
          <w:rFonts w:ascii="Calibri" w:hAnsi="Calibri"/>
          <w:b/>
          <w:i w:val="0"/>
          <w:color w:val="105091"/>
          <w:sz w:val="18"/>
        </w:rPr>
        <w:t xml:space="preserve">  [F2]</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Revisar deporte, boleto y si el evento ya inició.</w:t>
      </w:r>
    </w:p>
    <w:p>
      <w:pPr>
        <w:spacing w:before="120" w:after="40"/>
        <w:keepNext/>
      </w:pPr>
      <w:r>
        <w:rPr>
          <w:rFonts w:ascii="Calibri" w:hAnsi="Calibri"/>
          <w:b/>
          <w:i w:val="0"/>
          <w:color w:val="072D57"/>
          <w:sz w:val="22"/>
        </w:rPr>
        <w:t>¿Cuál es el resultado válido si otro sitio muestra algo distinto?</w:t>
      </w:r>
    </w:p>
    <w:p>
      <w:pPr>
        <w:spacing w:after="60" w:line="288" w:lineRule="auto"/>
        <w:ind w:left="259"/>
      </w:pPr>
      <w:r>
        <w:rPr>
          <w:rFonts w:ascii="Calibri" w:hAnsi="Calibri"/>
          <w:b w:val="0"/>
          <w:i w:val="0"/>
          <w:color w:val="1D2939"/>
          <w:sz w:val="21"/>
        </w:rPr>
        <w:t>Para liquidar la apuesta se toma la fuente oficial de la competencia o el proveedor de Betxico, no páginas externas de resultados.</w:t>
      </w:r>
      <w:r>
        <w:rPr>
          <w:rFonts w:ascii="Calibri" w:hAnsi="Calibri"/>
          <w:b/>
          <w:i w:val="0"/>
          <w:color w:val="105091"/>
          <w:sz w:val="18"/>
        </w:rPr>
        <w:t xml:space="preserve">  [F2]</w:t>
      </w:r>
    </w:p>
    <w:p>
      <w:pPr>
        <w:spacing w:before="120" w:after="40"/>
        <w:keepNext/>
      </w:pPr>
      <w:r>
        <w:rPr>
          <w:rFonts w:ascii="Calibri" w:hAnsi="Calibri"/>
          <w:b/>
          <w:i w:val="0"/>
          <w:color w:val="072D57"/>
          <w:sz w:val="22"/>
        </w:rPr>
        <w:t>¿Puedo cambiar mi nombre?</w:t>
      </w:r>
    </w:p>
    <w:p>
      <w:pPr>
        <w:spacing w:after="60" w:line="288" w:lineRule="auto"/>
        <w:ind w:left="259"/>
      </w:pPr>
      <w:r>
        <w:rPr>
          <w:rFonts w:ascii="Calibri" w:hAnsi="Calibri"/>
          <w:b w:val="0"/>
          <w:i w:val="0"/>
          <w:color w:val="1D2939"/>
          <w:sz w:val="21"/>
        </w:rPr>
        <w:t>El nombre y apellidos registrados solo pueden modificarse en casos excepcionales justificados y con validación documental.</w:t>
      </w:r>
      <w:r>
        <w:rPr>
          <w:rFonts w:ascii="Calibri" w:hAnsi="Calibri"/>
          <w:b/>
          <w:i w:val="0"/>
          <w:color w:val="105091"/>
          <w:sz w:val="18"/>
        </w:rPr>
        <w:t xml:space="preserve">  [F1]</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Escalar al proceso de corrección de identidad.</w:t>
      </w:r>
    </w:p>
    <w:p>
      <w:pPr>
        <w:spacing w:before="120" w:after="40"/>
        <w:keepNext/>
      </w:pPr>
      <w:r>
        <w:rPr>
          <w:rFonts w:ascii="Calibri" w:hAnsi="Calibri"/>
          <w:b/>
          <w:i w:val="0"/>
          <w:color w:val="072D57"/>
          <w:sz w:val="22"/>
        </w:rPr>
        <w:t>¿Cómo cierro mi cuenta?</w:t>
      </w:r>
    </w:p>
    <w:p>
      <w:pPr>
        <w:spacing w:after="60" w:line="288" w:lineRule="auto"/>
        <w:ind w:left="259"/>
      </w:pPr>
      <w:r>
        <w:rPr>
          <w:rFonts w:ascii="Calibri" w:hAnsi="Calibri"/>
          <w:b w:val="0"/>
          <w:i w:val="0"/>
          <w:color w:val="1D2939"/>
          <w:sz w:val="21"/>
        </w:rPr>
        <w:t>La página de juego consciente describe el cierre como definitivo. Antes de confirmarlo se deben revisar saldo, apuestas abiertas y retiros pendientes.</w:t>
      </w:r>
      <w:r>
        <w:rPr>
          <w:rFonts w:ascii="Calibri" w:hAnsi="Calibri"/>
          <w:b/>
          <w:i w:val="0"/>
          <w:color w:val="105091"/>
          <w:sz w:val="18"/>
        </w:rPr>
        <w:t xml:space="preserve">  [F8/F9]</w:t>
      </w:r>
    </w:p>
    <w:p>
      <w:pPr>
        <w:spacing w:after="120"/>
        <w:ind w:left="259"/>
      </w:pPr>
      <w:r>
        <w:rPr>
          <w:rFonts w:ascii="Calibri" w:hAnsi="Calibri"/>
          <w:b/>
          <w:i w:val="0"/>
          <w:color w:val="F04C18"/>
          <w:sz w:val="19"/>
        </w:rPr>
        <w:t xml:space="preserve">Verificar antes de responder: </w:t>
      </w:r>
      <w:r>
        <w:rPr>
          <w:rFonts w:ascii="Calibri" w:hAnsi="Calibri"/>
          <w:b w:val="0"/>
          <w:i w:val="0"/>
          <w:color w:val="586778"/>
          <w:sz w:val="19"/>
        </w:rPr>
        <w:t>Aplicar el proceso humano de cierre; nunca ejecutar automáticamente.</w:t>
      </w:r>
    </w:p>
    <w:p>
      <w:pPr>
        <w:spacing w:before="120" w:after="40"/>
        <w:keepNext/>
      </w:pPr>
      <w:r>
        <w:rPr>
          <w:rFonts w:ascii="Calibri" w:hAnsi="Calibri"/>
          <w:b/>
          <w:i w:val="0"/>
          <w:color w:val="072D57"/>
          <w:sz w:val="22"/>
        </w:rPr>
        <w:t>¿Cómo dejo de recibir promociones?</w:t>
      </w:r>
    </w:p>
    <w:p>
      <w:pPr>
        <w:spacing w:after="60" w:line="288" w:lineRule="auto"/>
        <w:ind w:left="259"/>
      </w:pPr>
      <w:r>
        <w:rPr>
          <w:rFonts w:ascii="Calibri" w:hAnsi="Calibri"/>
          <w:b w:val="0"/>
          <w:i w:val="0"/>
          <w:color w:val="1D2939"/>
          <w:sz w:val="21"/>
        </w:rPr>
        <w:t>Puede solicitar la baja desde el enlace de los correos, el chat o el canal oficial de privacidad.</w:t>
      </w:r>
      <w:r>
        <w:rPr>
          <w:rFonts w:ascii="Calibri" w:hAnsi="Calibri"/>
          <w:b/>
          <w:i w:val="0"/>
          <w:color w:val="105091"/>
          <w:sz w:val="18"/>
        </w:rPr>
        <w:t xml:space="preserve">  [F10]</w:t>
      </w:r>
    </w:p>
    <w:p>
      <w:pPr>
        <w:pStyle w:val="Heading1"/>
        <w:keepNext/>
      </w:pPr>
      <w:r>
        <w:t>16. Inconsistencias y datos variables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528"/>
            <w:shd w:fill="072D57"/>
            <w:tcMar>
              <w:top w:w="100" w:type="dxa"/>
              <w:start w:w="120" w:type="dxa"/>
              <w:bottom w:w="100" w:type="dxa"/>
              <w:end w:w="120" w:type="dxa"/>
            </w:tcMar>
            <w:vAlign w:val="center"/>
          </w:tcPr>
          <w:p>
            <w:pPr>
              <w:jc w:val="left"/>
            </w:pPr>
            <w:r>
              <w:rPr>
                <w:rFonts w:ascii="Calibri" w:hAnsi="Calibri"/>
                <w:b/>
                <w:i w:val="0"/>
                <w:color w:val="FFFFFF"/>
                <w:sz w:val="19"/>
              </w:rPr>
              <w:t>Hallazgo</w:t>
            </w:r>
          </w:p>
        </w:tc>
        <w:tc>
          <w:tcPr>
            <w:tcW w:type="dxa" w:w="5832"/>
            <w:shd w:fill="072D57"/>
            <w:tcMar>
              <w:top w:w="100" w:type="dxa"/>
              <w:start w:w="120" w:type="dxa"/>
              <w:bottom w:w="100" w:type="dxa"/>
              <w:end w:w="120" w:type="dxa"/>
            </w:tcMar>
            <w:vAlign w:val="center"/>
          </w:tcPr>
          <w:p>
            <w:pPr>
              <w:jc w:val="left"/>
            </w:pPr>
            <w:r>
              <w:rPr>
                <w:rFonts w:ascii="Calibri" w:hAnsi="Calibri"/>
                <w:b/>
                <w:i w:val="0"/>
                <w:color w:val="FFFFFF"/>
                <w:sz w:val="19"/>
              </w:rPr>
              <w:t>Tratamiento de soporte</w:t>
            </w:r>
          </w:p>
        </w:tc>
      </w:tr>
      <w:tr>
        <w:tc>
          <w:tcPr>
            <w:tcW w:type="dxa" w:w="3528"/>
            <w:tcMar>
              <w:top w:w="100" w:type="dxa"/>
              <w:start w:w="120" w:type="dxa"/>
              <w:bottom w:w="100" w:type="dxa"/>
              <w:end w:w="120" w:type="dxa"/>
            </w:tcMar>
            <w:vAlign w:val="center"/>
          </w:tcPr>
          <w:p>
            <w:pPr>
              <w:spacing w:after="0" w:line="264" w:lineRule="auto"/>
            </w:pPr>
            <w:r>
              <w:rPr>
                <w:rFonts w:ascii="Calibri" w:hAnsi="Calibri"/>
                <w:b w:val="0"/>
                <w:i w:val="0"/>
                <w:color w:val="1D2939"/>
                <w:sz w:val="19"/>
              </w:rPr>
              <w:t>Página sin sesión vs. vista autenticada</w:t>
            </w:r>
          </w:p>
        </w:tc>
        <w:tc>
          <w:tcPr>
            <w:tcW w:type="dxa" w:w="5832"/>
            <w:tcMar>
              <w:top w:w="100" w:type="dxa"/>
              <w:start w:w="120" w:type="dxa"/>
              <w:bottom w:w="100" w:type="dxa"/>
              <w:end w:w="120" w:type="dxa"/>
            </w:tcMar>
            <w:vAlign w:val="center"/>
          </w:tcPr>
          <w:p>
            <w:pPr>
              <w:spacing w:after="0" w:line="264" w:lineRule="auto"/>
            </w:pPr>
            <w:r>
              <w:rPr>
                <w:rFonts w:ascii="Calibri" w:hAnsi="Calibri"/>
                <w:b w:val="0"/>
                <w:i w:val="0"/>
                <w:color w:val="1D2939"/>
                <w:sz w:val="19"/>
              </w:rPr>
              <w:t>La extracción pública puede mostrar que no hay ofertas, mientras la cuenta autenticada muestra cuatro. Verificar siempre las promociones habilitadas en la cuenta.</w:t>
            </w:r>
          </w:p>
        </w:tc>
      </w:tr>
      <w:tr>
        <w:tc>
          <w:tcPr>
            <w:tcW w:type="dxa" w:w="352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Bono $100: “mínimo $100” vs. “mayor a $100”</w:t>
            </w:r>
          </w:p>
        </w:tc>
        <w:tc>
          <w:tcPr>
            <w:tcW w:type="dxa" w:w="583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No garantizar elegibilidad para un depósito exacto de $100; consultar la oferta o escalar.</w:t>
            </w:r>
          </w:p>
        </w:tc>
      </w:tr>
      <w:tr>
        <w:tc>
          <w:tcPr>
            <w:tcW w:type="dxa" w:w="3528"/>
            <w:tcMar>
              <w:top w:w="100" w:type="dxa"/>
              <w:start w:w="120" w:type="dxa"/>
              <w:bottom w:w="100" w:type="dxa"/>
              <w:end w:w="120" w:type="dxa"/>
            </w:tcMar>
            <w:vAlign w:val="center"/>
          </w:tcPr>
          <w:p>
            <w:pPr>
              <w:spacing w:after="0" w:line="264" w:lineRule="auto"/>
            </w:pPr>
            <w:r>
              <w:rPr>
                <w:rFonts w:ascii="Calibri" w:hAnsi="Calibri"/>
                <w:b w:val="0"/>
                <w:i w:val="0"/>
                <w:color w:val="1D2939"/>
                <w:sz w:val="19"/>
              </w:rPr>
              <w:t>10% Extra: detalle de $150 vs. tarjeta de más de $200</w:t>
            </w:r>
          </w:p>
        </w:tc>
        <w:tc>
          <w:tcPr>
            <w:tcW w:type="dxa" w:w="5832"/>
            <w:tcMar>
              <w:top w:w="100" w:type="dxa"/>
              <w:start w:w="120" w:type="dxa"/>
              <w:bottom w:w="100" w:type="dxa"/>
              <w:end w:w="120" w:type="dxa"/>
            </w:tcMar>
            <w:vAlign w:val="center"/>
          </w:tcPr>
          <w:p>
            <w:pPr>
              <w:spacing w:after="0" w:line="264" w:lineRule="auto"/>
            </w:pPr>
            <w:r>
              <w:rPr>
                <w:rFonts w:ascii="Calibri" w:hAnsi="Calibri"/>
                <w:b w:val="0"/>
                <w:i w:val="0"/>
                <w:color w:val="1D2939"/>
                <w:sz w:val="19"/>
              </w:rPr>
              <w:t>La regla abierta exige segundo depósito igual o mayor a $150. Informar el detalle vigente y registrar/corregir la tarjeta contradictoria.</w:t>
            </w:r>
          </w:p>
        </w:tc>
      </w:tr>
      <w:tr>
        <w:tc>
          <w:tcPr>
            <w:tcW w:type="dxa" w:w="352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10% Extra: solo Casino vs. referencia deportiva general</w:t>
            </w:r>
          </w:p>
        </w:tc>
        <w:tc>
          <w:tcPr>
            <w:tcW w:type="dxa" w:w="583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La regla específica autenticada dice solo tragamonedas. No extenderla a Deportes.</w:t>
            </w:r>
          </w:p>
        </w:tc>
      </w:tr>
      <w:tr>
        <w:tc>
          <w:tcPr>
            <w:tcW w:type="dxa" w:w="3528"/>
            <w:tcMar>
              <w:top w:w="100" w:type="dxa"/>
              <w:start w:w="120" w:type="dxa"/>
              <w:bottom w:w="100" w:type="dxa"/>
              <w:end w:w="120" w:type="dxa"/>
            </w:tcMar>
            <w:vAlign w:val="center"/>
          </w:tcPr>
          <w:p>
            <w:pPr>
              <w:spacing w:after="0" w:line="264" w:lineRule="auto"/>
            </w:pPr>
            <w:r>
              <w:rPr>
                <w:rFonts w:ascii="Calibri" w:hAnsi="Calibri"/>
                <w:b w:val="0"/>
                <w:i w:val="0"/>
                <w:color w:val="1D2939"/>
                <w:sz w:val="19"/>
              </w:rPr>
              <w:t>Vigencias: fecha de ficha vs. pie legal</w:t>
            </w:r>
          </w:p>
        </w:tc>
        <w:tc>
          <w:tcPr>
            <w:tcW w:type="dxa" w:w="5832"/>
            <w:tcMar>
              <w:top w:w="100" w:type="dxa"/>
              <w:start w:w="120" w:type="dxa"/>
              <w:bottom w:w="100" w:type="dxa"/>
              <w:end w:w="120" w:type="dxa"/>
            </w:tcMar>
            <w:vAlign w:val="center"/>
          </w:tcPr>
          <w:p>
            <w:pPr>
              <w:spacing w:after="0" w:line="264" w:lineRule="auto"/>
            </w:pPr>
            <w:r>
              <w:rPr>
                <w:rFonts w:ascii="Calibri" w:hAnsi="Calibri"/>
                <w:b w:val="0"/>
                <w:i w:val="0"/>
                <w:color w:val="1D2939"/>
                <w:sz w:val="19"/>
              </w:rPr>
              <w:t>Confirmar disponibilidad real; no prometer por una fecha aislada.</w:t>
            </w:r>
          </w:p>
        </w:tc>
      </w:tr>
      <w:tr>
        <w:tc>
          <w:tcPr>
            <w:tcW w:type="dxa" w:w="352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Retiro máximo: “$35,000 diarios” y “período de 30 días”</w:t>
            </w:r>
          </w:p>
        </w:tc>
        <w:tc>
          <w:tcPr>
            <w:tcW w:type="dxa" w:w="583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La frase es ambigua. No interpretar un acumulado mensual sin confirmación de Operaciones.</w:t>
            </w:r>
          </w:p>
        </w:tc>
      </w:tr>
      <w:tr>
        <w:tc>
          <w:tcPr>
            <w:tcW w:type="dxa" w:w="3528"/>
            <w:tcMar>
              <w:top w:w="100" w:type="dxa"/>
              <w:start w:w="120" w:type="dxa"/>
              <w:bottom w:w="100" w:type="dxa"/>
              <w:end w:w="120" w:type="dxa"/>
            </w:tcMar>
            <w:vAlign w:val="center"/>
          </w:tcPr>
          <w:p>
            <w:pPr>
              <w:spacing w:after="0" w:line="264" w:lineRule="auto"/>
            </w:pPr>
            <w:r>
              <w:rPr>
                <w:rFonts w:ascii="Calibri" w:hAnsi="Calibri"/>
                <w:b w:val="0"/>
                <w:i w:val="0"/>
                <w:color w:val="1D2939"/>
                <w:sz w:val="19"/>
              </w:rPr>
              <w:t>Métodos, mínimos y límites visibles</w:t>
            </w:r>
          </w:p>
        </w:tc>
        <w:tc>
          <w:tcPr>
            <w:tcW w:type="dxa" w:w="5832"/>
            <w:tcMar>
              <w:top w:w="100" w:type="dxa"/>
              <w:start w:w="120" w:type="dxa"/>
              <w:bottom w:w="100" w:type="dxa"/>
              <w:end w:w="120" w:type="dxa"/>
            </w:tcMar>
            <w:vAlign w:val="center"/>
          </w:tcPr>
          <w:p>
            <w:pPr>
              <w:spacing w:after="0" w:line="264" w:lineRule="auto"/>
            </w:pPr>
            <w:r>
              <w:rPr>
                <w:rFonts w:ascii="Calibri" w:hAnsi="Calibri"/>
                <w:b w:val="0"/>
                <w:i w:val="0"/>
                <w:color w:val="1D2939"/>
                <w:sz w:val="19"/>
              </w:rPr>
              <w:t>Pueden cambiar por proveedor o cuenta. Confirmar en la pantalla transaccional antes de responder.</w:t>
            </w:r>
          </w:p>
        </w:tc>
      </w:tr>
      <w:tr>
        <w:tc>
          <w:tcPr>
            <w:tcW w:type="dxa" w:w="3528"/>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Errores de traducción/redacción en reglas</w:t>
            </w:r>
          </w:p>
        </w:tc>
        <w:tc>
          <w:tcPr>
            <w:tcW w:type="dxa" w:w="5832"/>
            <w:tcMar>
              <w:top w:w="100" w:type="dxa"/>
              <w:start w:w="120" w:type="dxa"/>
              <w:bottom w:w="100" w:type="dxa"/>
              <w:end w:w="120" w:type="dxa"/>
            </w:tcMar>
            <w:vAlign w:val="center"/>
            <w:shd w:fill="F4F6F8"/>
          </w:tcPr>
          <w:p>
            <w:pPr>
              <w:spacing w:after="0" w:line="264" w:lineRule="auto"/>
            </w:pPr>
            <w:r>
              <w:rPr>
                <w:rFonts w:ascii="Calibri" w:hAnsi="Calibri"/>
                <w:b w:val="0"/>
                <w:i w:val="0"/>
                <w:color w:val="1D2939"/>
                <w:sz w:val="19"/>
              </w:rPr>
              <w:t>Aplicar el mercado exacto y escalar si el texto puede cambiar la liquidación.</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878"/>
            <w:shd w:fill="E8F0F8"/>
            <w:tcMar>
              <w:top w:w="140" w:type="dxa"/>
              <w:start w:w="180" w:type="dxa"/>
              <w:bottom w:w="140" w:type="dxa"/>
              <w:end w:w="180" w:type="dxa"/>
            </w:tcMar>
          </w:tcPr>
          <w:p>
            <w:pPr>
              <w:spacing w:after="60"/>
            </w:pPr>
            <w:r>
              <w:rPr>
                <w:rFonts w:ascii="Calibri" w:hAnsi="Calibri"/>
                <w:b/>
                <w:i w:val="0"/>
                <w:color w:val="105091"/>
                <w:sz w:val="22"/>
              </w:rPr>
              <w:t>CONTROL DE CAMBIOS</w:t>
            </w:r>
          </w:p>
          <w:p>
            <w:pPr>
              <w:spacing w:after="0" w:line="288" w:lineRule="auto"/>
            </w:pPr>
            <w:r>
              <w:rPr>
                <w:rFonts w:ascii="Calibri" w:hAnsi="Calibri"/>
                <w:b w:val="0"/>
                <w:i w:val="0"/>
                <w:color w:val="1D2939"/>
                <w:sz w:val="21"/>
              </w:rPr>
              <w:t>Revisar las fuentes mensualmente y cada vez que se publique una promoción. Registrar fecha, URL, texto que cambió y respuesta operativa aprobada.</w:t>
            </w:r>
          </w:p>
        </w:tc>
      </w:tr>
    </w:tbl>
    <w:p>
      <w:pPr>
        <w:spacing w:after="20"/>
      </w:pPr>
    </w:p>
    <w:p>
      <w:pPr>
        <w:pStyle w:val="Heading1"/>
        <w:keepNext/>
      </w:pPr>
      <w:r>
        <w:t>17. Registro de fuentes oficiales</w:t>
      </w:r>
    </w:p>
    <w:p>
      <w:pPr>
        <w:spacing w:before="0" w:after="120" w:line="300" w:lineRule="auto"/>
      </w:pPr>
      <w:r>
        <w:rPr>
          <w:rFonts w:ascii="Calibri" w:hAnsi="Calibri"/>
          <w:b w:val="0"/>
          <w:i w:val="0"/>
          <w:color w:val="1D2939"/>
          <w:sz w:val="22"/>
        </w:rPr>
        <w:t>Todos los enlaces siguientes pertenecen al dominio público de Betxico. Las páginas pueden modificarse; la fecha de consulta es parte de la evidencia.</w:t>
      </w:r>
    </w:p>
    <w:p>
      <w:pPr>
        <w:spacing w:after="40"/>
      </w:pPr>
      <w:r>
        <w:rPr>
          <w:rFonts w:ascii="Calibri" w:hAnsi="Calibri"/>
          <w:b/>
          <w:i w:val="0"/>
          <w:color w:val="072D57"/>
          <w:sz w:val="21"/>
        </w:rPr>
        <w:t>F1  Términos y Condiciones Generales</w:t>
      </w:r>
    </w:p>
    <w:p>
      <w:pPr>
        <w:spacing w:after="20"/>
        <w:ind w:left="403"/>
      </w:pPr>
      <w:hyperlink r:id="rId11">
        <w:r>
          <w:rPr>
            <w:color w:val="105091"/>
            <w:u w:val="single"/>
          </w:rPr>
          <w:t>https://www.betxico.mx/termos-e-condicoes</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F2  Reglas y Procedimientos de Deportes</w:t>
      </w:r>
    </w:p>
    <w:p>
      <w:pPr>
        <w:spacing w:after="20"/>
        <w:ind w:left="403"/>
      </w:pPr>
      <w:hyperlink r:id="rId12">
        <w:r>
          <w:rPr>
            <w:color w:val="105091"/>
            <w:u w:val="single"/>
          </w:rPr>
          <w:t>https://www.betxico.mx/regras-procedimentos</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F3  Promociones</w:t>
      </w:r>
    </w:p>
    <w:p>
      <w:pPr>
        <w:spacing w:after="20"/>
        <w:ind w:left="403"/>
      </w:pPr>
      <w:hyperlink r:id="rId13">
        <w:r>
          <w:rPr>
            <w:color w:val="105091"/>
            <w:u w:val="single"/>
          </w:rPr>
          <w:t>https://www.betxico.mx/promociones</w:t>
        </w:r>
      </w:hyperlink>
    </w:p>
    <w:p>
      <w:pPr>
        <w:spacing w:after="120"/>
        <w:ind w:left="403"/>
      </w:pPr>
      <w:r>
        <w:rPr>
          <w:rFonts w:ascii="Calibri" w:hAnsi="Calibri"/>
          <w:b w:val="0"/>
          <w:i/>
          <w:color w:val="586778"/>
          <w:sz w:val="19"/>
        </w:rPr>
        <w:t>Vista autenticada aportada por el operador el 13 de agosto de 2026</w:t>
      </w:r>
    </w:p>
    <w:p>
      <w:pPr>
        <w:spacing w:after="40"/>
      </w:pPr>
      <w:r>
        <w:rPr>
          <w:rFonts w:ascii="Calibri" w:hAnsi="Calibri"/>
          <w:b/>
          <w:i w:val="0"/>
          <w:color w:val="072D57"/>
          <w:sz w:val="21"/>
        </w:rPr>
        <w:t>F4  Bono de $100 con primer depósito</w:t>
      </w:r>
    </w:p>
    <w:p>
      <w:pPr>
        <w:spacing w:after="20"/>
        <w:ind w:left="403"/>
      </w:pPr>
      <w:hyperlink r:id="rId14">
        <w:r>
          <w:rPr>
            <w:color w:val="105091"/>
            <w:u w:val="single"/>
          </w:rPr>
          <w:t>https://www.betxico.mx/promociones/100REGALOP</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F5  10% Extra solo Casino</w:t>
      </w:r>
    </w:p>
    <w:p>
      <w:pPr>
        <w:spacing w:after="20"/>
        <w:ind w:left="403"/>
      </w:pPr>
      <w:hyperlink r:id="rId13">
        <w:r>
          <w:rPr>
            <w:color w:val="105091"/>
            <w:u w:val="single"/>
          </w:rPr>
          <w:t>https://www.betxico.mx/promociones</w:t>
        </w:r>
      </w:hyperlink>
    </w:p>
    <w:p>
      <w:pPr>
        <w:spacing w:after="120"/>
        <w:ind w:left="403"/>
      </w:pPr>
      <w:r>
        <w:rPr>
          <w:rFonts w:ascii="Calibri" w:hAnsi="Calibri"/>
          <w:b w:val="0"/>
          <w:i/>
          <w:color w:val="586778"/>
          <w:sz w:val="19"/>
        </w:rPr>
        <w:t>Detalle autenticado verificado el 13 de agosto de 2026</w:t>
      </w:r>
    </w:p>
    <w:p>
      <w:pPr>
        <w:spacing w:after="40"/>
      </w:pPr>
      <w:r>
        <w:rPr>
          <w:rFonts w:ascii="Calibri" w:hAnsi="Calibri"/>
          <w:b/>
          <w:i w:val="0"/>
          <w:color w:val="072D57"/>
          <w:sz w:val="21"/>
        </w:rPr>
        <w:t>F6  Pago Anticipado</w:t>
      </w:r>
    </w:p>
    <w:p>
      <w:pPr>
        <w:spacing w:after="20"/>
        <w:ind w:left="403"/>
      </w:pPr>
      <w:hyperlink r:id="rId15">
        <w:r>
          <w:rPr>
            <w:color w:val="105091"/>
            <w:u w:val="single"/>
          </w:rPr>
          <w:t>https://www.betxico.mx/promociones/PAGOANTICIPADO2</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F7  Mega Impulsos</w:t>
      </w:r>
    </w:p>
    <w:p>
      <w:pPr>
        <w:spacing w:after="20"/>
        <w:ind w:left="403"/>
      </w:pPr>
      <w:hyperlink r:id="rId13">
        <w:r>
          <w:rPr>
            <w:color w:val="105091"/>
            <w:u w:val="single"/>
          </w:rPr>
          <w:t>https://www.betxico.mx/promociones</w:t>
        </w:r>
      </w:hyperlink>
    </w:p>
    <w:p>
      <w:pPr>
        <w:spacing w:after="120"/>
        <w:ind w:left="403"/>
      </w:pPr>
      <w:r>
        <w:rPr>
          <w:rFonts w:ascii="Calibri" w:hAnsi="Calibri"/>
          <w:b w:val="0"/>
          <w:i/>
          <w:color w:val="586778"/>
          <w:sz w:val="19"/>
        </w:rPr>
        <w:t>Detalle autenticado verificado el 13 de agosto de 2026</w:t>
      </w:r>
    </w:p>
    <w:p>
      <w:pPr>
        <w:spacing w:after="40"/>
      </w:pPr>
      <w:r>
        <w:rPr>
          <w:rFonts w:ascii="Calibri" w:hAnsi="Calibri"/>
          <w:b/>
          <w:i w:val="0"/>
          <w:color w:val="072D57"/>
          <w:sz w:val="21"/>
        </w:rPr>
        <w:t>F8  Juego Consciente</w:t>
      </w:r>
    </w:p>
    <w:p>
      <w:pPr>
        <w:spacing w:after="20"/>
        <w:ind w:left="403"/>
      </w:pPr>
      <w:hyperlink r:id="rId16">
        <w:r>
          <w:rPr>
            <w:color w:val="105091"/>
            <w:u w:val="single"/>
          </w:rPr>
          <w:t>https://www.betxico.mx/juego-responsable</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F9  Herramientas de Juego Consciente</w:t>
      </w:r>
    </w:p>
    <w:p>
      <w:pPr>
        <w:spacing w:after="20"/>
        <w:ind w:left="403"/>
      </w:pPr>
      <w:hyperlink r:id="rId17">
        <w:r>
          <w:rPr>
            <w:color w:val="105091"/>
            <w:u w:val="single"/>
          </w:rPr>
          <w:t>https://www.betxico.mx/juego-responsable/herramientas-utiles</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F10  Política de Protección de Datos</w:t>
      </w:r>
    </w:p>
    <w:p>
      <w:pPr>
        <w:spacing w:after="20"/>
        <w:ind w:left="403"/>
      </w:pPr>
      <w:hyperlink r:id="rId18">
        <w:r>
          <w:rPr>
            <w:color w:val="105091"/>
            <w:u w:val="single"/>
          </w:rPr>
          <w:t>https://www.betxico.mx/politica-de-privacidade</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F11  Cómo apostar</w:t>
      </w:r>
    </w:p>
    <w:p>
      <w:pPr>
        <w:spacing w:after="20"/>
        <w:ind w:left="403"/>
      </w:pPr>
      <w:hyperlink r:id="rId19">
        <w:r>
          <w:rPr>
            <w:color w:val="105091"/>
            <w:u w:val="single"/>
          </w:rPr>
          <w:t>https://www.betxico.mx/como-apostar</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F12  Canales de Servicio</w:t>
      </w:r>
    </w:p>
    <w:p>
      <w:pPr>
        <w:spacing w:after="20"/>
        <w:ind w:left="403"/>
      </w:pPr>
      <w:hyperlink r:id="rId20">
        <w:r>
          <w:rPr>
            <w:color w:val="105091"/>
            <w:u w:val="single"/>
          </w:rPr>
          <w:t>https://www.betxico.mx/atendimento</w:t>
        </w:r>
      </w:hyperlink>
    </w:p>
    <w:p>
      <w:pPr>
        <w:spacing w:after="120"/>
        <w:ind w:left="403"/>
      </w:pPr>
      <w:r>
        <w:rPr>
          <w:rFonts w:ascii="Calibri" w:hAnsi="Calibri"/>
          <w:b w:val="0"/>
          <w:i/>
          <w:color w:val="586778"/>
          <w:sz w:val="19"/>
        </w:rPr>
        <w:t>Consultado el 13 de agosto de 2026</w:t>
      </w:r>
    </w:p>
    <w:p>
      <w:pPr>
        <w:spacing w:after="40"/>
      </w:pPr>
      <w:r>
        <w:rPr>
          <w:rFonts w:ascii="Calibri" w:hAnsi="Calibri"/>
          <w:b/>
          <w:i w:val="0"/>
          <w:color w:val="072D57"/>
          <w:sz w:val="21"/>
        </w:rPr>
        <w:t>F13  Depósitos</w:t>
      </w:r>
    </w:p>
    <w:p>
      <w:pPr>
        <w:spacing w:after="20"/>
        <w:ind w:left="403"/>
      </w:pPr>
      <w:hyperlink r:id="rId21">
        <w:r>
          <w:rPr>
            <w:color w:val="105091"/>
            <w:u w:val="single"/>
          </w:rPr>
          <w:t>https://www.betxico.mx/deposito</w:t>
        </w:r>
      </w:hyperlink>
    </w:p>
    <w:p>
      <w:pPr>
        <w:spacing w:after="120"/>
        <w:ind w:left="403"/>
      </w:pPr>
      <w:r>
        <w:rPr>
          <w:rFonts w:ascii="Calibri" w:hAnsi="Calibri"/>
          <w:b w:val="0"/>
          <w:i/>
          <w:color w:val="586778"/>
          <w:sz w:val="19"/>
        </w:rPr>
        <w:t>Consultado el 13 de agosto de 2026</w:t>
      </w:r>
    </w:p>
    <w:p>
      <w:pPr>
        <w:spacing w:before="80" w:after="0" w:line="300" w:lineRule="auto"/>
      </w:pPr>
      <w:r>
        <w:rPr>
          <w:rFonts w:ascii="Calibri" w:hAnsi="Calibri"/>
          <w:b w:val="0"/>
          <w:i/>
          <w:color w:val="586778"/>
          <w:sz w:val="18"/>
        </w:rPr>
        <w:t>Nota de uso: esta guía resume información pública. Si difiere de la página vigente, prevalece la fuente oficial actual. Cuando la duda dependa del caso del cliente, prevalecen la evidencia autorizada de los sistemas operativos y la decisión del área responsable.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778"/>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072D57"/>
        <w:sz w:val="17"/>
      </w:rPr>
      <w:t>BETXICO | GUÍA INTERNA DE SOPORTE</w:t>
    </w:r>
    <w:r>
      <w:rPr>
        <w:rFonts w:ascii="Calibri" w:hAnsi="Calibri"/>
        <w:b w:val="0"/>
        <w:i w:val="0"/>
        <w:color w:val="586778"/>
        <w:sz w:val="17"/>
      </w:rPr>
      <w:t xml:space="preserve">   •   Revisión 13 ago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0509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50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2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etxico.mx/termos-e-condicoes" TargetMode="External"/><Relationship Id="rId12" Type="http://schemas.openxmlformats.org/officeDocument/2006/relationships/hyperlink" Target="https://www.betxico.mx/regras-procedimentos" TargetMode="External"/><Relationship Id="rId13" Type="http://schemas.openxmlformats.org/officeDocument/2006/relationships/hyperlink" Target="https://www.betxico.mx/promociones" TargetMode="External"/><Relationship Id="rId14" Type="http://schemas.openxmlformats.org/officeDocument/2006/relationships/hyperlink" Target="https://www.betxico.mx/promociones/100REGALOP" TargetMode="External"/><Relationship Id="rId15" Type="http://schemas.openxmlformats.org/officeDocument/2006/relationships/hyperlink" Target="https://www.betxico.mx/promociones/PAGOANTICIPADO2" TargetMode="External"/><Relationship Id="rId16" Type="http://schemas.openxmlformats.org/officeDocument/2006/relationships/hyperlink" Target="https://www.betxico.mx/juego-responsable" TargetMode="External"/><Relationship Id="rId17" Type="http://schemas.openxmlformats.org/officeDocument/2006/relationships/hyperlink" Target="https://www.betxico.mx/juego-responsable/herramientas-utiles" TargetMode="External"/><Relationship Id="rId18" Type="http://schemas.openxmlformats.org/officeDocument/2006/relationships/hyperlink" Target="https://www.betxico.mx/politica-de-privacidade" TargetMode="External"/><Relationship Id="rId19" Type="http://schemas.openxmlformats.org/officeDocument/2006/relationships/hyperlink" Target="https://www.betxico.mx/como-apostar" TargetMode="External"/><Relationship Id="rId20" Type="http://schemas.openxmlformats.org/officeDocument/2006/relationships/hyperlink" Target="https://www.betxico.mx/atendimento" TargetMode="External"/><Relationship Id="rId21" Type="http://schemas.openxmlformats.org/officeDocument/2006/relationships/hyperlink" Target="https://www.betxico.mx/deposi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