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before="120"/>
        <w:ind/>
        <w:jc w:val="center"/>
        <w:rPr>
          <w:rFonts w:ascii="Open Sans" w:hAnsi="Open Sans" w:eastAsia="Open Sans" w:cs="Open Sans"/>
          <w:b/>
          <w:sz w:val="20"/>
          <w:szCs w:val="20"/>
        </w:rPr>
      </w:pPr>
      <w:r/>
      <w:bookmarkStart w:id="0" w:name="_heading=h.gjdgxs"/>
      <w:r/>
      <w:bookmarkEnd w:id="0"/>
      <w:r>
        <w:rPr>
          <w:rFonts w:ascii="Open Sans" w:hAnsi="Open Sans" w:eastAsia="Open Sans" w:cs="Open Sans"/>
          <w:b/>
          <w:sz w:val="20"/>
          <w:szCs w:val="20"/>
        </w:rPr>
        <w:t xml:space="preserve">SOLICITUD DE PRACTICAS DE CAMPO VINCULADAS A LA DOCENCIA 2025-</w:t>
      </w:r>
      <w:r>
        <w:rPr>
          <w:rFonts w:ascii="Open Sans" w:hAnsi="Open Sans" w:eastAsia="Open Sans" w:cs="Open Sans"/>
          <w:b/>
          <w:sz w:val="20"/>
          <w:szCs w:val="20"/>
        </w:rPr>
        <w:t xml:space="preserve">2</w:t>
      </w:r>
      <w:r>
        <w:rPr>
          <w:rFonts w:ascii="Open Sans" w:hAnsi="Open Sans" w:eastAsia="Open Sans" w:cs="Open Sans"/>
          <w:b/>
          <w:sz w:val="20"/>
          <w:szCs w:val="20"/>
        </w:rPr>
      </w:r>
      <w:r>
        <w:rPr>
          <w:rFonts w:ascii="Open Sans" w:hAnsi="Open Sans" w:eastAsia="Open Sans" w:cs="Open Sans"/>
          <w:b/>
          <w:sz w:val="20"/>
          <w:szCs w:val="20"/>
        </w:rPr>
      </w:r>
    </w:p>
    <w:tbl>
      <w:tblPr>
        <w:tblStyle w:val="1120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77"/>
        <w:gridCol w:w="1018"/>
        <w:gridCol w:w="1589"/>
        <w:gridCol w:w="1073"/>
        <w:gridCol w:w="592"/>
        <w:gridCol w:w="1281"/>
        <w:gridCol w:w="587"/>
      </w:tblGrid>
      <w:tr>
        <w:trPr/>
        <w:tc>
          <w:tcPr>
            <w:gridSpan w:val="7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INFORMACIÓN GENERAL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Carrera: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Licenciatura en Ecolog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Asignatura y grupo: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Ecolog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ía de Poblaciones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Semestre(s):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Núm. de participantes: 12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73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Alumnos: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92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9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281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Profesores: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8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Profesor(a) responsable: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Gerardo Antonio Mart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ín Muñoz de Cote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RFC: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MAMG8103028C6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Nombramiento: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 asociado C de Tiempo Completo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Teléfono y correo electrónico: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618 116 82 37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Destino: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Reserva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partida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18/02/2025, 8:00 am,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regreso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18/02/2025,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11:00 am,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1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60" w:before="60"/>
              <w:ind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DATOS DE LA PRÁCTICA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Lugar de la práctica y tiempo de permanencia en los sitios a visitar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 pr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áctica se realizar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 en la reserva de la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érida, donde el grupo y lxs profesorxs permanecer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án por un per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íodo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áximo de 3h.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Actividades académicas a realizar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Contaremos y mediremos el di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ámetro a la altura del pecho (DAP) de los individuos de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Bursera simaruba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(chak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), con el prop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ósito de estimar densidades poblacionales en dos cuadrantes de 50 x 50 m. Las mediciones de DAP, se utilizar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án para reconstruir una pir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ámide poblacional, y completar a partir de datos de publicaciones de demograf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una tabla de vida para la especie.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Objetivo y justificación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El programa de la asignatura Ecolog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ía de Poblaciones es 100%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áctica, aunque existe necesidad de aprender a implementar en campo algunos de los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étodos de estimaci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par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ámetros demogr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áficos simples como la densidad y abundancia. El programa de Ecolog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ía de Campo II, que se cursa en el mismo semestre, no incluye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ácticas en las que se cuantifiquen los atributos demogr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áficos vistos en el curso, por lo que es necesario que se comiencen a desarrollar esas habilidades.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Los objetivos de la pr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áctica son: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2"/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Aprender a estimar densidades poblacionales con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étodos de distancia.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2"/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Aprender a colectar y organizar datos de estructura poblacional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2"/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Aprender a construir una tabla de vida con los datos colectados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2"/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Aprender a registrar la posici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geogr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áfica de los individuos con un GPS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Productos o resultados a alcanzar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Se redactar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án dos reportes de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áctica, uno sobre los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étodos de distancia, y otro sobre la reconstrucci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las tablas de vida, utilizando las estimaciones de Hern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ández-Apolinar et al. (2006) para completar los par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ámetros que no se colectaron en campo.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Referencias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2"/>
              <w:numPr>
                <w:ilvl w:val="0"/>
                <w:numId w:val="2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Hern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ández-Apolinar et al. (2006). 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Demography of Bursera glabrifolia, a tropical tree used for folk woodcrafting in Southern Mexico: An evaluation of its management plan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. </w:t>
            </w:r>
            <w:r>
              <w:rPr>
                <w:rFonts w:ascii="Arial" w:hAnsi="Arial" w:eastAsia="Arial" w:cs="Arial"/>
                <w:i/>
                <w:iCs/>
                <w:sz w:val="14"/>
                <w:szCs w:val="14"/>
                <w:highlight w:val="none"/>
              </w:rPr>
              <w:t xml:space="preserve">Forest Ecology and Management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. 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doi:10.1016/j.foreco.2005.10.072</w:t>
            </w:r>
            <w:r>
              <w:rPr>
                <w:rFonts w:ascii="Arial" w:hAnsi="Arial" w:eastAsia="Arial" w:cs="Arial"/>
                <w:sz w:val="14"/>
                <w:szCs w:val="14"/>
                <w:highlight w:val="none"/>
              </w:rPr>
              <w:t xml:space="preserve">.</w:t>
            </w:r>
            <w:r>
              <w:rPr>
                <w:rFonts w:ascii="Arial" w:hAnsi="Arial" w:eastAsia="Arial" w:cs="Arial"/>
                <w:sz w:val="14"/>
                <w:szCs w:val="14"/>
              </w:rPr>
            </w:r>
            <w:r>
              <w:rPr>
                <w:rFonts w:ascii="Arial" w:hAnsi="Arial" w:eastAsia="Arial" w:cs="Arial"/>
                <w:sz w:val="14"/>
                <w:szCs w:val="1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/>
      <w:bookmarkStart w:id="1" w:name="_GoBack"/>
      <w:r/>
      <w:bookmarkEnd w:id="1"/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2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ANÁLISIS DE LAS CONDICIONES DE RIESGO DURANTE LA PRÁCTICA (INCLUIR LOS SERVICIOS DE EMERGENCIA MÁS CERCANOS):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IMSS bienestar, Cd. Caucel.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3"/>
        <w:tblW w:w="93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336"/>
      </w:tblGrid>
      <w:tr>
        <w:trPr/>
        <w:tc>
          <w:tcPr>
            <w:gridSpan w:val="2"/>
            <w:shd w:val="clear" w:color="auto" w:fill="dbeef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5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  <w:t xml:space="preserve">EQUIPOS Y MATERIALES TÉCNICOS REQUERIDOS*</w:t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  <w:p>
            <w:pPr>
              <w:pBdr/>
              <w:spacing w:after="60" w:before="60"/>
              <w:ind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/>
            <w:hyperlink r:id="rId14" w:tooltip="https://enesmerida.unam.mx/practicas_campo" w:history="1">
              <w:r>
                <w:rPr>
                  <w:rStyle w:val="1110"/>
                  <w:rFonts w:ascii="Open Sans" w:hAnsi="Open Sans" w:eastAsia="Open Sans" w:cs="Open Sans"/>
                  <w:b/>
                  <w:sz w:val="20"/>
                  <w:szCs w:val="20"/>
                </w:rPr>
                <w:t xml:space="preserve">https://enesmerida.unam.mx/practicas_campo</w:t>
              </w:r>
            </w:hyperlink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18/02/2025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3 GPS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18/02/2025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3 flex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ómetros de 50 m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18/02/2025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3 flex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ómetros de 5 m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 Verificar existencia con área de Prácticas de Campo. Indicar que equipos se requieren de otras áreas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*En caso necesario anexar cotización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4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DATOS DE LOS PARTICIPANTES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Nombre y número de celular de los profesores participantes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1102"/>
              <w:numPr>
                <w:ilvl w:val="0"/>
                <w:numId w:val="3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Rusby Guadalupe Contreras 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íaz,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55 1685 0008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1102"/>
              <w:numPr>
                <w:ilvl w:val="0"/>
                <w:numId w:val="3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Sandra Milena Castaño Quintero,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55 8444 2639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5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8120"/>
      </w:tblGrid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BITACORA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ólo se trabajar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 en la reserva de la ENES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érida.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HORA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EVENTO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4379"/>
        </w:trPr>
        <w:tc>
          <w:tcPr>
            <w:shd w:val="clear" w:color="auto" w:fill="auto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08:00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08:45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10:30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11:00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812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Explicaci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 las actividades y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salida del punto de encuentro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Fin de colecta de datos del primer cuadrante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Fin de colecta de datos del segundo cuadrante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Fin de la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OBSERVACIONES: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Todos los estudiantes participantes en la práctica de campo van y vuelven en el vehículo oficial de la ENES Mérida.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 se aceptan acompañantes ni estudiantes no inscritos en las materias consideradas. No se tolerarán retrasos en las actividades programadas.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6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>
        <w:trPr/>
        <w:tc>
          <w:tcPr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PRESUPUESTO SOLICITADO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>
          <w:trHeight w:val="298"/>
        </w:trPr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$0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3"/>
        </w:trPr>
        <w:tc>
          <w:tcPr>
            <w:shd w:val="clear" w:color="auto" w:fill="ccffff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DESGLOSE DE GASTOS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Transferencia Bancaria a favor de (nombre completo del INE/Pasaporte):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Institución 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Cuenta: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Clabe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Interbancaria: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60" w:before="60" w:line="360" w:lineRule="auto"/>
        <w:ind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                     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Style w:val="1127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52"/>
        <w:gridCol w:w="6265"/>
      </w:tblGrid>
      <w:tr>
        <w:trPr/>
        <w:tc>
          <w:tcPr>
            <w:gridSpan w:val="2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PARA USO DE LA SECRETARÍA TÉCNICA DE LAS LICENCIATURAS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Nota: No es necesario firmar esta sección para el envío de la solicitud.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La firma autógrafa es requerida cuando la práctica es aprobada y además se solicitan recursos (viáticos, jornales)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052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Nombre y firma autógrafa del solicitante: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265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</w:rPr>
      </w:pPr>
      <w:r/>
      <w:bookmarkStart w:id="2" w:name="_heading=h.30j0zll"/>
      <w:r/>
      <w:bookmarkEnd w:id="2"/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5840" w:orient="portrait" w:w="12240"/>
      <w:pgMar w:top="1985" w:right="1325" w:bottom="993" w:left="1559" w:header="0" w:footer="1283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estrial">
    <w:panose1 w:val="05040102010807070707"/>
  </w:font>
  <w:font w:name="Carme">
    <w:panose1 w:val="050401020108070707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Georgia">
    <w:panose1 w:val="020405020504050203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5294376"/>
      <w:docPartObj>
        <w:docPartGallery w:val="Page Numbers (Bottom of Page)"/>
        <w:docPartUnique w:val="true"/>
      </w:docPartObj>
      <w:rPr/>
    </w:sdtPr>
    <w:sdtContent>
      <w:p>
        <w:pPr>
          <w:pStyle w:val="1108"/>
          <w:pBdr/>
          <w:spacing/>
          <w:ind/>
          <w:jc w:val="center"/>
          <w:rPr/>
        </w:pPr>
        <w:r>
          <w:rPr>
            <w:rFonts w:eastAsia="Questrial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4949878</wp:posOffset>
                  </wp:positionH>
                  <wp:positionV relativeFrom="paragraph">
                    <wp:posOffset>107950</wp:posOffset>
                  </wp:positionV>
                  <wp:extent cx="952500" cy="665517"/>
                  <wp:effectExtent l="0" t="0" r="0" b="1270"/>
                  <wp:wrapNone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- OFICIOS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952500" cy="6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z-index:251667456;o:allowoverlap:true;o:allowincell:true;mso-position-horizontal-relative:text;margin-left:389.75pt;mso-position-horizontal:absolute;mso-position-vertical-relative:text;margin-top:8.50pt;mso-position-vertical:absolute;width:75.00pt;height:52.40pt;mso-wrap-distance-left:9.00pt;mso-wrap-distance-top:0.00pt;mso-wrap-distance-right:9.00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108"/>
      <w:pBdr/>
      <w:spacing/>
      <w:ind/>
      <w:jc w:val="right"/>
      <w:rPr>
        <w:rFonts w:eastAsia="Questrial"/>
      </w:rPr>
    </w:pPr>
    <w:r>
      <w:rPr>
        <w:rFonts w:eastAsia="Questrial"/>
      </w:rPr>
    </w:r>
    <w:r>
      <w:rPr>
        <w:rFonts w:eastAsia="Questrial"/>
      </w:rPr>
    </w:r>
    <w:r>
      <w:rPr>
        <w:rFonts w:eastAsia="Questrial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0512967"/>
      <w:docPartObj>
        <w:docPartGallery w:val="Page Numbers (Bottom of Page)"/>
        <w:docPartUnique w:val="true"/>
      </w:docPartObj>
      <w:rPr/>
    </w:sdtPr>
    <w:sdtContent>
      <w:p>
        <w:pPr>
          <w:pStyle w:val="110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180975</wp:posOffset>
              </wp:positionV>
              <wp:extent cx="1158240" cy="617220"/>
              <wp:effectExtent l="0" t="0" r="0" b="0"/>
              <wp:wrapSquare wrapText="bothSides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6432;o:allowoverlap:true;o:allowincell:true;mso-position-horizontal-relative:text;margin-left:373.50pt;mso-position-horizontal:absolute;mso-position-vertical-relative:text;margin-top:14.25pt;mso-position-vertical:absolute;width:91.20pt;height:48.60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866775" cy="771525"/>
              <wp:effectExtent l="0" t="0" r="0" b="0"/>
              <wp:wrapSquare wrapText="bothSides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3360;o:allowoverlap:true;o:allowincell:true;mso-position-horizontal-relative:text;margin-left:0.00pt;mso-position-horizontal:absolute;mso-position-vertical-relative:text;margin-top:14.40pt;mso-position-vertical:absolute;width:68.25pt;height:60.75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640"/>
      </w:tabs>
      <w:spacing/>
      <w:ind w:firstLine="6660"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3</wp:posOffset>
              </wp:positionH>
              <wp:positionV relativeFrom="paragraph">
                <wp:posOffset>22860</wp:posOffset>
              </wp:positionV>
              <wp:extent cx="866775" cy="771525"/>
              <wp:effectExtent l="0" t="0" r="0" b="0"/>
              <wp:wrapSquare wrapText="bothSides"/>
              <wp:docPr id="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59264;o:allowoverlap:true;o:allowincell:true;mso-position-horizontal-relative:text;margin-left:0.00pt;mso-position-horizontal:absolute;mso-position-vertical-relative:text;margin-top:1.80pt;mso-position-vertical:absolute;width:68.25pt;height:60.75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4782820</wp:posOffset>
              </wp:positionH>
              <wp:positionV relativeFrom="paragraph">
                <wp:posOffset>15240</wp:posOffset>
              </wp:positionV>
              <wp:extent cx="1158240" cy="617220"/>
              <wp:effectExtent l="0" t="0" r="0" b="0"/>
              <wp:wrapSquare wrapText="bothSides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251660288;o:allowoverlap:true;o:allowincell:true;mso-position-horizontal-relative:text;margin-left:376.60pt;mso-position-horizontal:absolute;mso-position-vertical-relative:text;margin-top:1.20pt;mso-position-vertical:absolute;width:91.20pt;height:48.60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ES" w:eastAsia="es-MX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8">
    <w:name w:val="Table Grid Light"/>
    <w:basedOn w:val="10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1"/>
    <w:basedOn w:val="10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2"/>
    <w:basedOn w:val="10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1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2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3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4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5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6"/>
    <w:basedOn w:val="10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1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2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3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4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5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6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1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2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3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4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5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6"/>
    <w:basedOn w:val="10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1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2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3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4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5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6"/>
    <w:basedOn w:val="10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3">
    <w:name w:val="Heading 7"/>
    <w:basedOn w:val="1078"/>
    <w:next w:val="1078"/>
    <w:link w:val="10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34">
    <w:name w:val="Heading 8"/>
    <w:basedOn w:val="1078"/>
    <w:next w:val="1078"/>
    <w:link w:val="10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35">
    <w:name w:val="Heading 9"/>
    <w:basedOn w:val="1078"/>
    <w:next w:val="1078"/>
    <w:link w:val="10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36">
    <w:name w:val="Heading 1 Char"/>
    <w:basedOn w:val="1085"/>
    <w:link w:val="10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37">
    <w:name w:val="Heading 2 Char"/>
    <w:basedOn w:val="1085"/>
    <w:link w:val="10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38">
    <w:name w:val="Heading 3 Char"/>
    <w:basedOn w:val="1085"/>
    <w:link w:val="10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39">
    <w:name w:val="Heading 4 Char"/>
    <w:basedOn w:val="1085"/>
    <w:link w:val="10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40">
    <w:name w:val="Heading 5 Char"/>
    <w:basedOn w:val="1085"/>
    <w:link w:val="10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41">
    <w:name w:val="Heading 6 Char"/>
    <w:basedOn w:val="1085"/>
    <w:link w:val="10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42">
    <w:name w:val="Heading 7 Char"/>
    <w:basedOn w:val="1085"/>
    <w:link w:val="10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43">
    <w:name w:val="Heading 8 Char"/>
    <w:basedOn w:val="1085"/>
    <w:link w:val="10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4">
    <w:name w:val="Heading 9 Char"/>
    <w:basedOn w:val="1085"/>
    <w:link w:val="10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>
    <w:name w:val="Title Char"/>
    <w:basedOn w:val="1085"/>
    <w:link w:val="10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46">
    <w:name w:val="Subtitle Char"/>
    <w:basedOn w:val="1085"/>
    <w:link w:val="10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78"/>
    <w:next w:val="1078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>
    <w:name w:val="Quote Char"/>
    <w:basedOn w:val="1085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9">
    <w:name w:val="Intense Emphasis"/>
    <w:basedOn w:val="10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0">
    <w:name w:val="Intense Quote"/>
    <w:basedOn w:val="1078"/>
    <w:next w:val="1078"/>
    <w:link w:val="10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1">
    <w:name w:val="Intense Quote Char"/>
    <w:basedOn w:val="1085"/>
    <w:link w:val="10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2">
    <w:name w:val="Intense Reference"/>
    <w:basedOn w:val="10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53">
    <w:name w:val="Subtle Emphasis"/>
    <w:basedOn w:val="10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54">
    <w:name w:val="Emphasis"/>
    <w:basedOn w:val="1085"/>
    <w:uiPriority w:val="20"/>
    <w:qFormat/>
    <w:pPr>
      <w:pBdr/>
      <w:spacing/>
      <w:ind/>
    </w:pPr>
    <w:rPr>
      <w:i/>
      <w:iCs/>
    </w:rPr>
  </w:style>
  <w:style w:type="character" w:styleId="1055">
    <w:name w:val="Strong"/>
    <w:basedOn w:val="1085"/>
    <w:uiPriority w:val="22"/>
    <w:qFormat/>
    <w:pPr>
      <w:pBdr/>
      <w:spacing/>
      <w:ind/>
    </w:pPr>
    <w:rPr>
      <w:b/>
      <w:bCs/>
    </w:rPr>
  </w:style>
  <w:style w:type="character" w:styleId="1056">
    <w:name w:val="Subtle Reference"/>
    <w:basedOn w:val="10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7">
    <w:name w:val="Book Title"/>
    <w:basedOn w:val="10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58">
    <w:name w:val="Header Char"/>
    <w:basedOn w:val="1085"/>
    <w:link w:val="1106"/>
    <w:uiPriority w:val="99"/>
    <w:pPr>
      <w:pBdr/>
      <w:spacing/>
      <w:ind/>
    </w:pPr>
  </w:style>
  <w:style w:type="character" w:styleId="1059">
    <w:name w:val="Footer Char"/>
    <w:basedOn w:val="1085"/>
    <w:link w:val="1108"/>
    <w:uiPriority w:val="99"/>
    <w:pPr>
      <w:pBdr/>
      <w:spacing/>
      <w:ind/>
    </w:pPr>
  </w:style>
  <w:style w:type="paragraph" w:styleId="1060">
    <w:name w:val="Caption"/>
    <w:basedOn w:val="1078"/>
    <w:next w:val="107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61">
    <w:name w:val="footnote text"/>
    <w:basedOn w:val="1078"/>
    <w:link w:val="10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2">
    <w:name w:val="Footnote Text Char"/>
    <w:basedOn w:val="1085"/>
    <w:link w:val="1061"/>
    <w:uiPriority w:val="99"/>
    <w:semiHidden/>
    <w:pPr>
      <w:pBdr/>
      <w:spacing/>
      <w:ind/>
    </w:pPr>
    <w:rPr>
      <w:sz w:val="20"/>
      <w:szCs w:val="20"/>
    </w:rPr>
  </w:style>
  <w:style w:type="character" w:styleId="1063">
    <w:name w:val="footnote reference"/>
    <w:basedOn w:val="1085"/>
    <w:uiPriority w:val="99"/>
    <w:semiHidden/>
    <w:unhideWhenUsed/>
    <w:pPr>
      <w:pBdr/>
      <w:spacing/>
      <w:ind/>
    </w:pPr>
    <w:rPr>
      <w:vertAlign w:val="superscript"/>
    </w:rPr>
  </w:style>
  <w:style w:type="paragraph" w:styleId="1064">
    <w:name w:val="endnote text"/>
    <w:basedOn w:val="1078"/>
    <w:link w:val="10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5">
    <w:name w:val="Endnote Text Char"/>
    <w:basedOn w:val="1085"/>
    <w:link w:val="1064"/>
    <w:uiPriority w:val="99"/>
    <w:semiHidden/>
    <w:pPr>
      <w:pBdr/>
      <w:spacing/>
      <w:ind/>
    </w:pPr>
    <w:rPr>
      <w:sz w:val="20"/>
      <w:szCs w:val="20"/>
    </w:rPr>
  </w:style>
  <w:style w:type="character" w:styleId="1066">
    <w:name w:val="endnote reference"/>
    <w:basedOn w:val="1085"/>
    <w:uiPriority w:val="99"/>
    <w:semiHidden/>
    <w:unhideWhenUsed/>
    <w:pPr>
      <w:pBdr/>
      <w:spacing/>
      <w:ind/>
    </w:pPr>
    <w:rPr>
      <w:vertAlign w:val="superscript"/>
    </w:rPr>
  </w:style>
  <w:style w:type="paragraph" w:styleId="1067">
    <w:name w:val="toc 1"/>
    <w:basedOn w:val="1078"/>
    <w:next w:val="1078"/>
    <w:uiPriority w:val="39"/>
    <w:unhideWhenUsed/>
    <w:pPr>
      <w:pBdr/>
      <w:spacing w:after="100"/>
      <w:ind/>
    </w:pPr>
  </w:style>
  <w:style w:type="paragraph" w:styleId="1068">
    <w:name w:val="toc 2"/>
    <w:basedOn w:val="1078"/>
    <w:next w:val="1078"/>
    <w:uiPriority w:val="39"/>
    <w:unhideWhenUsed/>
    <w:pPr>
      <w:pBdr/>
      <w:spacing w:after="100"/>
      <w:ind w:left="220"/>
    </w:pPr>
  </w:style>
  <w:style w:type="paragraph" w:styleId="1069">
    <w:name w:val="toc 3"/>
    <w:basedOn w:val="1078"/>
    <w:next w:val="1078"/>
    <w:uiPriority w:val="39"/>
    <w:unhideWhenUsed/>
    <w:pPr>
      <w:pBdr/>
      <w:spacing w:after="100"/>
      <w:ind w:left="440"/>
    </w:pPr>
  </w:style>
  <w:style w:type="paragraph" w:styleId="1070">
    <w:name w:val="toc 4"/>
    <w:basedOn w:val="1078"/>
    <w:next w:val="1078"/>
    <w:uiPriority w:val="39"/>
    <w:unhideWhenUsed/>
    <w:pPr>
      <w:pBdr/>
      <w:spacing w:after="100"/>
      <w:ind w:left="660"/>
    </w:pPr>
  </w:style>
  <w:style w:type="paragraph" w:styleId="1071">
    <w:name w:val="toc 5"/>
    <w:basedOn w:val="1078"/>
    <w:next w:val="1078"/>
    <w:uiPriority w:val="39"/>
    <w:unhideWhenUsed/>
    <w:pPr>
      <w:pBdr/>
      <w:spacing w:after="100"/>
      <w:ind w:left="880"/>
    </w:pPr>
  </w:style>
  <w:style w:type="paragraph" w:styleId="1072">
    <w:name w:val="toc 6"/>
    <w:basedOn w:val="1078"/>
    <w:next w:val="1078"/>
    <w:uiPriority w:val="39"/>
    <w:unhideWhenUsed/>
    <w:pPr>
      <w:pBdr/>
      <w:spacing w:after="100"/>
      <w:ind w:left="1100"/>
    </w:pPr>
  </w:style>
  <w:style w:type="paragraph" w:styleId="1073">
    <w:name w:val="toc 7"/>
    <w:basedOn w:val="1078"/>
    <w:next w:val="1078"/>
    <w:uiPriority w:val="39"/>
    <w:unhideWhenUsed/>
    <w:pPr>
      <w:pBdr/>
      <w:spacing w:after="100"/>
      <w:ind w:left="1320"/>
    </w:pPr>
  </w:style>
  <w:style w:type="paragraph" w:styleId="1074">
    <w:name w:val="toc 8"/>
    <w:basedOn w:val="1078"/>
    <w:next w:val="1078"/>
    <w:uiPriority w:val="39"/>
    <w:unhideWhenUsed/>
    <w:pPr>
      <w:pBdr/>
      <w:spacing w:after="100"/>
      <w:ind w:left="1540"/>
    </w:pPr>
  </w:style>
  <w:style w:type="paragraph" w:styleId="1075">
    <w:name w:val="toc 9"/>
    <w:basedOn w:val="1078"/>
    <w:next w:val="1078"/>
    <w:uiPriority w:val="39"/>
    <w:unhideWhenUsed/>
    <w:pPr>
      <w:pBdr/>
      <w:spacing w:after="100"/>
      <w:ind w:left="1760"/>
    </w:pPr>
  </w:style>
  <w:style w:type="paragraph" w:styleId="1076">
    <w:name w:val="TOC Heading"/>
    <w:uiPriority w:val="39"/>
    <w:unhideWhenUsed/>
    <w:pPr>
      <w:pBdr/>
      <w:spacing/>
      <w:ind/>
    </w:pPr>
  </w:style>
  <w:style w:type="paragraph" w:styleId="1077">
    <w:name w:val="table of figures"/>
    <w:basedOn w:val="1078"/>
    <w:next w:val="1078"/>
    <w:uiPriority w:val="99"/>
    <w:unhideWhenUsed/>
    <w:pPr>
      <w:pBdr/>
      <w:spacing w:after="0" w:afterAutospacing="0"/>
      <w:ind/>
    </w:pPr>
  </w:style>
  <w:style w:type="paragraph" w:styleId="1078" w:default="1">
    <w:name w:val="Normal"/>
    <w:qFormat/>
    <w:pPr>
      <w:pBdr/>
      <w:spacing/>
      <w:ind/>
    </w:pPr>
  </w:style>
  <w:style w:type="paragraph" w:styleId="1079">
    <w:name w:val="Heading 1"/>
    <w:basedOn w:val="1078"/>
    <w:next w:val="1078"/>
    <w:uiPriority w:val="9"/>
    <w:qFormat/>
    <w:pPr>
      <w:keepNext w:val="true"/>
      <w:keepLines w:val="true"/>
      <w:pBdr/>
      <w:spacing w:after="120" w:before="480"/>
      <w:ind/>
      <w:outlineLvl w:val="0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1080">
    <w:name w:val="Heading 2"/>
    <w:basedOn w:val="1078"/>
    <w:next w:val="1078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1081">
    <w:name w:val="Heading 3"/>
    <w:basedOn w:val="1078"/>
    <w:next w:val="1078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1082">
    <w:name w:val="Heading 4"/>
    <w:basedOn w:val="1078"/>
    <w:next w:val="107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rFonts w:ascii="Calibri" w:hAnsi="Calibri" w:eastAsia="Calibri" w:cs="Calibri"/>
      <w:b/>
      <w:color w:val="000000"/>
    </w:rPr>
  </w:style>
  <w:style w:type="paragraph" w:styleId="1083">
    <w:name w:val="Heading 5"/>
    <w:basedOn w:val="1078"/>
    <w:next w:val="107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1084">
    <w:name w:val="Heading 6"/>
    <w:basedOn w:val="1078"/>
    <w:next w:val="107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rFonts w:ascii="Calibri" w:hAnsi="Calibri" w:eastAsia="Calibri" w:cs="Calibri"/>
      <w:b/>
      <w:color w:val="000000"/>
      <w:sz w:val="20"/>
      <w:szCs w:val="20"/>
    </w:rPr>
  </w:style>
  <w:style w:type="character" w:styleId="1085" w:default="1">
    <w:name w:val="Default Paragraph Font"/>
    <w:uiPriority w:val="1"/>
    <w:semiHidden/>
    <w:unhideWhenUsed/>
    <w:pPr>
      <w:pBdr/>
      <w:spacing/>
      <w:ind/>
    </w:pPr>
  </w:style>
  <w:style w:type="table" w:styleId="10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7" w:default="1">
    <w:name w:val="No List"/>
    <w:uiPriority w:val="99"/>
    <w:semiHidden/>
    <w:unhideWhenUsed/>
    <w:pPr>
      <w:pBdr/>
      <w:spacing/>
      <w:ind/>
    </w:pPr>
  </w:style>
  <w:style w:type="table" w:styleId="108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9">
    <w:name w:val="Title"/>
    <w:basedOn w:val="1078"/>
    <w:next w:val="1078"/>
    <w:uiPriority w:val="10"/>
    <w:qFormat/>
    <w:pPr>
      <w:keepNext w:val="true"/>
      <w:keepLines w:val="true"/>
      <w:pBdr/>
      <w:spacing w:after="120" w:before="480"/>
      <w:ind/>
    </w:pPr>
    <w:rPr>
      <w:rFonts w:ascii="Calibri" w:hAnsi="Calibri" w:eastAsia="Calibri" w:cs="Calibri"/>
      <w:b/>
      <w:color w:val="000000"/>
      <w:sz w:val="72"/>
      <w:szCs w:val="72"/>
    </w:rPr>
  </w:style>
  <w:style w:type="table" w:styleId="109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2">
    <w:name w:val="Subtitle"/>
    <w:basedOn w:val="1078"/>
    <w:next w:val="107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1093" w:customStyle="1">
    <w:name w:val="StGen0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StGen1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StGen2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StGen3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StGen4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StGen5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StGen6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StGen7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StGen8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2">
    <w:name w:val="List Paragraph"/>
    <w:basedOn w:val="1078"/>
    <w:uiPriority w:val="34"/>
    <w:qFormat/>
    <w:pPr>
      <w:pBdr/>
      <w:spacing w:after="100" w:afterAutospacing="1" w:before="100" w:beforeAutospacing="1"/>
      <w:ind/>
    </w:pPr>
    <w:rPr>
      <w:lang w:val="es-MX"/>
    </w:rPr>
  </w:style>
  <w:style w:type="paragraph" w:styleId="1103">
    <w:name w:val="No Spacing"/>
    <w:uiPriority w:val="1"/>
    <w:qFormat/>
    <w:pPr>
      <w:pBdr/>
      <w:spacing/>
      <w:ind/>
    </w:pPr>
    <w:rPr>
      <w:rFonts w:ascii="Arial" w:hAnsi="Arial" w:cs="Arial"/>
      <w:lang w:val="es-MX" w:eastAsia="es-ES"/>
    </w:rPr>
  </w:style>
  <w:style w:type="paragraph" w:styleId="1104" w:customStyle="1">
    <w:name w:val="Default"/>
    <w:pPr>
      <w:pBdr/>
      <w:spacing/>
      <w:ind/>
    </w:pPr>
    <w:rPr>
      <w:color w:val="000000"/>
      <w:lang w:val="es-MX"/>
    </w:rPr>
  </w:style>
  <w:style w:type="table" w:styleId="1105">
    <w:name w:val="Table Grid"/>
    <w:basedOn w:val="1086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6">
    <w:name w:val="Header"/>
    <w:basedOn w:val="1078"/>
    <w:link w:val="1107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07" w:customStyle="1">
    <w:name w:val="Encabezado Car"/>
    <w:basedOn w:val="1085"/>
    <w:link w:val="1106"/>
    <w:uiPriority w:val="99"/>
    <w:pPr>
      <w:pBdr/>
      <w:spacing/>
      <w:ind/>
    </w:pPr>
  </w:style>
  <w:style w:type="paragraph" w:styleId="1108">
    <w:name w:val="Footer"/>
    <w:basedOn w:val="1078"/>
    <w:link w:val="1109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09" w:customStyle="1">
    <w:name w:val="Pie de página Car"/>
    <w:basedOn w:val="1085"/>
    <w:link w:val="1108"/>
    <w:uiPriority w:val="99"/>
    <w:pPr>
      <w:pBdr/>
      <w:spacing/>
      <w:ind/>
    </w:pPr>
  </w:style>
  <w:style w:type="character" w:styleId="1110">
    <w:name w:val="Hyperlink"/>
    <w:basedOn w:val="108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111">
    <w:name w:val="Unresolved Mention"/>
    <w:basedOn w:val="10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112" w:customStyle="1">
    <w:name w:val="StGen9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StGen10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StGen11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StGen12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StGen13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StGen14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StGen15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StGen16"/>
    <w:basedOn w:val="1091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StGen17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StGen18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StGen19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StGen20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StGen21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StGen22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StGen23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StGen24"/>
    <w:basedOn w:val="1090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8">
    <w:name w:val="FollowedHyperlink"/>
    <w:basedOn w:val="108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enesmerida.unam.mx/practicas_camp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4IacmHrYMeSejeSeVuJ4+IvJA==">CgMxLjAyCGguZ2pkZ3hzMgloLjMwajB6bGw4AHIhMXQ0NkRBUWtJMThsZUNJMVVVeThWR3hqSHpNbEJnbWNT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Universidad Nacional Autonoma de México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Arancibia</dc:creator>
  <cp:revision>15</cp:revision>
  <dcterms:created xsi:type="dcterms:W3CDTF">2021-11-03T14:45:00Z</dcterms:created>
  <dcterms:modified xsi:type="dcterms:W3CDTF">2025-01-21T23:52:58Z</dcterms:modified>
</cp:coreProperties>
</file>