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120"/>
        <w:ind/>
        <w:jc w:val="center"/>
        <w:rPr>
          <w:rFonts w:ascii="Open Sans" w:hAnsi="Open Sans" w:eastAsia="Open Sans" w:cs="Open Sans"/>
          <w:b/>
          <w:sz w:val="20"/>
          <w:szCs w:val="20"/>
        </w:rPr>
      </w:pPr>
      <w:r/>
      <w:bookmarkStart w:id="0" w:name="_heading=h.gjdgxs"/>
      <w:r/>
      <w:bookmarkEnd w:id="0"/>
      <w:r>
        <w:rPr>
          <w:rFonts w:ascii="Open Sans" w:hAnsi="Open Sans" w:eastAsia="Open Sans" w:cs="Open Sans"/>
          <w:b/>
          <w:sz w:val="20"/>
          <w:szCs w:val="20"/>
        </w:rPr>
        <w:t xml:space="preserve">SOLICITUD DE PRACTICAS DE CAMPO VINCULADAS A LA DOCENCIA 2025-</w:t>
      </w:r>
      <w:r>
        <w:rPr>
          <w:rFonts w:ascii="Open Sans" w:hAnsi="Open Sans" w:eastAsia="Open Sans" w:cs="Open Sans"/>
          <w:b/>
          <w:sz w:val="20"/>
          <w:szCs w:val="20"/>
        </w:rPr>
        <w:t xml:space="preserve">2</w:t>
      </w:r>
      <w:r>
        <w:rPr>
          <w:rFonts w:ascii="Open Sans" w:hAnsi="Open Sans" w:eastAsia="Open Sans" w:cs="Open Sans"/>
          <w:b/>
          <w:sz w:val="20"/>
          <w:szCs w:val="20"/>
        </w:rPr>
      </w:r>
      <w:r>
        <w:rPr>
          <w:rFonts w:ascii="Open Sans" w:hAnsi="Open Sans" w:eastAsia="Open Sans" w:cs="Open Sans"/>
          <w:b/>
          <w:sz w:val="20"/>
          <w:szCs w:val="20"/>
        </w:rPr>
      </w:r>
    </w:p>
    <w:tbl>
      <w:tblPr>
        <w:tblStyle w:val="1131"/>
        <w:tblInd w:w="0" w:type="dxa"/>
        <w:tblW w:w="9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177"/>
        <w:gridCol w:w="1018"/>
        <w:gridCol w:w="1589"/>
        <w:gridCol w:w="1073"/>
        <w:gridCol w:w="592"/>
        <w:gridCol w:w="1281"/>
        <w:gridCol w:w="587"/>
      </w:tblGrid>
      <w:tr>
        <w:trPr/>
        <w:tc>
          <w:tcPr>
            <w:gridSpan w:val="7"/>
            <w:shd w:val="clear" w:color="auto" w:fill="dbeef3"/>
            <w:tcBorders/>
            <w:tcW w:w="9317" w:type="dxa"/>
            <w:textDirection w:val="lrTb"/>
            <w:noWrap w:val="false"/>
          </w:tcPr>
          <w:p>
            <w:pPr>
              <w:pBdr/>
              <w:spacing w:after="60" w:before="60"/>
              <w:ind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INFORMACIÓN GENERAL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Carrera: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6"/>
            <w:tcBorders/>
            <w:tcW w:w="6140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Licenciatura en Ecolog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ía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Asignatura y grupo: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6"/>
            <w:tcBorders/>
            <w:tcW w:w="6140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Ecolog</w:t>
            </w: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ía de Poblaciones</w:t>
            </w: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Semestre(s):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1018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1589" w:type="dxa"/>
            <w:textDirection w:val="lrTb"/>
            <w:noWrap w:val="false"/>
          </w:tcPr>
          <w:p>
            <w:pPr>
              <w:pBdr/>
              <w:spacing w:after="60" w:before="6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Núm. de participantes: 12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1073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Alumnos: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592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1281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Profesores: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58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Profesor(a) responsable: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6"/>
            <w:tcBorders/>
            <w:tcW w:w="6140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Gerardo Antonio Mart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ín Muñoz de Cote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RFC: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6"/>
            <w:tcBorders/>
            <w:tcW w:w="6140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MAMG8103028C6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Nombramiento: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6"/>
            <w:tcBorders/>
            <w:tcW w:w="6140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Profesor asociado C de Tiempo Completo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Teléfono y correo electrónico: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6"/>
            <w:tcBorders/>
            <w:tcW w:w="6140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618 116 82 37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Destino: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6"/>
            <w:tcBorders/>
            <w:tcW w:w="6140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Reserva ENES M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érida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Fecha, hora y punto de partida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6"/>
            <w:tcBorders/>
            <w:tcW w:w="6140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07/04/2026, 6:00 am, Cafeter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ía de la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ENES M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érida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Fecha, hora y punto de regreso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6"/>
            <w:tcBorders/>
            <w:tcW w:w="6140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07/04/2026,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10:00 am, Cafeter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ía de la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ENES M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érida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Bdr/>
        <w:spacing/>
        <w:ind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tbl>
      <w:tblPr>
        <w:tblStyle w:val="1132"/>
        <w:tblInd w:w="0" w:type="dxa"/>
        <w:tblW w:w="93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46"/>
      </w:tblGrid>
      <w:tr>
        <w:trPr/>
        <w:tc>
          <w:tcPr>
            <w:shd w:val="clear" w:color="auto" w:fill="dbeef3"/>
            <w:tcBorders/>
            <w:tcW w:w="934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60" w:before="60"/>
              <w:ind/>
              <w:jc w:val="center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DATOS DE LA PRÁCTICA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/>
            <w:tcW w:w="9346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 xml:space="preserve">Lugar de la práctica y tiempo de permanencia en los sitios a visitar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 pr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áctica se realizar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á en la reserva de la ENES M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érida, donde el grupo y lxs profesorxs permanecer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án por un per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íodo m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áximo de 3h.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 xml:space="preserve">Actividades académicas a realizar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Para llevar a cabo la práctica se necesitará un flexómetro de 50 metros, cronómetro, cámara fotográfica, libreta de campo y lápiz, así como haber identificado previamente un nido de hormigas cortadoras de hojas en las inmediaciones de la ENES.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Cada estudiante identificará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cinco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individuos diferentes de hormigas cortadoras de hojas y las seguirá por un período de 5 minutos contados a pa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rtir de que estas abandonan el nido, con ayuda del flexómetro medirá la distancia máxima a la cual se alejaron las hormigas del nido. En su libreta anotará el tipo de actividad que la hormiga estaba llevando a cabo (exploración, búsqueda de alimento, etc.)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, así como si el movimiento lo llevó a cabo de manera solitaria o en grupo. Cada uno de los estudiantes estimará la velocidad promedio en la que las hormigas se desplazan en un lapso de 10 segundos.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u w:val="single"/>
              </w:rPr>
              <w:t xml:space="preserve">Objetivo y justificación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Entender los patrones de distribución de las especies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ha sido uno de los principales objetos de estudio de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la ecología (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Andrewartha y Birch 1954, Krebs 1972), los cuales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están determinados por factores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ecológicos, evolutivos y geográficos, que hacen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de su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estudio un problema complejo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(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Osorio </w:t>
            </w: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 xml:space="preserve">et al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 2016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). Desde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el trabajo de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Grinnell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de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1917, se ha considerado que las preferencias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ambientales de una especie, denominadas «nicho ecológico»,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determinan las posibilidades de que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esta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colonice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exitosamente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una localidad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(Osorio-Olvera </w:t>
            </w: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 xml:space="preserve">et al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 2016)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La dispersión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,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entendida como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el movimiento de los individuos fuera de 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u fuente de origen (Nathan </w:t>
            </w: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 xml:space="preserve">et al.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2003)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, 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n conjunto con el nicho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y otros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parámetros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demográficos como la reproducción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y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la mortalidad, determinan la dinámica metapoblacional y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,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por ende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la abundancia y la distribución a diferentes escalas espaciales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(Osorio-Olvera </w:t>
            </w: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 xml:space="preserve">et al.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2016)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Algunos de estos movimientos ocurren en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distancias de dispersión relativamente cortas, mientras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otros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ocurren en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distancia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largas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Los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primeros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,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ayudan a determinar el uso de los recursos, los patrones de reclutamiento, la dinámica de metapoblaciones a pequeña escala y la coexistencia de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las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especies.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Por su parte, los segundos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,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tienen impacto a escalas mayores (regionales y globales), afectando las tasas de colonización y dispersión espacial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, por lo que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afecta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n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tanto la ecología (uso de recursos, coexistencia de especies y dinámica de metapoblaciones a gran escala) como la trayectoria evolutiva (flujo genético, estructura genética y diversidad de especies)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(Nathan </w:t>
            </w: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 xml:space="preserve">et al.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2003)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Un buen grupo para el estudio de la dispersión son l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os artrópodos,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ya que,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debido a su pequeño tamaño, resultan buenos modelos biológicos para el estudio de la dispersión porque sus movimientos pueden estudiarse fácilmente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a diferentes escalas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, mediante la recopilación de datos sobre el movimiento de los individuos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Fourcassié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 xml:space="preserve">et al.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2003)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En esta práctica los estudiantes estimarán la dispersión en corta distancia de las hormigas cortadoras de hojas del género </w:t>
            </w: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 xml:space="preserve">Acromyrmex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en las inmediaciones de la ENES unidad Mérida.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El objetivo es: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Style w:val="1113"/>
              <w:numPr>
                <w:ilvl w:val="0"/>
                <w:numId w:val="5"/>
              </w:numPr>
              <w:pBdr/>
              <w:spacing/>
              <w:ind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Estimar la capacidad de dispersión en corta distancia de las hormigas cortadoras de hojas del género </w:t>
            </w: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 xml:space="preserve">Acromyrmex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en las inmediaciones de la ENES unidad Mérida.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u w:val="single"/>
              </w:rPr>
            </w:pP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</w: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</w: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 xml:space="preserve">Productos o resultados a alcanzar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: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Se redactar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á un reporte de pr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áctica en el que se analicen las distancias recorridas por los diferentes individuos.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Referencias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Style w:val="1113"/>
              <w:numPr>
                <w:ilvl w:val="0"/>
                <w:numId w:val="6"/>
              </w:numPr>
              <w:pBdr/>
              <w:spacing w:after="0" w:line="240" w:lineRule="auto"/>
              <w:ind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Andrewartha, H. G., and Birch, L. C. 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1954. 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The distribution and abundance of animals. Chicago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University publication in biology and medicine. University of Chicago Press.</w: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</w:r>
          </w:p>
          <w:p>
            <w:pPr>
              <w:pStyle w:val="1113"/>
              <w:numPr>
                <w:ilvl w:val="0"/>
                <w:numId w:val="6"/>
              </w:numPr>
              <w:pBdr/>
              <w:spacing w:after="0" w:line="240" w:lineRule="auto"/>
              <w:ind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Krebs, C. J. 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1972. 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Ecology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. T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he Experimental Analysis of Distribution and Abundance. Harper international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edition. Harper &amp; Row.</w: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</w:r>
          </w:p>
          <w:p>
            <w:pPr>
              <w:pStyle w:val="1113"/>
              <w:numPr>
                <w:ilvl w:val="0"/>
                <w:numId w:val="6"/>
              </w:numPr>
              <w:pBdr/>
              <w:spacing w:after="0" w:line="240" w:lineRule="auto"/>
              <w:ind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Fourcassié, V., Bredard, C., Volpatti, K., 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and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 Theraulaz, G. 2003. Dispersion movements in ants: spatial structuring and density-dependent effects. </w:t>
            </w:r>
            <w:r>
              <w:rPr>
                <w:rFonts w:ascii="Arial" w:hAnsi="Arial" w:eastAsia="Arial" w:cs="Arial"/>
                <w:i/>
                <w:iCs/>
                <w:sz w:val="14"/>
                <w:szCs w:val="14"/>
                <w:lang w:val="en-US"/>
              </w:rPr>
              <w:t xml:space="preserve">Behavioural processes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 63(1)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: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33-43.</w: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</w:r>
          </w:p>
          <w:p>
            <w:pPr>
              <w:pStyle w:val="1113"/>
              <w:numPr>
                <w:ilvl w:val="0"/>
                <w:numId w:val="6"/>
              </w:numPr>
              <w:pBdr/>
              <w:spacing w:after="0" w:line="240" w:lineRule="auto"/>
              <w:ind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Grinnell, J. 1917. The niche-relationships of the California Thrasher. </w:t>
            </w:r>
            <w:r>
              <w:rPr>
                <w:rFonts w:ascii="Arial" w:hAnsi="Arial" w:eastAsia="Arial" w:cs="Arial"/>
                <w:i/>
                <w:iCs/>
                <w:sz w:val="14"/>
                <w:szCs w:val="14"/>
                <w:lang w:val="en-US"/>
              </w:rPr>
              <w:t xml:space="preserve">The Auk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 34(4):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427-433.</w: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</w:r>
          </w:p>
          <w:p>
            <w:pPr>
              <w:pStyle w:val="1113"/>
              <w:numPr>
                <w:ilvl w:val="0"/>
                <w:numId w:val="6"/>
              </w:numPr>
              <w:pBdr/>
              <w:spacing w:after="0" w:line="240" w:lineRule="auto"/>
              <w:ind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Nathan, R., Perry, G., Cronin, J. T., Strand, A. E., 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and</w:t>
            </w:r>
            <w:r>
              <w:rPr>
                <w:rFonts w:ascii="Arial" w:hAnsi="Arial" w:eastAsia="Arial" w:cs="Arial"/>
                <w:sz w:val="14"/>
                <w:szCs w:val="14"/>
                <w:lang w:val="en-US"/>
              </w:rPr>
              <w:t xml:space="preserve"> Cain, M. L. 2003. 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Methods for estimating long‐distance dispersal. </w:t>
            </w:r>
            <w:r>
              <w:rPr>
                <w:rFonts w:ascii="Arial" w:hAnsi="Arial" w:eastAsia="Arial" w:cs="Arial"/>
                <w:i/>
                <w:iCs/>
                <w:sz w:val="14"/>
                <w:szCs w:val="14"/>
              </w:rPr>
              <w:t xml:space="preserve">Oikos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 103(2): 261-273.</w: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</w:r>
          </w:p>
          <w:p>
            <w:pPr>
              <w:pStyle w:val="1113"/>
              <w:numPr>
                <w:ilvl w:val="0"/>
                <w:numId w:val="6"/>
              </w:numPr>
              <w:pBdr/>
              <w:spacing w:after="0" w:line="240" w:lineRule="auto"/>
              <w:ind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Osorio-Olvera, L. A., Falconi, M., and Soberón, J. 2016. 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Sobre la relación entre idoneidad del hábitat y la abundancia poblacional bajo diferentes escenarios de dispersión. </w:t>
            </w:r>
            <w:r>
              <w:rPr>
                <w:rFonts w:ascii="Arial" w:hAnsi="Arial" w:eastAsia="Arial" w:cs="Arial"/>
                <w:i/>
                <w:iCs/>
                <w:sz w:val="14"/>
                <w:szCs w:val="14"/>
              </w:rPr>
              <w:t xml:space="preserve">Revista mexicana de biodiversidad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87(3)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: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1080-1088.</w:t>
            </w:r>
            <w:r>
              <w:rPr>
                <w:rFonts w:ascii="Arial" w:hAnsi="Arial" w:cs="Arial"/>
                <w:sz w:val="14"/>
                <w:szCs w:val="14"/>
              </w:rPr>
            </w:r>
            <w:r>
              <w:rPr>
                <w:rFonts w:ascii="Arial" w:hAnsi="Arial" w:cs="Arial"/>
                <w:sz w:val="14"/>
                <w:szCs w:val="14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</w:tc>
      </w:tr>
    </w:tbl>
    <w:p>
      <w:pPr>
        <w:pBdr/>
        <w:spacing/>
        <w:ind/>
        <w:jc w:val="both"/>
        <w:rPr>
          <w:rFonts w:ascii="Arial" w:hAnsi="Arial" w:eastAsia="Arial" w:cs="Arial"/>
          <w:sz w:val="20"/>
          <w:szCs w:val="20"/>
        </w:rPr>
      </w:pPr>
      <w:r/>
      <w:bookmarkStart w:id="1" w:name="_GoBack"/>
      <w:r/>
      <w:bookmarkEnd w:id="1"/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tbl>
      <w:tblPr>
        <w:tblStyle w:val="1133"/>
        <w:tblInd w:w="0" w:type="dxa"/>
        <w:tblW w:w="93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46"/>
      </w:tblGrid>
      <w:tr>
        <w:trPr/>
        <w:tc>
          <w:tcPr>
            <w:shd w:val="clear" w:color="auto" w:fill="dbeef3"/>
            <w:tcBorders/>
            <w:tcW w:w="9346" w:type="dxa"/>
            <w:textDirection w:val="lrTb"/>
            <w:noWrap w:val="false"/>
          </w:tcPr>
          <w:p>
            <w:pPr>
              <w:pBdr/>
              <w:spacing w:after="60" w:before="60"/>
              <w:ind/>
              <w:jc w:val="both"/>
              <w:rPr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ANÁLISIS DE LAS CONDICIONES DE RIESGO DURANTE LA PRÁCTICA (INCLUIR LOS SERVICIOS DE EMERGENCIA MÁS CERCANOS):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/>
            <w:tcW w:w="934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IMSS bienestar, Cd. Caucel.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Bdr/>
        <w:spacing w:after="120" w:before="120"/>
        <w:ind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tbl>
      <w:tblPr>
        <w:tblStyle w:val="1134"/>
        <w:tblInd w:w="0" w:type="dxa"/>
        <w:tblW w:w="93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79"/>
        <w:gridCol w:w="7336"/>
      </w:tblGrid>
      <w:tr>
        <w:trPr/>
        <w:tc>
          <w:tcPr>
            <w:gridSpan w:val="2"/>
            <w:shd w:val="clear" w:color="auto" w:fill="dbee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15" w:type="dxa"/>
            <w:textDirection w:val="lrTb"/>
            <w:noWrap w:val="false"/>
          </w:tcPr>
          <w:p>
            <w:pPr>
              <w:pBdr/>
              <w:spacing w:after="60" w:before="60"/>
              <w:ind/>
              <w:jc w:val="center"/>
              <w:rPr>
                <w:rFonts w:ascii="Open Sans" w:hAnsi="Open Sans" w:eastAsia="Open Sans" w:cs="Open Sans"/>
                <w:b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b/>
                <w:sz w:val="20"/>
                <w:szCs w:val="20"/>
              </w:rPr>
              <w:t xml:space="preserve">EQUIPOS Y MATERIALES TÉCNICOS REQUERIDOS*</w:t>
            </w:r>
            <w:r>
              <w:rPr>
                <w:rFonts w:ascii="Open Sans" w:hAnsi="Open Sans" w:eastAsia="Open Sans" w:cs="Open Sans"/>
                <w:b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b/>
                <w:sz w:val="20"/>
                <w:szCs w:val="20"/>
              </w:rPr>
            </w:r>
          </w:p>
          <w:p>
            <w:pPr>
              <w:pBdr/>
              <w:spacing w:after="60" w:before="60"/>
              <w:ind/>
              <w:rPr>
                <w:rFonts w:ascii="Open Sans" w:hAnsi="Open Sans" w:eastAsia="Open Sans" w:cs="Open Sans"/>
                <w:b/>
                <w:sz w:val="20"/>
                <w:szCs w:val="20"/>
              </w:rPr>
            </w:pPr>
            <w:r/>
            <w:hyperlink r:id="rId14" w:tooltip="https://enesmerida.unam.mx/practicas_campo" w:history="1">
              <w:r>
                <w:rPr>
                  <w:rStyle w:val="1121"/>
                  <w:rFonts w:ascii="Open Sans" w:hAnsi="Open Sans" w:eastAsia="Open Sans" w:cs="Open Sans"/>
                  <w:b/>
                  <w:sz w:val="20"/>
                  <w:szCs w:val="20"/>
                </w:rPr>
                <w:t xml:space="preserve">https://enesmerida.unam.mx/practicas_campo</w:t>
              </w:r>
            </w:hyperlink>
            <w:r>
              <w:rPr>
                <w:rFonts w:ascii="Open Sans" w:hAnsi="Open Sans" w:eastAsia="Open Sans" w:cs="Open Sans"/>
                <w:b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b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textDirection w:val="lrTb"/>
            <w:noWrap w:val="false"/>
          </w:tcPr>
          <w:p>
            <w:pPr>
              <w:pBdr/>
              <w:spacing w:before="60" w:line="360" w:lineRule="auto"/>
              <w:ind/>
              <w:jc w:val="center"/>
              <w:rPr>
                <w:rFonts w:ascii="Open Sans" w:hAnsi="Open Sans" w:eastAsia="Open Sans" w:cs="Open Sans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sz w:val="20"/>
                <w:szCs w:val="20"/>
              </w:rPr>
              <w:t xml:space="preserve">01/04/2025</w:t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36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Open Sans" w:hAnsi="Open Sans" w:eastAsia="Open Sans" w:cs="Open Sans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sz w:val="20"/>
                <w:szCs w:val="20"/>
              </w:rPr>
              <w:t xml:space="preserve">3 GPS</w:t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textDirection w:val="lrTb"/>
            <w:noWrap w:val="false"/>
          </w:tcPr>
          <w:p>
            <w:pPr>
              <w:pBdr/>
              <w:spacing w:before="60" w:line="360" w:lineRule="auto"/>
              <w:ind/>
              <w:jc w:val="center"/>
              <w:rPr>
                <w:rFonts w:ascii="Open Sans" w:hAnsi="Open Sans" w:eastAsia="Open Sans" w:cs="Open Sans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sz w:val="20"/>
                <w:szCs w:val="20"/>
              </w:rPr>
              <w:t xml:space="preserve">01/04/2025</w:t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36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Open Sans" w:hAnsi="Open Sans" w:eastAsia="Open Sans" w:cs="Open Sans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sz w:val="20"/>
                <w:szCs w:val="20"/>
              </w:rPr>
              <w:t xml:space="preserve">3 flex</w:t>
            </w:r>
            <w:r>
              <w:rPr>
                <w:rFonts w:ascii="Open Sans" w:hAnsi="Open Sans" w:eastAsia="Open Sans" w:cs="Open Sans"/>
                <w:sz w:val="20"/>
                <w:szCs w:val="20"/>
              </w:rPr>
              <w:t xml:space="preserve">ómetros de 50 m</w:t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Open Sans" w:hAnsi="Open Sans" w:eastAsia="Open Sans" w:cs="Open Sans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36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Open Sans" w:hAnsi="Open Sans" w:eastAsia="Open Sans" w:cs="Open Sans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</w:p>
        </w:tc>
      </w:tr>
      <w:tr>
        <w:trPr>
          <w:trHeight w:val="4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Open Sans" w:hAnsi="Open Sans" w:eastAsia="Open Sans" w:cs="Open Sans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36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Open Sans" w:hAnsi="Open Sans" w:eastAsia="Open Sans" w:cs="Open Sans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Open Sans" w:hAnsi="Open Sans" w:eastAsia="Open Sans" w:cs="Open Sans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36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Open Sans" w:hAnsi="Open Sans" w:eastAsia="Open Sans" w:cs="Open Sans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* Verificar existencia con área de Prácticas de Campo. Indicar que equipos se requieren de otras áreas </w:t>
      </w:r>
      <w:r>
        <w:rPr>
          <w:rFonts w:ascii="Open Sans" w:hAnsi="Open Sans" w:eastAsia="Open Sans" w:cs="Open Sans"/>
          <w:sz w:val="20"/>
          <w:szCs w:val="20"/>
        </w:rPr>
      </w:r>
      <w:r>
        <w:rPr>
          <w:rFonts w:ascii="Open Sans" w:hAnsi="Open Sans" w:eastAsia="Open Sans" w:cs="Open Sans"/>
          <w:sz w:val="20"/>
          <w:szCs w:val="20"/>
        </w:rPr>
      </w:r>
    </w:p>
    <w:p>
      <w:pPr>
        <w:pBdr/>
        <w:spacing/>
        <w:ind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*En caso necesario anexar cotización </w:t>
      </w:r>
      <w:r>
        <w:rPr>
          <w:rFonts w:ascii="Open Sans" w:hAnsi="Open Sans" w:eastAsia="Open Sans" w:cs="Open Sans"/>
          <w:sz w:val="20"/>
          <w:szCs w:val="20"/>
        </w:rPr>
      </w:r>
      <w:r>
        <w:rPr>
          <w:rFonts w:ascii="Open Sans" w:hAnsi="Open Sans" w:eastAsia="Open Sans" w:cs="Open Sans"/>
          <w:sz w:val="20"/>
          <w:szCs w:val="20"/>
        </w:rPr>
      </w:r>
    </w:p>
    <w:p>
      <w:pPr>
        <w:pBdr/>
        <w:spacing/>
        <w:ind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Style w:val="1135"/>
        <w:tblInd w:w="0" w:type="dxa"/>
        <w:tblW w:w="93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46"/>
      </w:tblGrid>
      <w:tr>
        <w:trPr/>
        <w:tc>
          <w:tcPr>
            <w:shd w:val="clear" w:color="auto" w:fill="dbeef3"/>
            <w:tcBorders/>
            <w:tcW w:w="9346" w:type="dxa"/>
            <w:textDirection w:val="lrTb"/>
            <w:noWrap w:val="false"/>
          </w:tcPr>
          <w:p>
            <w:pPr>
              <w:pBdr/>
              <w:spacing w:after="60" w:before="60"/>
              <w:ind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DATOS DE LOS PARTICIPANTES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/>
            <w:tcW w:w="9346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 xml:space="preserve">Nombre y número de celular de los profesores participantes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1113"/>
              <w:numPr>
                <w:ilvl w:val="0"/>
                <w:numId w:val="3"/>
              </w:num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Rusby Guadalupe Contreras D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íaz,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55 1685 0008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1113"/>
              <w:numPr>
                <w:ilvl w:val="0"/>
                <w:numId w:val="3"/>
              </w:num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Sandra Milena Castaño Quintero, 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55 8444 2639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Bdr/>
        <w:spacing w:after="120" w:before="120"/>
        <w:ind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Style w:val="1136"/>
        <w:tblInd w:w="0" w:type="dxa"/>
        <w:tblW w:w="93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226"/>
        <w:gridCol w:w="8120"/>
      </w:tblGrid>
      <w:tr>
        <w:trPr>
          <w:trHeight w:val="269"/>
        </w:trPr>
        <w:tc>
          <w:tcPr>
            <w:shd w:val="clear" w:color="auto" w:fill="dbeef3"/>
            <w:tcBorders/>
            <w:tcW w:w="122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dbeef3"/>
            <w:tcBorders/>
            <w:tcW w:w="8120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BITACORA 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S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ólo se trabajar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á en la reserva de la ENES M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érida.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69"/>
        </w:trPr>
        <w:tc>
          <w:tcPr>
            <w:shd w:val="clear" w:color="auto" w:fill="dbeef3"/>
            <w:tcBorders/>
            <w:tcW w:w="1226" w:type="dxa"/>
            <w:textDirection w:val="lrTb"/>
            <w:noWrap w:val="false"/>
          </w:tcPr>
          <w:p>
            <w:pPr>
              <w:pBdr/>
              <w:spacing w:after="120" w:before="12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HORA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dbeef3"/>
            <w:tcBorders/>
            <w:tcW w:w="8120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EVENTO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4379"/>
        </w:trPr>
        <w:tc>
          <w:tcPr>
            <w:shd w:val="clear" w:color="auto" w:fill="auto"/>
            <w:tcBorders/>
            <w:tcW w:w="122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07:00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08:00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8:30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10:00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81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Explicaci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ón de las actividades y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salida del punto de encuentro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Identificaci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ón de hormigueros e individuos a seguir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Inicio de colecci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ón de datos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Fin de la pr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áctica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/>
            <w:tcW w:w="9346" w:type="dxa"/>
            <w:textDirection w:val="lrTb"/>
            <w:noWrap w:val="false"/>
          </w:tcPr>
          <w:p>
            <w:pPr>
              <w:pBdr/>
              <w:spacing w:after="120" w:before="12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OBSERVACIONES: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 w:after="120" w:before="120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Todos los estudiantes participantes en la práctica de campo van y vuelven en el vehículo oficial de la ENES Mérida.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 w:after="120" w:before="120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se aceptan acompañantes ni estudiantes no inscritos en las materias consideradas. No se tolerarán retrasos en las actividades programadas.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Style w:val="1137"/>
        <w:tblInd w:w="0" w:type="dxa"/>
        <w:tblW w:w="9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317"/>
      </w:tblGrid>
      <w:tr>
        <w:trPr/>
        <w:tc>
          <w:tcPr>
            <w:shd w:val="clear" w:color="auto" w:fill="dbeef3"/>
            <w:tcBorders/>
            <w:tcW w:w="9317" w:type="dxa"/>
            <w:textDirection w:val="lrTb"/>
            <w:noWrap w:val="false"/>
          </w:tcPr>
          <w:p>
            <w:pPr>
              <w:pBdr/>
              <w:spacing w:after="60" w:before="60"/>
              <w:ind/>
              <w:jc w:val="center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PRESUPUESTO SOLICITADO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</w:tr>
      <w:tr>
        <w:trPr>
          <w:trHeight w:val="298"/>
        </w:trPr>
        <w:tc>
          <w:tcPr>
            <w:tcBorders/>
            <w:tcW w:w="931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$0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rPr>
          <w:trHeight w:val="333"/>
        </w:trPr>
        <w:tc>
          <w:tcPr>
            <w:shd w:val="clear" w:color="auto" w:fill="ccffff"/>
            <w:tcBorders/>
            <w:tcW w:w="9317" w:type="dxa"/>
            <w:textDirection w:val="lrTb"/>
            <w:noWrap w:val="false"/>
          </w:tcPr>
          <w:p>
            <w:pPr>
              <w:pBdr/>
              <w:spacing w:after="60" w:before="60"/>
              <w:ind/>
              <w:jc w:val="center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DESGLOSE DE GASTOS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931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931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Transferencia Bancaria a favor de (nombre completo del INE/Pasaporte):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931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Institución Bancaria: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931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Cuenta:</w:t>
            </w:r>
            <w:r>
              <w:rPr>
                <w:rFonts w:ascii="Arial" w:hAnsi="Arial" w:eastAsia="Arial" w:cs="Arial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931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Clabe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Interbancaria: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Bdr/>
        <w:spacing w:after="60" w:before="60" w:line="360" w:lineRule="auto"/>
        <w:ind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0"/>
          <w:szCs w:val="20"/>
        </w:rPr>
        <w:t xml:space="preserve">                                          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tbl>
      <w:tblPr>
        <w:tblStyle w:val="1138"/>
        <w:tblInd w:w="0" w:type="dxa"/>
        <w:tblW w:w="9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052"/>
        <w:gridCol w:w="6265"/>
      </w:tblGrid>
      <w:tr>
        <w:trPr/>
        <w:tc>
          <w:tcPr>
            <w:gridSpan w:val="2"/>
            <w:shd w:val="clear" w:color="auto" w:fill="dbeef3"/>
            <w:tcBorders/>
            <w:tcW w:w="9317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PARA USO DE LA SECRETARÍA TÉCNICA DE LAS LICENCIATURAS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  <w:p>
            <w:pPr>
              <w:pBdr/>
              <w:spacing w:after="120" w:before="120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Nota: No es necesario firmar esta sección para el envío de la solicitud. </w:t>
            </w: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La firma autógrafa es requerida cuando la práctica es aprobada y además se solicitan recursos (viáticos, jornales)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052" w:type="dxa"/>
            <w:textDirection w:val="lrTb"/>
            <w:noWrap w:val="false"/>
          </w:tcPr>
          <w:p>
            <w:pPr>
              <w:pBdr/>
              <w:spacing w:after="120" w:before="120"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Nombre y firma autógrafa del solicitante: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pBdr/>
              <w:spacing w:after="120" w:before="120"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pBdr/>
              <w:spacing w:after="120" w:before="120"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6265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Bdr/>
        <w:spacing/>
        <w:ind/>
        <w:jc w:val="both"/>
        <w:rPr>
          <w:rFonts w:ascii="Arial" w:hAnsi="Arial" w:eastAsia="Arial" w:cs="Arial"/>
        </w:rPr>
      </w:pPr>
      <w:r/>
      <w:bookmarkStart w:id="2" w:name="_heading=h.30j0zll"/>
      <w:r/>
      <w:bookmarkEnd w:id="2"/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5840" w:orient="portrait" w:w="12240"/>
      <w:pgMar w:top="1985" w:right="1325" w:bottom="993" w:left="1559" w:header="0" w:footer="1283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Questrial">
    <w:panose1 w:val="05040102010807070707"/>
  </w:font>
  <w:font w:name="Carme">
    <w:panose1 w:val="05040102010807070707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Open Sans">
    <w:panose1 w:val="020B0606030504020204"/>
  </w:font>
  <w:font w:name="Georgia">
    <w:panose1 w:val="02040502050405020303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515294376"/>
      <w:docPartObj>
        <w:docPartGallery w:val="Page Numbers (Bottom of Page)"/>
        <w:docPartUnique w:val="true"/>
      </w:docPartObj>
      <w:rPr/>
    </w:sdtPr>
    <w:sdtContent>
      <w:p>
        <w:pPr>
          <w:pStyle w:val="1119"/>
          <w:pBdr/>
          <w:spacing/>
          <w:ind/>
          <w:jc w:val="center"/>
          <w:rPr/>
        </w:pPr>
        <w:r>
          <w:rPr>
            <w:rFonts w:eastAsia="Questrial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4949878</wp:posOffset>
                  </wp:positionH>
                  <wp:positionV relativeFrom="paragraph">
                    <wp:posOffset>107950</wp:posOffset>
                  </wp:positionV>
                  <wp:extent cx="952500" cy="665517"/>
                  <wp:effectExtent l="0" t="0" r="0" b="1270"/>
                  <wp:wrapNone/>
                  <wp:docPr id="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- OFICIOS.jpg"/>
                          <pic:cNvPicPr>
                            <a:picLocks noChangeAspect="1"/>
                          </pic:cNvPicPr>
                          <pic:nvPr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0" y="0"/>
                            <a:ext cx="952500" cy="665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mc:Choice>
            <mc:Fallback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z-index:251667456;o:allowoverlap:true;o:allowincell:true;mso-position-horizontal-relative:text;margin-left:389.75pt;mso-position-horizontal:absolute;mso-position-vertical-relative:text;margin-top:8.50pt;mso-position-vertical:absolute;width:75.00pt;height:52.40pt;mso-wrap-distance-left:9.00pt;mso-wrap-distance-top:0.00pt;mso-wrap-distance-right:9.00pt;mso-wrap-distance-bottom:0.00pt;z-index:1;" stroked="false">
                  <v:imagedata r:id="rId1" o:title=""/>
                  <o:lock v:ext="edit" rotation="t"/>
                </v:shape>
              </w:pict>
            </mc:Fallback>
          </mc:AlternateConten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1119"/>
      <w:pBdr/>
      <w:spacing/>
      <w:ind/>
      <w:jc w:val="right"/>
      <w:rPr>
        <w:rFonts w:eastAsia="Questrial"/>
      </w:rPr>
    </w:pPr>
    <w:r>
      <w:rPr>
        <w:rFonts w:eastAsia="Questrial"/>
      </w:rPr>
    </w:r>
    <w:r>
      <w:rPr>
        <w:rFonts w:eastAsia="Questrial"/>
      </w:rPr>
    </w:r>
    <w:r>
      <w:rPr>
        <w:rFonts w:eastAsia="Questrial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0512967"/>
      <w:docPartObj>
        <w:docPartGallery w:val="Page Numbers (Bottom of Page)"/>
        <w:docPartUnique w:val="true"/>
      </w:docPartObj>
      <w:rPr/>
    </w:sdtPr>
    <w:sdtContent>
      <w:p>
        <w:pPr>
          <w:pStyle w:val="1119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rPr>
        <w:rFonts w:ascii="Carme" w:hAnsi="Carme" w:eastAsia="Carme" w:cs="Carme"/>
        <w:color w:val="000000"/>
        <w:sz w:val="16"/>
        <w:szCs w:val="16"/>
      </w:rPr>
    </w:pP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rPr>
        <w:rFonts w:ascii="Carme" w:hAnsi="Carme" w:eastAsia="Carme" w:cs="Carme"/>
        <w:color w:val="000000"/>
        <w:sz w:val="16"/>
        <w:szCs w:val="16"/>
      </w:rPr>
    </w:pP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jc w:val="center"/>
      <w:rPr>
        <w:rFonts w:ascii="Calibri" w:hAnsi="Calibri" w:eastAsia="Calibri" w:cs="Calibri"/>
        <w:b/>
        <w:color w:val="000000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<wp:simplePos x="0" y="0"/>
              <wp:positionH relativeFrom="column">
                <wp:posOffset>4743450</wp:posOffset>
              </wp:positionH>
              <wp:positionV relativeFrom="paragraph">
                <wp:posOffset>180975</wp:posOffset>
              </wp:positionV>
              <wp:extent cx="1158240" cy="617220"/>
              <wp:effectExtent l="0" t="0" r="0" b="0"/>
              <wp:wrapSquare wrapText="bothSides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158240" cy="61722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6432;o:allowoverlap:true;o:allowincell:true;mso-position-horizontal-relative:text;margin-left:373.50pt;mso-position-horizontal:absolute;mso-position-vertical-relative:text;margin-top:14.25pt;mso-position-vertical:absolute;width:91.20pt;height:48.60pt;mso-wrap-distance-left:9.00pt;mso-wrap-distance-top:0.00pt;mso-wrap-distance-right:9.00pt;mso-wrap-distance-bottom:0.00pt;z-index:1;">
              <w10:wrap type="square"/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182880</wp:posOffset>
              </wp:positionV>
              <wp:extent cx="866775" cy="771525"/>
              <wp:effectExtent l="0" t="0" r="0" b="0"/>
              <wp:wrapSquare wrapText="bothSides"/>
              <wp:docPr id="2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866775" cy="7715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3360;o:allowoverlap:true;o:allowincell:true;mso-position-horizontal-relative:text;margin-left:0.00pt;mso-position-horizontal:absolute;mso-position-vertical-relative:text;margin-top:14.40pt;mso-position-vertical:absolute;width:68.25pt;height:60.75pt;mso-wrap-distance-left:9.00pt;mso-wrap-distance-top:0.00pt;mso-wrap-distance-right:9.00pt;mso-wrap-distance-bottom:0.00pt;z-index:1;">
              <w10:wrap type="square"/>
              <v:imagedata r:id="rId2" o:title="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jc w:val="center"/>
      <w:rPr>
        <w:rFonts w:ascii="Calibri" w:hAnsi="Calibri" w:eastAsia="Calibri" w:cs="Calibri"/>
        <w:b/>
        <w:color w:val="000000"/>
      </w:rPr>
    </w:pPr>
    <w:r>
      <w:rPr>
        <w:rFonts w:ascii="Calibri" w:hAnsi="Calibri" w:eastAsia="Calibri" w:cs="Calibri"/>
        <w:b/>
        <w:color w:val="000000"/>
      </w:rPr>
      <w:t xml:space="preserve">ESCUELA NACIONAL DE ESTUDIOS SUPERIORES </w:t>
    </w: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jc w:val="center"/>
      <w:rPr>
        <w:rFonts w:ascii="Calibri" w:hAnsi="Calibri" w:eastAsia="Calibri" w:cs="Calibri"/>
        <w:b/>
        <w:color w:val="000000"/>
      </w:rPr>
    </w:pPr>
    <w:r>
      <w:rPr>
        <w:rFonts w:ascii="Calibri" w:hAnsi="Calibri" w:eastAsia="Calibri" w:cs="Calibri"/>
        <w:b/>
        <w:color w:val="000000"/>
      </w:rPr>
      <w:t xml:space="preserve">UNIDAD MÉRIDA</w:t>
    </w: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rPr>
        <w:rFonts w:ascii="Calibri" w:hAnsi="Calibri" w:eastAsia="Calibri" w:cs="Calibri"/>
        <w:b/>
        <w:color w:val="000000"/>
      </w:rPr>
    </w:pP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right" w:leader="none" w:pos="8640"/>
      </w:tabs>
      <w:spacing/>
      <w:ind w:firstLine="6660"/>
      <w:rPr>
        <w:rFonts w:ascii="Carme" w:hAnsi="Carme" w:eastAsia="Carme" w:cs="Carme"/>
        <w:color w:val="000000"/>
        <w:sz w:val="16"/>
        <w:szCs w:val="16"/>
      </w:rPr>
    </w:pP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rPr>
        <w:rFonts w:ascii="Carme" w:hAnsi="Carme" w:eastAsia="Carme" w:cs="Carme"/>
        <w:color w:val="000000"/>
        <w:sz w:val="16"/>
        <w:szCs w:val="16"/>
      </w:rPr>
    </w:pP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rPr>
        <w:rFonts w:ascii="Carme" w:hAnsi="Carme" w:eastAsia="Carme" w:cs="Carme"/>
        <w:color w:val="000000"/>
        <w:sz w:val="16"/>
        <w:szCs w:val="16"/>
      </w:rPr>
    </w:pP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jc w:val="center"/>
      <w:rPr>
        <w:rFonts w:ascii="Calibri" w:hAnsi="Calibri" w:eastAsia="Calibri" w:cs="Calibri"/>
        <w:b/>
        <w:color w:val="000000"/>
      </w:rPr>
    </w:pP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jc w:val="center"/>
      <w:rPr>
        <w:rFonts w:ascii="Calibri" w:hAnsi="Calibri" w:eastAsia="Calibri" w:cs="Calibri"/>
        <w:b/>
        <w:color w:val="000000"/>
      </w:rPr>
    </w:pPr>
    <w:r>
      <w:rPr>
        <w:rFonts w:ascii="Calibri" w:hAnsi="Calibri" w:eastAsia="Calibri" w:cs="Calibri"/>
        <w:b/>
        <w:color w:val="000000"/>
      </w:rPr>
      <w:t xml:space="preserve">ESCUELA NACIONAL DE ESTUDIOS SUPERIORES </w: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3</wp:posOffset>
              </wp:positionH>
              <wp:positionV relativeFrom="paragraph">
                <wp:posOffset>22860</wp:posOffset>
              </wp:positionV>
              <wp:extent cx="866775" cy="771525"/>
              <wp:effectExtent l="0" t="0" r="0" b="0"/>
              <wp:wrapSquare wrapText="bothSides"/>
              <wp:docPr id="3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866775" cy="7715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59264;o:allowoverlap:true;o:allowincell:true;mso-position-horizontal-relative:text;margin-left:0.00pt;mso-position-horizontal:absolute;mso-position-vertical-relative:text;margin-top:1.80pt;mso-position-vertical:absolute;width:68.25pt;height:60.75pt;mso-wrap-distance-left:9.00pt;mso-wrap-distance-top:0.00pt;mso-wrap-distance-right:9.00pt;mso-wrap-distance-bottom:0.00pt;z-index:1;">
              <w10:wrap type="square"/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4782820</wp:posOffset>
              </wp:positionH>
              <wp:positionV relativeFrom="paragraph">
                <wp:posOffset>15240</wp:posOffset>
              </wp:positionV>
              <wp:extent cx="1158240" cy="617220"/>
              <wp:effectExtent l="0" t="0" r="0" b="0"/>
              <wp:wrapSquare wrapText="bothSides"/>
              <wp:docPr id="4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158240" cy="61722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60288;o:allowoverlap:true;o:allowincell:true;mso-position-horizontal-relative:text;margin-left:376.60pt;mso-position-horizontal:absolute;mso-position-vertical-relative:text;margin-top:1.20pt;mso-position-vertical:absolute;width:91.20pt;height:48.60pt;mso-wrap-distance-left:9.00pt;mso-wrap-distance-top:0.00pt;mso-wrap-distance-right:9.00pt;mso-wrap-distance-bottom:0.00pt;z-index:1;">
              <w10:wrap type="square"/>
              <v:imagedata r:id="rId2" o:title="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jc w:val="center"/>
      <w:rPr>
        <w:rFonts w:ascii="Calibri" w:hAnsi="Calibri" w:eastAsia="Calibri" w:cs="Calibri"/>
        <w:b/>
        <w:color w:val="000000"/>
      </w:rPr>
    </w:pPr>
    <w:r>
      <w:rPr>
        <w:rFonts w:ascii="Calibri" w:hAnsi="Calibri" w:eastAsia="Calibri" w:cs="Calibri"/>
        <w:b/>
        <w:color w:val="000000"/>
      </w:rPr>
      <w:t xml:space="preserve">UNIDAD MÉRIDA</w:t>
    </w: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rPr>
        <w:rFonts w:ascii="Calibri" w:hAnsi="Calibri" w:eastAsia="Calibri" w:cs="Calibri"/>
        <w:b/>
        <w:color w:val="000000"/>
      </w:rPr>
    </w:pP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</w:p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s-ES" w:eastAsia="es-MX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18">
    <w:name w:val="Placeholder Text"/>
    <w:basedOn w:val="1096"/>
    <w:uiPriority w:val="99"/>
    <w:semiHidden/>
    <w:pPr>
      <w:pBdr/>
      <w:spacing/>
      <w:ind/>
    </w:pPr>
    <w:rPr>
      <w:color w:val="666666"/>
    </w:rPr>
  </w:style>
  <w:style w:type="table" w:styleId="919">
    <w:name w:val="Table Grid Light"/>
    <w:basedOn w:val="10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Plain Table 1"/>
    <w:basedOn w:val="10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Plain Table 2"/>
    <w:basedOn w:val="10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Plain Table 3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Plain Table 4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Plain Table 5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1 Light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1 Light - Accent 1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1 Light - Accent 2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1 Light - Accent 3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1 Light - Accent 4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1 Light - Accent 5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1 Light - Accent 6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2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2 - Accent 1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2 - Accent 2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2 - Accent 3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2 - Accent 4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2 - Accent 5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2 - Accent 6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3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3 - Accent 1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3 - Accent 2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3 - Accent 3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3 - Accent 4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3 - Accent 5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3 - Accent 6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4"/>
    <w:basedOn w:val="10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4 - Accent 1"/>
    <w:basedOn w:val="10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4 - Accent 2"/>
    <w:basedOn w:val="10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4 - Accent 3"/>
    <w:basedOn w:val="10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4 - Accent 4"/>
    <w:basedOn w:val="10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4 - Accent 5"/>
    <w:basedOn w:val="10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4 - Accent 6"/>
    <w:basedOn w:val="10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5 Dark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5 Dark- Accent 1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5 Dark - Accent 2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5 Dark - Accent 3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5 Dark- Accent 4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5 Dark - Accent 5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5 Dark - Accent 6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6 Colorful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6 Colorful - Accent 1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6 Colorful - Accent 2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6 Colorful - Accent 3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6 Colorful - Accent 4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6 Colorful - Accent 5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6 Colorful - Accent 6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7 Colorful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7 Colorful - Accent 1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7 Colorful - Accent 2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7 Colorful - Accent 3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7 Colorful - Accent 4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7 Colorful - Accent 5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7 Colorful - Accent 6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1 Light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1 Light - Accent 1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1 Light - Accent 2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1 Light - Accent 3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1 Light - Accent 4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1 Light - Accent 5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1 Light - Accent 6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2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2 - Accent 1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2 - Accent 2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2 - Accent 3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2 - Accent 4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2 - Accent 5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2 - Accent 6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3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3 - Accent 1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3 - Accent 2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3 - Accent 3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3 - Accent 4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3 - Accent 5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3 - Accent 6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4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4 - Accent 1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4 - Accent 2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4 - Accent 3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4 - Accent 4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4 - Accent 5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4 - Accent 6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5 Dark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5 Dark - Accent 1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5 Dark - Accent 2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5 Dark - Accent 3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5 Dark - Accent 4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5 Dark - Accent 5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5 Dark - Accent 6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6 Colorful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6 Colorful - Accent 1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6 Colorful - Accent 2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6 Colorful - Accent 3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6 Colorful - Accent 4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6 Colorful - Accent 5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6 Colorful - Accent 6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7 Colorful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7 Colorful - Accent 1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7 Colorful - Accent 2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7 Colorful - Accent 3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7 Colorful - Accent 4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7 Colorful - Accent 5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7 Colorful - Accent 6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ned - Accent"/>
    <w:basedOn w:val="10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ned - Accent 1"/>
    <w:basedOn w:val="10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ned - Accent 2"/>
    <w:basedOn w:val="10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ned - Accent 3"/>
    <w:basedOn w:val="10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ned - Accent 4"/>
    <w:basedOn w:val="10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ned - Accent 5"/>
    <w:basedOn w:val="10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ned - Accent 6"/>
    <w:basedOn w:val="10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Bordered &amp; Lined - Accent"/>
    <w:basedOn w:val="10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Bordered &amp; Lined - Accent 1"/>
    <w:basedOn w:val="10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Bordered &amp; Lined - Accent 2"/>
    <w:basedOn w:val="10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Bordered &amp; Lined - Accent 3"/>
    <w:basedOn w:val="10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Bordered &amp; Lined - Accent 4"/>
    <w:basedOn w:val="10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Bordered &amp; Lined - Accent 5"/>
    <w:basedOn w:val="10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Bordered &amp; Lined - Accent 6"/>
    <w:basedOn w:val="10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Bordered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Bordered - Accent 1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Bordered - Accent 2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Bordered - Accent 3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Bordered - Accent 4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Bordered - Accent 5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Bordered - Accent 6"/>
    <w:basedOn w:val="10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4">
    <w:name w:val="Heading 7"/>
    <w:basedOn w:val="1089"/>
    <w:next w:val="1089"/>
    <w:link w:val="10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45">
    <w:name w:val="Heading 8"/>
    <w:basedOn w:val="1089"/>
    <w:next w:val="1089"/>
    <w:link w:val="10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46">
    <w:name w:val="Heading 9"/>
    <w:basedOn w:val="1089"/>
    <w:next w:val="1089"/>
    <w:link w:val="10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47">
    <w:name w:val="Heading 1 Char"/>
    <w:basedOn w:val="1096"/>
    <w:link w:val="10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48">
    <w:name w:val="Heading 2 Char"/>
    <w:basedOn w:val="1096"/>
    <w:link w:val="10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49">
    <w:name w:val="Heading 3 Char"/>
    <w:basedOn w:val="1096"/>
    <w:link w:val="10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50">
    <w:name w:val="Heading 4 Char"/>
    <w:basedOn w:val="1096"/>
    <w:link w:val="10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51">
    <w:name w:val="Heading 5 Char"/>
    <w:basedOn w:val="1096"/>
    <w:link w:val="10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52">
    <w:name w:val="Heading 6 Char"/>
    <w:basedOn w:val="1096"/>
    <w:link w:val="10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53">
    <w:name w:val="Heading 7 Char"/>
    <w:basedOn w:val="1096"/>
    <w:link w:val="10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54">
    <w:name w:val="Heading 8 Char"/>
    <w:basedOn w:val="1096"/>
    <w:link w:val="10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55">
    <w:name w:val="Heading 9 Char"/>
    <w:basedOn w:val="1096"/>
    <w:link w:val="10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56">
    <w:name w:val="Title Char"/>
    <w:basedOn w:val="1096"/>
    <w:link w:val="11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57">
    <w:name w:val="Subtitle Char"/>
    <w:basedOn w:val="1096"/>
    <w:link w:val="110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58">
    <w:name w:val="Quote"/>
    <w:basedOn w:val="1089"/>
    <w:next w:val="1089"/>
    <w:link w:val="10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59">
    <w:name w:val="Quote Char"/>
    <w:basedOn w:val="1096"/>
    <w:link w:val="10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60">
    <w:name w:val="Intense Emphasis"/>
    <w:basedOn w:val="10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61">
    <w:name w:val="Intense Quote"/>
    <w:basedOn w:val="1089"/>
    <w:next w:val="1089"/>
    <w:link w:val="10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62">
    <w:name w:val="Intense Quote Char"/>
    <w:basedOn w:val="1096"/>
    <w:link w:val="10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63">
    <w:name w:val="Intense Reference"/>
    <w:basedOn w:val="10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64">
    <w:name w:val="Subtle Emphasis"/>
    <w:basedOn w:val="10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65">
    <w:name w:val="Emphasis"/>
    <w:basedOn w:val="1096"/>
    <w:uiPriority w:val="20"/>
    <w:qFormat/>
    <w:pPr>
      <w:pBdr/>
      <w:spacing/>
      <w:ind/>
    </w:pPr>
    <w:rPr>
      <w:i/>
      <w:iCs/>
    </w:rPr>
  </w:style>
  <w:style w:type="character" w:styleId="1066">
    <w:name w:val="Strong"/>
    <w:basedOn w:val="1096"/>
    <w:uiPriority w:val="22"/>
    <w:qFormat/>
    <w:pPr>
      <w:pBdr/>
      <w:spacing/>
      <w:ind/>
    </w:pPr>
    <w:rPr>
      <w:b/>
      <w:bCs/>
    </w:rPr>
  </w:style>
  <w:style w:type="character" w:styleId="1067">
    <w:name w:val="Subtle Reference"/>
    <w:basedOn w:val="10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68">
    <w:name w:val="Book Title"/>
    <w:basedOn w:val="109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69">
    <w:name w:val="Header Char"/>
    <w:basedOn w:val="1096"/>
    <w:link w:val="1117"/>
    <w:uiPriority w:val="99"/>
    <w:pPr>
      <w:pBdr/>
      <w:spacing/>
      <w:ind/>
    </w:pPr>
  </w:style>
  <w:style w:type="character" w:styleId="1070">
    <w:name w:val="Footer Char"/>
    <w:basedOn w:val="1096"/>
    <w:link w:val="1119"/>
    <w:uiPriority w:val="99"/>
    <w:pPr>
      <w:pBdr/>
      <w:spacing/>
      <w:ind/>
    </w:pPr>
  </w:style>
  <w:style w:type="paragraph" w:styleId="1071">
    <w:name w:val="Caption"/>
    <w:basedOn w:val="1089"/>
    <w:next w:val="10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72">
    <w:name w:val="footnote text"/>
    <w:basedOn w:val="1089"/>
    <w:link w:val="10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3">
    <w:name w:val="Footnote Text Char"/>
    <w:basedOn w:val="1096"/>
    <w:link w:val="1072"/>
    <w:uiPriority w:val="99"/>
    <w:semiHidden/>
    <w:pPr>
      <w:pBdr/>
      <w:spacing/>
      <w:ind/>
    </w:pPr>
    <w:rPr>
      <w:sz w:val="20"/>
      <w:szCs w:val="20"/>
    </w:rPr>
  </w:style>
  <w:style w:type="character" w:styleId="1074">
    <w:name w:val="footnote reference"/>
    <w:basedOn w:val="1096"/>
    <w:uiPriority w:val="99"/>
    <w:semiHidden/>
    <w:unhideWhenUsed/>
    <w:pPr>
      <w:pBdr/>
      <w:spacing/>
      <w:ind/>
    </w:pPr>
    <w:rPr>
      <w:vertAlign w:val="superscript"/>
    </w:rPr>
  </w:style>
  <w:style w:type="paragraph" w:styleId="1075">
    <w:name w:val="endnote text"/>
    <w:basedOn w:val="1089"/>
    <w:link w:val="10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6">
    <w:name w:val="Endnote Text Char"/>
    <w:basedOn w:val="1096"/>
    <w:link w:val="1075"/>
    <w:uiPriority w:val="99"/>
    <w:semiHidden/>
    <w:pPr>
      <w:pBdr/>
      <w:spacing/>
      <w:ind/>
    </w:pPr>
    <w:rPr>
      <w:sz w:val="20"/>
      <w:szCs w:val="20"/>
    </w:rPr>
  </w:style>
  <w:style w:type="character" w:styleId="1077">
    <w:name w:val="endnote reference"/>
    <w:basedOn w:val="1096"/>
    <w:uiPriority w:val="99"/>
    <w:semiHidden/>
    <w:unhideWhenUsed/>
    <w:pPr>
      <w:pBdr/>
      <w:spacing/>
      <w:ind/>
    </w:pPr>
    <w:rPr>
      <w:vertAlign w:val="superscript"/>
    </w:rPr>
  </w:style>
  <w:style w:type="paragraph" w:styleId="1078">
    <w:name w:val="toc 1"/>
    <w:basedOn w:val="1089"/>
    <w:next w:val="1089"/>
    <w:uiPriority w:val="39"/>
    <w:unhideWhenUsed/>
    <w:pPr>
      <w:pBdr/>
      <w:spacing w:after="100"/>
      <w:ind/>
    </w:pPr>
  </w:style>
  <w:style w:type="paragraph" w:styleId="1079">
    <w:name w:val="toc 2"/>
    <w:basedOn w:val="1089"/>
    <w:next w:val="1089"/>
    <w:uiPriority w:val="39"/>
    <w:unhideWhenUsed/>
    <w:pPr>
      <w:pBdr/>
      <w:spacing w:after="100"/>
      <w:ind w:left="220"/>
    </w:pPr>
  </w:style>
  <w:style w:type="paragraph" w:styleId="1080">
    <w:name w:val="toc 3"/>
    <w:basedOn w:val="1089"/>
    <w:next w:val="1089"/>
    <w:uiPriority w:val="39"/>
    <w:unhideWhenUsed/>
    <w:pPr>
      <w:pBdr/>
      <w:spacing w:after="100"/>
      <w:ind w:left="440"/>
    </w:pPr>
  </w:style>
  <w:style w:type="paragraph" w:styleId="1081">
    <w:name w:val="toc 4"/>
    <w:basedOn w:val="1089"/>
    <w:next w:val="1089"/>
    <w:uiPriority w:val="39"/>
    <w:unhideWhenUsed/>
    <w:pPr>
      <w:pBdr/>
      <w:spacing w:after="100"/>
      <w:ind w:left="660"/>
    </w:pPr>
  </w:style>
  <w:style w:type="paragraph" w:styleId="1082">
    <w:name w:val="toc 5"/>
    <w:basedOn w:val="1089"/>
    <w:next w:val="1089"/>
    <w:uiPriority w:val="39"/>
    <w:unhideWhenUsed/>
    <w:pPr>
      <w:pBdr/>
      <w:spacing w:after="100"/>
      <w:ind w:left="880"/>
    </w:pPr>
  </w:style>
  <w:style w:type="paragraph" w:styleId="1083">
    <w:name w:val="toc 6"/>
    <w:basedOn w:val="1089"/>
    <w:next w:val="1089"/>
    <w:uiPriority w:val="39"/>
    <w:unhideWhenUsed/>
    <w:pPr>
      <w:pBdr/>
      <w:spacing w:after="100"/>
      <w:ind w:left="1100"/>
    </w:pPr>
  </w:style>
  <w:style w:type="paragraph" w:styleId="1084">
    <w:name w:val="toc 7"/>
    <w:basedOn w:val="1089"/>
    <w:next w:val="1089"/>
    <w:uiPriority w:val="39"/>
    <w:unhideWhenUsed/>
    <w:pPr>
      <w:pBdr/>
      <w:spacing w:after="100"/>
      <w:ind w:left="1320"/>
    </w:pPr>
  </w:style>
  <w:style w:type="paragraph" w:styleId="1085">
    <w:name w:val="toc 8"/>
    <w:basedOn w:val="1089"/>
    <w:next w:val="1089"/>
    <w:uiPriority w:val="39"/>
    <w:unhideWhenUsed/>
    <w:pPr>
      <w:pBdr/>
      <w:spacing w:after="100"/>
      <w:ind w:left="1540"/>
    </w:pPr>
  </w:style>
  <w:style w:type="paragraph" w:styleId="1086">
    <w:name w:val="toc 9"/>
    <w:basedOn w:val="1089"/>
    <w:next w:val="1089"/>
    <w:uiPriority w:val="39"/>
    <w:unhideWhenUsed/>
    <w:pPr>
      <w:pBdr/>
      <w:spacing w:after="100"/>
      <w:ind w:left="1760"/>
    </w:pPr>
  </w:style>
  <w:style w:type="paragraph" w:styleId="1087">
    <w:name w:val="TOC Heading"/>
    <w:uiPriority w:val="39"/>
    <w:unhideWhenUsed/>
    <w:pPr>
      <w:pBdr/>
      <w:spacing/>
      <w:ind/>
    </w:pPr>
  </w:style>
  <w:style w:type="paragraph" w:styleId="1088">
    <w:name w:val="table of figures"/>
    <w:basedOn w:val="1089"/>
    <w:next w:val="1089"/>
    <w:uiPriority w:val="99"/>
    <w:unhideWhenUsed/>
    <w:pPr>
      <w:pBdr/>
      <w:spacing w:after="0" w:afterAutospacing="0"/>
      <w:ind/>
    </w:pPr>
  </w:style>
  <w:style w:type="paragraph" w:styleId="1089" w:default="1">
    <w:name w:val="Normal"/>
    <w:qFormat/>
    <w:pPr>
      <w:pBdr/>
      <w:spacing/>
      <w:ind/>
    </w:pPr>
  </w:style>
  <w:style w:type="paragraph" w:styleId="1090">
    <w:name w:val="Heading 1"/>
    <w:basedOn w:val="1089"/>
    <w:next w:val="1089"/>
    <w:uiPriority w:val="9"/>
    <w:qFormat/>
    <w:pPr>
      <w:keepNext w:val="true"/>
      <w:keepLines w:val="true"/>
      <w:pBdr/>
      <w:spacing w:after="120" w:before="480"/>
      <w:ind/>
      <w:outlineLvl w:val="0"/>
    </w:pPr>
    <w:rPr>
      <w:rFonts w:ascii="Calibri" w:hAnsi="Calibri" w:eastAsia="Calibri" w:cs="Calibri"/>
      <w:b/>
      <w:color w:val="000000"/>
      <w:sz w:val="48"/>
      <w:szCs w:val="48"/>
    </w:rPr>
  </w:style>
  <w:style w:type="paragraph" w:styleId="1091">
    <w:name w:val="Heading 2"/>
    <w:basedOn w:val="1089"/>
    <w:next w:val="1089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rFonts w:ascii="Calibri" w:hAnsi="Calibri" w:eastAsia="Calibri" w:cs="Calibri"/>
      <w:b/>
      <w:color w:val="000000"/>
      <w:sz w:val="36"/>
      <w:szCs w:val="36"/>
    </w:rPr>
  </w:style>
  <w:style w:type="paragraph" w:styleId="1092">
    <w:name w:val="Heading 3"/>
    <w:basedOn w:val="1089"/>
    <w:next w:val="1089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rFonts w:ascii="Calibri" w:hAnsi="Calibri" w:eastAsia="Calibri" w:cs="Calibri"/>
      <w:b/>
      <w:color w:val="000000"/>
      <w:sz w:val="28"/>
      <w:szCs w:val="28"/>
    </w:rPr>
  </w:style>
  <w:style w:type="paragraph" w:styleId="1093">
    <w:name w:val="Heading 4"/>
    <w:basedOn w:val="1089"/>
    <w:next w:val="1089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rFonts w:ascii="Calibri" w:hAnsi="Calibri" w:eastAsia="Calibri" w:cs="Calibri"/>
      <w:b/>
      <w:color w:val="000000"/>
    </w:rPr>
  </w:style>
  <w:style w:type="paragraph" w:styleId="1094">
    <w:name w:val="Heading 5"/>
    <w:basedOn w:val="1089"/>
    <w:next w:val="1089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rFonts w:ascii="Calibri" w:hAnsi="Calibri" w:eastAsia="Calibri" w:cs="Calibri"/>
      <w:b/>
      <w:color w:val="000000"/>
      <w:sz w:val="22"/>
      <w:szCs w:val="22"/>
    </w:rPr>
  </w:style>
  <w:style w:type="paragraph" w:styleId="1095">
    <w:name w:val="Heading 6"/>
    <w:basedOn w:val="1089"/>
    <w:next w:val="1089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rFonts w:ascii="Calibri" w:hAnsi="Calibri" w:eastAsia="Calibri" w:cs="Calibri"/>
      <w:b/>
      <w:color w:val="000000"/>
      <w:sz w:val="20"/>
      <w:szCs w:val="20"/>
    </w:rPr>
  </w:style>
  <w:style w:type="character" w:styleId="1096" w:default="1">
    <w:name w:val="Default Paragraph Font"/>
    <w:uiPriority w:val="1"/>
    <w:semiHidden/>
    <w:unhideWhenUsed/>
    <w:pPr>
      <w:pBdr/>
      <w:spacing/>
      <w:ind/>
    </w:pPr>
  </w:style>
  <w:style w:type="table" w:styleId="10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98" w:default="1">
    <w:name w:val="No List"/>
    <w:uiPriority w:val="99"/>
    <w:semiHidden/>
    <w:unhideWhenUsed/>
    <w:pPr>
      <w:pBdr/>
      <w:spacing/>
      <w:ind/>
    </w:pPr>
  </w:style>
  <w:style w:type="table" w:styleId="1099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00">
    <w:name w:val="Title"/>
    <w:basedOn w:val="1089"/>
    <w:next w:val="1089"/>
    <w:uiPriority w:val="10"/>
    <w:qFormat/>
    <w:pPr>
      <w:keepNext w:val="true"/>
      <w:keepLines w:val="true"/>
      <w:pBdr/>
      <w:spacing w:after="120" w:before="480"/>
      <w:ind/>
    </w:pPr>
    <w:rPr>
      <w:rFonts w:ascii="Calibri" w:hAnsi="Calibri" w:eastAsia="Calibri" w:cs="Calibri"/>
      <w:b/>
      <w:color w:val="000000"/>
      <w:sz w:val="72"/>
      <w:szCs w:val="72"/>
    </w:rPr>
  </w:style>
  <w:style w:type="table" w:styleId="1101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03">
    <w:name w:val="Subtitle"/>
    <w:basedOn w:val="1089"/>
    <w:next w:val="1089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1104" w:customStyle="1">
    <w:name w:val="StGen0"/>
    <w:basedOn w:val="1102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 w:customStyle="1">
    <w:name w:val="StGen1"/>
    <w:basedOn w:val="1102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 w:customStyle="1">
    <w:name w:val="StGen2"/>
    <w:basedOn w:val="1102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 w:customStyle="1">
    <w:name w:val="StGen3"/>
    <w:basedOn w:val="1102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 w:customStyle="1">
    <w:name w:val="StGen4"/>
    <w:basedOn w:val="1102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 w:customStyle="1">
    <w:name w:val="StGen5"/>
    <w:basedOn w:val="1102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 w:customStyle="1">
    <w:name w:val="StGen6"/>
    <w:basedOn w:val="1102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 w:customStyle="1">
    <w:name w:val="StGen7"/>
    <w:basedOn w:val="1102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 w:customStyle="1">
    <w:name w:val="StGen8"/>
    <w:basedOn w:val="1102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13">
    <w:name w:val="List Paragraph"/>
    <w:basedOn w:val="1089"/>
    <w:uiPriority w:val="34"/>
    <w:qFormat/>
    <w:pPr>
      <w:pBdr/>
      <w:spacing w:after="100" w:afterAutospacing="1" w:before="100" w:beforeAutospacing="1"/>
      <w:ind/>
    </w:pPr>
    <w:rPr>
      <w:lang w:val="es-MX"/>
    </w:rPr>
  </w:style>
  <w:style w:type="paragraph" w:styleId="1114">
    <w:name w:val="No Spacing"/>
    <w:uiPriority w:val="1"/>
    <w:qFormat/>
    <w:pPr>
      <w:pBdr/>
      <w:spacing/>
      <w:ind/>
    </w:pPr>
    <w:rPr>
      <w:rFonts w:ascii="Arial" w:hAnsi="Arial" w:cs="Arial"/>
      <w:lang w:val="es-MX" w:eastAsia="es-ES"/>
    </w:rPr>
  </w:style>
  <w:style w:type="paragraph" w:styleId="1115" w:customStyle="1">
    <w:name w:val="Default"/>
    <w:pPr>
      <w:pBdr/>
      <w:spacing/>
      <w:ind/>
    </w:pPr>
    <w:rPr>
      <w:color w:val="000000"/>
      <w:lang w:val="es-MX"/>
    </w:rPr>
  </w:style>
  <w:style w:type="table" w:styleId="1116">
    <w:name w:val="Table Grid"/>
    <w:basedOn w:val="1097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17">
    <w:name w:val="Header"/>
    <w:basedOn w:val="1089"/>
    <w:link w:val="111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118" w:customStyle="1">
    <w:name w:val="Encabezado Car"/>
    <w:basedOn w:val="1096"/>
    <w:link w:val="1117"/>
    <w:uiPriority w:val="99"/>
    <w:pPr>
      <w:pBdr/>
      <w:spacing/>
      <w:ind/>
    </w:pPr>
  </w:style>
  <w:style w:type="paragraph" w:styleId="1119">
    <w:name w:val="Footer"/>
    <w:basedOn w:val="1089"/>
    <w:link w:val="1120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120" w:customStyle="1">
    <w:name w:val="Pie de página Car"/>
    <w:basedOn w:val="1096"/>
    <w:link w:val="1119"/>
    <w:uiPriority w:val="99"/>
    <w:pPr>
      <w:pBdr/>
      <w:spacing/>
      <w:ind/>
    </w:pPr>
  </w:style>
  <w:style w:type="character" w:styleId="1121">
    <w:name w:val="Hyperlink"/>
    <w:basedOn w:val="1096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122">
    <w:name w:val="Unresolved Mention"/>
    <w:basedOn w:val="109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1123" w:customStyle="1">
    <w:name w:val="StGen9"/>
    <w:basedOn w:val="1102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 w:customStyle="1">
    <w:name w:val="StGen10"/>
    <w:basedOn w:val="1102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 w:customStyle="1">
    <w:name w:val="StGen11"/>
    <w:basedOn w:val="1102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 w:customStyle="1">
    <w:name w:val="StGen12"/>
    <w:basedOn w:val="1102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 w:customStyle="1">
    <w:name w:val="StGen13"/>
    <w:basedOn w:val="1102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 w:customStyle="1">
    <w:name w:val="StGen14"/>
    <w:basedOn w:val="1102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 w:customStyle="1">
    <w:name w:val="StGen15"/>
    <w:basedOn w:val="1102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 w:customStyle="1">
    <w:name w:val="StGen16"/>
    <w:basedOn w:val="1102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 w:customStyle="1">
    <w:name w:val="StGen17"/>
    <w:basedOn w:val="1101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 w:customStyle="1">
    <w:name w:val="StGen18"/>
    <w:basedOn w:val="1101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 w:customStyle="1">
    <w:name w:val="StGen19"/>
    <w:basedOn w:val="1101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 w:customStyle="1">
    <w:name w:val="StGen20"/>
    <w:basedOn w:val="1101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 w:customStyle="1">
    <w:name w:val="StGen21"/>
    <w:basedOn w:val="1101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 w:customStyle="1">
    <w:name w:val="StGen22"/>
    <w:basedOn w:val="1101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 w:customStyle="1">
    <w:name w:val="StGen23"/>
    <w:basedOn w:val="1101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 w:customStyle="1">
    <w:name w:val="StGen24"/>
    <w:basedOn w:val="1101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39">
    <w:name w:val="FollowedHyperlink"/>
    <w:basedOn w:val="1096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hyperlink" Target="https://enesmerida.unam.mx/practicas_campo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Z4IacmHrYMeSejeSeVuJ4+IvJA==">CgMxLjAyCGguZ2pkZ3hzMgloLjMwajB6bGw4AHIhMXQ0NkRBUWtJMThsZUNJMVVVeThWR3hqSHpNbEJnbWNT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Universidad Nacional Autonoma de México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Eliana Arancibia</dc:creator>
  <cp:revision>17</cp:revision>
  <dcterms:created xsi:type="dcterms:W3CDTF">2021-11-03T14:45:00Z</dcterms:created>
  <dcterms:modified xsi:type="dcterms:W3CDTF">2026-01-20T18:13:30Z</dcterms:modified>
</cp:coreProperties>
</file>