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17AC20D" w14:textId="67710AFC" w:rsidR="00D7522C" w:rsidRDefault="00AD5581" w:rsidP="00156B74">
      <w:pPr>
        <w:pStyle w:val="Author"/>
        <w:spacing w:before="5pt" w:beforeAutospacing="1" w:after="5pt" w:afterAutospacing="1"/>
        <w:rPr>
          <w:sz w:val="16"/>
          <w:szCs w:val="16"/>
        </w:rPr>
      </w:pPr>
      <w:r w:rsidRPr="00AD5581">
        <w:rPr>
          <w:rFonts w:eastAsia="MS Mincho"/>
          <w:sz w:val="48"/>
          <w:szCs w:val="48"/>
        </w:rPr>
        <w:t>Testing a Prototype Scaffold Software for the Teaching of Digital Literacy in Humanities Students</w:t>
      </w:r>
      <w:r w:rsidRPr="00AD5581">
        <w:rPr>
          <w:rFonts w:eastAsia="MS Mincho"/>
          <w:sz w:val="48"/>
          <w:szCs w:val="48"/>
        </w:rPr>
        <w:t xml:space="preserve"> </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A89F581" w:rsidR="001A3B3D" w:rsidRPr="00AD5581" w:rsidRDefault="00AD5581" w:rsidP="00AD5581">
      <w:pPr>
        <w:pStyle w:val="Author"/>
        <w:spacing w:before="5pt" w:beforeAutospacing="1"/>
        <w:rPr>
          <w:sz w:val="18"/>
          <w:szCs w:val="18"/>
          <w:lang w:val="es-ES"/>
        </w:rPr>
        <w:sectPr w:rsidR="001A3B3D" w:rsidRPr="00AD5581" w:rsidSect="00AD5581">
          <w:type w:val="continuous"/>
          <w:pgSz w:w="612pt" w:h="792pt" w:code="1"/>
          <w:pgMar w:top="54pt" w:right="44.65pt" w:bottom="72pt" w:left="44.65pt" w:header="36pt" w:footer="36pt" w:gutter="0pt"/>
          <w:cols w:num="3" w:space="10.80pt"/>
          <w:docGrid w:linePitch="360"/>
        </w:sectPr>
      </w:pPr>
      <w:r w:rsidRPr="00AD5581">
        <w:rPr>
          <w:sz w:val="18"/>
          <w:szCs w:val="18"/>
          <w:lang w:val="es-ES"/>
        </w:rPr>
        <w:t>Carlos Zermeño</w:t>
      </w:r>
      <w:r w:rsidRPr="00AD5581">
        <w:rPr>
          <w:sz w:val="18"/>
          <w:szCs w:val="18"/>
          <w:lang w:val="es-ES"/>
        </w:rPr>
        <w:br/>
      </w:r>
      <w:r>
        <w:rPr>
          <w:sz w:val="18"/>
          <w:szCs w:val="18"/>
          <w:lang w:val="es-ES"/>
        </w:rPr>
        <w:t>Humanistic Studies Dept.</w:t>
      </w:r>
      <w:r>
        <w:rPr>
          <w:sz w:val="18"/>
          <w:szCs w:val="18"/>
          <w:lang w:val="es-ES"/>
        </w:rPr>
        <w:br/>
        <w:t>Tecnologico de Monterrey</w:t>
      </w:r>
      <w:r>
        <w:rPr>
          <w:sz w:val="18"/>
          <w:szCs w:val="18"/>
          <w:lang w:val="es-ES"/>
        </w:rPr>
        <w:br/>
        <w:t>Toluca, México</w:t>
      </w:r>
      <w:r>
        <w:rPr>
          <w:sz w:val="18"/>
          <w:szCs w:val="18"/>
          <w:lang w:val="es-ES"/>
        </w:rPr>
        <w:br/>
      </w:r>
      <w:r w:rsidRPr="00AD5581">
        <w:rPr>
          <w:sz w:val="18"/>
          <w:szCs w:val="18"/>
          <w:lang w:val="es-ES"/>
        </w:rPr>
        <w:t>gerardo.vargas@tec.mx</w:t>
      </w:r>
      <w:r>
        <w:rPr>
          <w:sz w:val="18"/>
          <w:szCs w:val="18"/>
          <w:lang w:val="es-ES"/>
        </w:rPr>
        <w:br/>
      </w:r>
      <w:r>
        <w:rPr>
          <w:sz w:val="18"/>
          <w:szCs w:val="18"/>
          <w:lang w:val="es-ES"/>
        </w:rPr>
        <w:t xml:space="preserve">Dinorah Pesqueira </w:t>
      </w:r>
      <w:r>
        <w:rPr>
          <w:sz w:val="18"/>
          <w:szCs w:val="18"/>
          <w:lang w:val="es-ES"/>
        </w:rPr>
        <w:br/>
      </w:r>
      <w:r w:rsidRPr="00AD5581">
        <w:rPr>
          <w:sz w:val="18"/>
          <w:szCs w:val="18"/>
          <w:lang w:val="es-ES"/>
        </w:rPr>
        <w:t>Humanistic Studies Dept.</w:t>
      </w:r>
      <w:r>
        <w:rPr>
          <w:sz w:val="18"/>
          <w:szCs w:val="18"/>
          <w:lang w:val="es-ES"/>
        </w:rPr>
        <w:br/>
      </w:r>
      <w:r w:rsidRPr="00AD5581">
        <w:rPr>
          <w:sz w:val="18"/>
          <w:szCs w:val="18"/>
          <w:lang w:val="es-ES"/>
        </w:rPr>
        <w:t>Tecnologico de Monterrey</w:t>
      </w:r>
      <w:r>
        <w:rPr>
          <w:sz w:val="18"/>
          <w:szCs w:val="18"/>
          <w:lang w:val="es-ES"/>
        </w:rPr>
        <w:br/>
      </w:r>
      <w:r w:rsidRPr="00AD5581">
        <w:rPr>
          <w:sz w:val="18"/>
          <w:szCs w:val="18"/>
          <w:lang w:val="es-ES"/>
        </w:rPr>
        <w:t>Toluca, México</w:t>
      </w:r>
      <w:r>
        <w:rPr>
          <w:sz w:val="18"/>
          <w:szCs w:val="18"/>
          <w:lang w:val="es-ES"/>
        </w:rPr>
        <w:br/>
      </w:r>
      <w:r w:rsidRPr="00AD5581">
        <w:rPr>
          <w:sz w:val="18"/>
          <w:szCs w:val="18"/>
          <w:lang w:val="es-ES"/>
        </w:rPr>
        <w:t>dinorahpesqueir</w:t>
      </w:r>
      <w:r w:rsidRPr="00AD5581">
        <w:rPr>
          <w:sz w:val="18"/>
          <w:szCs w:val="18"/>
          <w:lang w:val="es-ES"/>
        </w:rPr>
        <w:t>a</w:t>
      </w:r>
      <w:r w:rsidRPr="00AD5581">
        <w:rPr>
          <w:sz w:val="18"/>
          <w:szCs w:val="18"/>
          <w:lang w:val="es-ES"/>
        </w:rPr>
        <w:t>@tec.mx</w:t>
      </w:r>
      <w:r>
        <w:rPr>
          <w:sz w:val="18"/>
          <w:szCs w:val="18"/>
          <w:lang w:val="es-ES"/>
        </w:rPr>
        <w:br/>
      </w:r>
      <w:r>
        <w:rPr>
          <w:sz w:val="18"/>
          <w:szCs w:val="18"/>
          <w:lang w:val="es-ES"/>
        </w:rPr>
        <w:t>Julia Alcántara</w:t>
      </w:r>
      <w:r>
        <w:rPr>
          <w:sz w:val="18"/>
          <w:szCs w:val="18"/>
          <w:lang w:val="es-ES"/>
        </w:rPr>
        <w:br/>
      </w:r>
      <w:r w:rsidRPr="00AD5581">
        <w:rPr>
          <w:sz w:val="18"/>
          <w:szCs w:val="18"/>
          <w:lang w:val="es-ES"/>
        </w:rPr>
        <w:t>Humanistic Studies Dept</w:t>
      </w:r>
      <w:r>
        <w:rPr>
          <w:sz w:val="18"/>
          <w:szCs w:val="18"/>
          <w:lang w:val="es-ES"/>
        </w:rPr>
        <w:t>.</w:t>
      </w:r>
      <w:r>
        <w:rPr>
          <w:sz w:val="18"/>
          <w:szCs w:val="18"/>
          <w:lang w:val="es-ES"/>
        </w:rPr>
        <w:br/>
      </w:r>
      <w:r w:rsidRPr="00AD5581">
        <w:rPr>
          <w:sz w:val="18"/>
          <w:szCs w:val="18"/>
          <w:lang w:val="es-ES"/>
        </w:rPr>
        <w:t>Tecnologico de Monterrey</w:t>
      </w:r>
      <w:r>
        <w:rPr>
          <w:sz w:val="18"/>
          <w:szCs w:val="18"/>
          <w:lang w:val="es-ES"/>
        </w:rPr>
        <w:br/>
      </w:r>
      <w:r w:rsidRPr="00AD5581">
        <w:rPr>
          <w:sz w:val="18"/>
          <w:szCs w:val="18"/>
          <w:lang w:val="es-ES"/>
        </w:rPr>
        <w:t>Toluca, México</w:t>
      </w:r>
      <w:r>
        <w:rPr>
          <w:sz w:val="18"/>
          <w:szCs w:val="18"/>
          <w:lang w:val="es-ES"/>
        </w:rPr>
        <w:br/>
        <w:t>jalcanta</w:t>
      </w:r>
      <w:r w:rsidRPr="00AD5581">
        <w:rPr>
          <w:sz w:val="18"/>
          <w:szCs w:val="18"/>
          <w:lang w:val="es-ES"/>
        </w:rPr>
        <w:t>@tec.mx</w:t>
      </w:r>
    </w:p>
    <w:p w14:paraId="44292629" w14:textId="77777777" w:rsidR="009303D9" w:rsidRPr="00AD5581" w:rsidRDefault="009303D9" w:rsidP="00AD5581">
      <w:pPr>
        <w:jc w:val="both"/>
        <w:rPr>
          <w:lang w:val="es-ES"/>
        </w:rPr>
        <w:sectPr w:rsidR="009303D9" w:rsidRPr="00AD5581">
          <w:type w:val="continuous"/>
          <w:pgSz w:w="612pt" w:h="792pt" w:code="1"/>
          <w:pgMar w:top="54pt" w:right="44.65pt" w:bottom="72pt" w:left="44.65pt" w:header="36pt" w:footer="36pt" w:gutter="0pt"/>
          <w:cols w:space="36pt"/>
          <w:docGrid w:linePitch="360"/>
        </w:sectPr>
      </w:pPr>
    </w:p>
    <w:p w14:paraId="128D2612" w14:textId="77777777" w:rsidR="00CA4392" w:rsidRPr="00F847A6" w:rsidRDefault="00CA4392" w:rsidP="00AD5581">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0AAB0F24" w:rsidR="004D72B5" w:rsidRDefault="009303D9" w:rsidP="00972203">
      <w:pPr>
        <w:pStyle w:val="Abstract"/>
        <w:rPr>
          <w:i/>
          <w:iCs/>
        </w:rPr>
      </w:pPr>
      <w:r>
        <w:rPr>
          <w:i/>
          <w:iCs/>
        </w:rPr>
        <w:t>Abstract</w:t>
      </w:r>
      <w:r>
        <w:t>—</w:t>
      </w:r>
      <w:r w:rsidR="00AD5581" w:rsidRPr="00AD5581">
        <w:t xml:space="preserve"> </w:t>
      </w:r>
      <w:r w:rsidR="00AD5581" w:rsidRPr="00AD5581">
        <w:t>The increased integration of digital tools and large-scale data analysis has transformed traditional humanistic inquiry into a filed sometimes called “Digital Humanities”, yet humanities students frequently lack the foundational data literacy required to navigate this recent landscape. This report details the development and evaluation of a prototype software tool, designed to scaffold data management and analysis for humanities students in a research methodology course. We measured student engagement, self-reported research skills, and objective data analysis capabilities via an A/B test comparing the prototype to Microsoft Excel, complemented by two focus groups to assess underlying student perceptions. The implications of this study suggest that while reducing extraneous cognitive load through simplified interfaces promotes initial engagement, software scaffolds must be carefully calibrated and gradually faded. Without productive cognitive struggle and complementary teacher mediation, highly automated tools risk trapping students in an illusion of learning rather than fostering genuine intellectual autonomy.</w:t>
      </w:r>
      <w:r w:rsidR="001A42EA">
        <w:rPr>
          <w:iCs/>
        </w:rPr>
        <w:t xml:space="preserve"> </w:t>
      </w:r>
    </w:p>
    <w:p w14:paraId="3F9CDE0E" w14:textId="75188249" w:rsidR="009303D9" w:rsidRPr="004D72B5" w:rsidRDefault="004D72B5" w:rsidP="00972203">
      <w:pPr>
        <w:pStyle w:val="Keywords"/>
      </w:pPr>
      <w:r w:rsidRPr="004D72B5">
        <w:t>Keywords—</w:t>
      </w:r>
      <w:r w:rsidR="00AD5581">
        <w:t>digital literacy</w:t>
      </w:r>
      <w:r w:rsidR="00D7522C">
        <w:t>,</w:t>
      </w:r>
      <w:r w:rsidR="009303D9" w:rsidRPr="004D72B5">
        <w:t xml:space="preserve"> </w:t>
      </w:r>
      <w:r w:rsidR="00AD5581">
        <w:t>scaffolding</w:t>
      </w:r>
      <w:r w:rsidR="00D7522C">
        <w:t>,</w:t>
      </w:r>
      <w:r w:rsidR="00AD5581">
        <w:t xml:space="preserve"> educational technology</w:t>
      </w:r>
      <w:r w:rsidR="00D7522C">
        <w:t>,</w:t>
      </w:r>
      <w:r w:rsidR="009303D9" w:rsidRPr="004D72B5">
        <w:t xml:space="preserve"> </w:t>
      </w:r>
      <w:r w:rsidR="00AD5581">
        <w:t>digital humanities</w:t>
      </w:r>
    </w:p>
    <w:p w14:paraId="7FFFA702" w14:textId="484B2A1F" w:rsidR="009303D9" w:rsidRPr="00D632BE" w:rsidRDefault="009303D9" w:rsidP="006B6B66">
      <w:pPr>
        <w:pStyle w:val="Heading1"/>
      </w:pPr>
      <w:r w:rsidRPr="00D632BE">
        <w:t>Introduction</w:t>
      </w:r>
    </w:p>
    <w:p w14:paraId="105D1D8F" w14:textId="2A4AED3A" w:rsidR="00363862" w:rsidRDefault="00363862" w:rsidP="00363862">
      <w:pPr>
        <w:pStyle w:val="BodyText"/>
      </w:pPr>
      <w:r>
        <w:t xml:space="preserve">As humanities undergo constant methodological shifts, a series of “turns” (linguistic, visual, material) have attempted to capture some general zeitgeist regarding the way we think about individuals, societies, and cultural artifacts. Currently, a “Big Data Turn” is reformulating our conceptions of epistemological and methodological approaches to humanistic work. Digital Literary Studies and the broader Digital Humanities leverage systematic, technologically equipped methodologies, shifting disciplines that traditionally relied on intuition toward the empirical analysis of massive datasets </w:t>
      </w:r>
      <w:r>
        <w:t>[1]</w:t>
      </w:r>
      <w:r>
        <w:t xml:space="preserve">. Out of this movement towards the presence of data in humanistic inquiry, Digital Methods </w:t>
      </w:r>
      <w:r>
        <w:t>[2]</w:t>
      </w:r>
      <w:r>
        <w:t xml:space="preserve"> and Cultural Analytics </w:t>
      </w:r>
      <w:r>
        <w:t>[3]</w:t>
      </w:r>
      <w:r>
        <w:t xml:space="preserve"> have also emerged, further expanding the catalog of methodologies and epistemologies.</w:t>
      </w:r>
    </w:p>
    <w:p w14:paraId="5F43A7BA" w14:textId="09430E2A" w:rsidR="00363862" w:rsidRDefault="00363862" w:rsidP="00363862">
      <w:pPr>
        <w:pStyle w:val="BodyText"/>
      </w:pPr>
      <w:r>
        <w:t xml:space="preserve">Operating effectively within this new paradigm requires robust data literacy, defined broadly as the ability to collect, manage, evaluate, and apply data in a critical manner </w:t>
      </w:r>
      <w:r>
        <w:t xml:space="preserve">[4]. </w:t>
      </w:r>
      <w:r>
        <w:t xml:space="preserve">Data-centric thinking is rapidly becoming vital to the way we work, communicate, and understand modern society </w:t>
      </w:r>
      <w:r>
        <w:t>[5].</w:t>
      </w:r>
      <w:r>
        <w:t xml:space="preserve"> Even in research methodology courses where a mixture of qualitative </w:t>
      </w:r>
      <w:r>
        <w:t>and quantitative methods is expected, humanities students struggle with the basics of data management, exploratory data analysis, the grammar of visualizations, and the general workflows of digital tools such as Microsoft Excel.</w:t>
      </w:r>
    </w:p>
    <w:p w14:paraId="0DB6F576" w14:textId="0F0CCAB0" w:rsidR="009303D9" w:rsidRPr="005B520E" w:rsidRDefault="00363862" w:rsidP="00363862">
      <w:pPr>
        <w:pStyle w:val="BodyText"/>
      </w:pPr>
      <w:r>
        <w:t xml:space="preserve">Even if data literacy is defined primarily as a cognitive skill, much of its actual application is technology-mediated; a way of understanding is through the Technology Acceptance Model (TAM), which sees a user's behavioral intention to adopt a system as driven by two primary cognitive responses: Perceived Usefulness (PU) and Perceived Ease of Use (PEOU) </w:t>
      </w:r>
      <w:r>
        <w:t>[6].</w:t>
      </w:r>
      <w:r>
        <w:t xml:space="preserve"> When students encounter complex interfaces without sufficient scaffolding, their perceived ease of use drops, which directly and negatively impacts their attitude and intention to use the technology </w:t>
      </w:r>
      <w:r>
        <w:t>[7]</w:t>
      </w:r>
      <w:r>
        <w:t>. Thus, to promote self-efficacy in our students, we designed a prototype data management tool for use in research methodology courses that functions as an introductory scaffold before turning to more advanced software. The use of the tool was also an attempt to understand why humanities students struggle with data literacy and how intentionally designed technology can help them become more comfortable working in an increasingly data-driven world</w:t>
      </w:r>
      <w:r w:rsidR="009303D9" w:rsidRPr="005B520E">
        <w:t>.</w:t>
      </w:r>
    </w:p>
    <w:p w14:paraId="3EF35B8D" w14:textId="5156DC3E" w:rsidR="009303D9" w:rsidRPr="006B6B66" w:rsidRDefault="00363862" w:rsidP="006B6B66">
      <w:pPr>
        <w:pStyle w:val="Heading1"/>
      </w:pPr>
      <w:r>
        <w:t>Literature Review</w:t>
      </w:r>
    </w:p>
    <w:p w14:paraId="402EDF63" w14:textId="75A3FFBA" w:rsidR="00363862" w:rsidRDefault="00363862" w:rsidP="00363862">
      <w:pPr>
        <w:pStyle w:val="BodyText"/>
      </w:pPr>
      <w:r>
        <w:t>Data literacy encompasses both the critical thinking required to evaluate findings, recognize faulty arguments, and abstract meaning from complex information; and the mechanical operations of data handling. This usually means that new data tools often targets users who already possess baseline computational thinking skills, leaving novices behind</w:t>
      </w:r>
      <w:r>
        <w:t xml:space="preserve"> [8]. </w:t>
      </w:r>
      <w:r>
        <w:t>By prioritizing outputs and ease of use over genuine learning, tool designers often produce “black boxes” that hide the underlying mathematical or analytical processes from those in early learning stages.</w:t>
      </w:r>
    </w:p>
    <w:p w14:paraId="613CBCD8" w14:textId="74314AB5" w:rsidR="00363862" w:rsidRDefault="00363862" w:rsidP="00363862">
      <w:pPr>
        <w:pStyle w:val="BodyText"/>
      </w:pPr>
      <w:r>
        <w:t xml:space="preserve">To address this, educational technology relies heavily on the concept of scaffolding: temporary expert support that allows novices to reach successive levels of competence </w:t>
      </w:r>
      <w:r>
        <w:t>[9].</w:t>
      </w:r>
      <w:r>
        <w:t xml:space="preserve"> These scaffolds can constrain user actions and focus attention on important task features to prevent learners from engaging in unproductive tactics</w:t>
      </w:r>
      <w:r>
        <w:t xml:space="preserve"> [10]</w:t>
      </w:r>
      <w:r>
        <w:t xml:space="preserve">. In practice, this means that scaffolding strategies attempt to manages the limited capacity of human working memory by reducing "extraneous cognitive load" (mental effort caused by poor design) while maximizing </w:t>
      </w:r>
      <w:r>
        <w:lastRenderedPageBreak/>
        <w:t xml:space="preserve">"germane cognitive load" (effort invested in schema acquisition and understanding) </w:t>
      </w:r>
      <w:r w:rsidR="004A7C73">
        <w:t>[11]</w:t>
      </w:r>
      <w:r>
        <w:t>.</w:t>
      </w:r>
    </w:p>
    <w:p w14:paraId="4E992BC6" w14:textId="5C87D056" w:rsidR="009303D9" w:rsidRPr="005B520E" w:rsidRDefault="00363862" w:rsidP="00363862">
      <w:pPr>
        <w:pStyle w:val="BodyText"/>
      </w:pPr>
      <w:r>
        <w:t>It is possible, however, to “over-scaffold” digital learning environments, leading students to a "Zone of No Development": a state where cognitive comfort replaces epistemic curiosity and continuous assistance impedes intellectual autonomy. Subjects in such circumstances may experience an "illusion of learning," confusing rapid task completion and interface fluency with actual conceptual mastery</w:t>
      </w:r>
      <w:r w:rsidR="004A7C73">
        <w:t xml:space="preserve"> [12]. </w:t>
      </w:r>
      <w:r>
        <w:t>To prevent this, temporary scaffolding should balance ease of use with the productive struggle necessary for deep learning, ensuring that the tool serves as a developmental bridge</w:t>
      </w:r>
      <w:r w:rsidR="009303D9" w:rsidRPr="005B520E">
        <w:t>.</w:t>
      </w:r>
    </w:p>
    <w:p w14:paraId="65313B9F" w14:textId="673F9C9E" w:rsidR="009303D9" w:rsidRDefault="00363862" w:rsidP="006B6B66">
      <w:pPr>
        <w:pStyle w:val="Heading1"/>
      </w:pPr>
      <w:r>
        <w:t>Intervention</w:t>
      </w:r>
    </w:p>
    <w:p w14:paraId="43F004A5" w14:textId="77777777" w:rsidR="00363862" w:rsidRDefault="00363862" w:rsidP="00363862">
      <w:pPr>
        <w:pStyle w:val="BodyText"/>
      </w:pPr>
      <w:r>
        <w:t>We built a web-based prototype to complement Research Methodology classes for humanities students. We settled on a specific research topic: traditional bakeries in Toluca, Mexico. Because of this, we have it the name “</w:t>
      </w:r>
      <w:proofErr w:type="spellStart"/>
      <w:r>
        <w:t>Panalizador</w:t>
      </w:r>
      <w:proofErr w:type="spellEnd"/>
      <w:r>
        <w:t>” (“</w:t>
      </w:r>
      <w:proofErr w:type="spellStart"/>
      <w:r>
        <w:t>Breadalizer</w:t>
      </w:r>
      <w:proofErr w:type="spellEnd"/>
      <w:r>
        <w:t>”).</w:t>
      </w:r>
    </w:p>
    <w:p w14:paraId="69EF03A8" w14:textId="77777777" w:rsidR="00363862" w:rsidRDefault="00363862" w:rsidP="00363862">
      <w:pPr>
        <w:pStyle w:val="BodyText"/>
      </w:pPr>
      <w:r>
        <w:t>Our system consisted of two main components. First, a Content Management System (CMS) that allowed students to record quantitative and qualitative data about bakeries. Second, a "report generator" component. This feature guided students through several sequential steps to filter the dataset: selection of properties, conditions, grouping, order, and visualization.</w:t>
      </w:r>
    </w:p>
    <w:p w14:paraId="022FCE6E" w14:textId="116C3C72" w:rsidR="0080791D" w:rsidRDefault="00363862" w:rsidP="00363862">
      <w:pPr>
        <w:pStyle w:val="BodyText"/>
      </w:pPr>
      <w:r>
        <w:t>From the very beginning, we recognized the intrinsic limitations of the system in comparison to full-featured software such as Microsoft Excel, but we also acknowledged the initial friction humanities students face when confronted with data. As a scaffolding tool intended to ease them into more complex data analysis, we asked the students to fill the CMS and use the report generator to complement their research with minimal explicit technological training from the instructors</w:t>
      </w:r>
      <w:r w:rsidR="0080791D" w:rsidRPr="005B520E">
        <w:t>.</w:t>
      </w:r>
    </w:p>
    <w:p w14:paraId="3617E987" w14:textId="77777777" w:rsidR="00363862" w:rsidRDefault="00363862" w:rsidP="00363862">
      <w:pPr>
        <w:pStyle w:val="BodyText"/>
      </w:pPr>
    </w:p>
    <w:p w14:paraId="0059CD6F" w14:textId="57B5FA31" w:rsidR="00363862" w:rsidRDefault="00363862" w:rsidP="00363862">
      <w:pPr>
        <w:pStyle w:val="Heading1"/>
      </w:pPr>
      <w:r>
        <w:t>Methodology</w:t>
      </w:r>
    </w:p>
    <w:p w14:paraId="0C7BC7B0" w14:textId="77777777" w:rsidR="00363862" w:rsidRDefault="00363862" w:rsidP="00363862">
      <w:pPr>
        <w:pStyle w:val="BodyText"/>
      </w:pPr>
      <w:r w:rsidRPr="00363862">
        <w:t>We deployed the tool within a convenience sample of students a cross college-level Research Methodologies courses in a private Mexican university. Six months after the deployment and use of the tool in class, we evaluated competency by conducting an A/B Test involving one of the student groups that had utilized the prototype. We designed specific analytical problems based on the bakery dataset collected during the class. Group A was given the raw dataset and asked to solve the problems using Microsoft Excel, while Group B was restricted to using the "</w:t>
      </w:r>
      <w:proofErr w:type="spellStart"/>
      <w:r w:rsidRPr="00363862">
        <w:t>Panalizador</w:t>
      </w:r>
      <w:proofErr w:type="spellEnd"/>
      <w:r w:rsidRPr="00363862">
        <w:t>" prototype. Participants were evaluated on both completion time and analytical effectiveness</w:t>
      </w:r>
      <w:r>
        <w:t>.</w:t>
      </w:r>
    </w:p>
    <w:p w14:paraId="102ACDFB" w14:textId="5885D440" w:rsidR="00363862" w:rsidRDefault="00363862" w:rsidP="00363862">
      <w:pPr>
        <w:pStyle w:val="BodyText"/>
      </w:pPr>
      <w:r w:rsidRPr="00363862">
        <w:t>To capture nuanced student perspectives, we conducted two qualitative focus groups with students who did not participate in the A/B Test. We covered topics such as: their understandings of data and data literacy, how they generally approach data analysis, and their reflections on the ease of use and viability of our tool as a learning complement compared to standard applications like Excel or modern AI interfaces</w:t>
      </w:r>
      <w:r>
        <w:t>.</w:t>
      </w:r>
    </w:p>
    <w:p w14:paraId="54077B04" w14:textId="77777777" w:rsidR="00363862" w:rsidRDefault="00363862" w:rsidP="00363862">
      <w:pPr>
        <w:pStyle w:val="BodyText"/>
      </w:pPr>
    </w:p>
    <w:p w14:paraId="79DF0C74" w14:textId="426D0FAC" w:rsidR="00363862" w:rsidRDefault="00363862" w:rsidP="00363862">
      <w:pPr>
        <w:pStyle w:val="Heading1"/>
      </w:pPr>
      <w:r>
        <w:t>Results</w:t>
      </w:r>
    </w:p>
    <w:p w14:paraId="3447E3FA" w14:textId="77777777" w:rsidR="00363862" w:rsidRDefault="00363862" w:rsidP="00363862">
      <w:pPr>
        <w:pStyle w:val="BodyText"/>
      </w:pPr>
      <w:r>
        <w:t>The focus groups’ responses illuminated underlying epistemological barriers, workflow expectations, and current technological dependencies of the students. In the first group, students emphasized the necessity of investigating the cultural and historical context of the bakeries before touching the data, demonstrating an understanding that data collection must be framed by human context. Meanwhile, participants in the second group focused on utilizing pre-existing graphics and data from external investigations, linking their own findings to the existing understanding of the topic.</w:t>
      </w:r>
    </w:p>
    <w:p w14:paraId="4501BF6B" w14:textId="77777777" w:rsidR="00363862" w:rsidRDefault="00363862" w:rsidP="00363862">
      <w:pPr>
        <w:pStyle w:val="BodyText"/>
      </w:pPr>
      <w:r>
        <w:t>Both groups revealed a growing reliance on automated Artificial Intelligence processing. Students noted that they frequently feed documents or spreadsheets into AI tools with highly specific prompts, expressing that they lack the desire or manual skills to parse the data themselves.</w:t>
      </w:r>
    </w:p>
    <w:p w14:paraId="6F193E4A" w14:textId="77777777" w:rsidR="00363862" w:rsidRDefault="00363862" w:rsidP="00363862">
      <w:pPr>
        <w:pStyle w:val="BodyText"/>
      </w:pPr>
      <w:r>
        <w:t>When presented with a demonstration of one the problems from the A/B Test, solved through the use of both the “</w:t>
      </w:r>
      <w:proofErr w:type="spellStart"/>
      <w:r>
        <w:t>Panalizador</w:t>
      </w:r>
      <w:proofErr w:type="spellEnd"/>
      <w:r>
        <w:t xml:space="preserve">” and Microsoft Excel (here we showed three different methods, from Pivot Tables to complex formulas), participants explicitly stated that while the </w:t>
      </w:r>
      <w:proofErr w:type="spellStart"/>
      <w:r>
        <w:t>Panalizador</w:t>
      </w:r>
      <w:proofErr w:type="spellEnd"/>
      <w:r>
        <w:t xml:space="preserve"> tool was simple and useful, it represents a niche solution; they maintain a strong preference and expectation for Microsoft Excel, as it is the ubiquitous standard required for almost all academic and professional work.</w:t>
      </w:r>
    </w:p>
    <w:p w14:paraId="36779598" w14:textId="77777777" w:rsidR="00363862" w:rsidRDefault="00363862" w:rsidP="00363862">
      <w:pPr>
        <w:pStyle w:val="BodyText"/>
      </w:pPr>
      <w:r>
        <w:t>The A/B Test presented a challenging result: although the students who used the prototype completed the analytical tasks an average of five minutes faster than the Excel group, their accuracy was significantly lower. According to the collected metrics, the prototype users completed the tasks in an average of 42.1 minutes, whereas the Excel group required an average of 47.1 minutes. However, the “</w:t>
      </w:r>
      <w:proofErr w:type="spellStart"/>
      <w:r>
        <w:t>Panalizador</w:t>
      </w:r>
      <w:proofErr w:type="spellEnd"/>
      <w:r>
        <w:t>” group achieved an average grade of only 22.9%, compared to the Excel group's average grade of 45.3%. Item-level analysis revealed severe conceptual deficits among all the users, pointing to a lack of basic statistical knowledge and a failure of our prototype software to properly bridge these conceptual gaps.</w:t>
      </w:r>
    </w:p>
    <w:p w14:paraId="24B2B3AC" w14:textId="77777777" w:rsidR="00363862" w:rsidRDefault="00363862" w:rsidP="00363862">
      <w:pPr>
        <w:pStyle w:val="BodyText"/>
      </w:pPr>
      <w:r>
        <w:t>We also conducted pre- and post-testing, using an "Engagement Survey" provided by our institution. Pre-tests were conducted one week before the students were asked to use tool, while post-testing was conducted one week after the use of the tool was done. This was meant to understand the students' stance towards the appearance of a novel tool in class. Through nine items, three dimensions are measured: Vigor (how vigorous they feel when going to class), Dedication (their level of enthusiasm and pride in their work), Absorption (how immersed they are in class). The average scored is the Engagement Score. The survey uses a scale from "Very low" to "Very high".</w:t>
      </w:r>
    </w:p>
    <w:p w14:paraId="7CEDBEF0" w14:textId="0CE3AB21" w:rsidR="00363862" w:rsidRDefault="00363862" w:rsidP="00363862">
      <w:pPr>
        <w:pStyle w:val="BodyText"/>
      </w:pPr>
      <w:r>
        <w:t xml:space="preserve">Pre-test results showed a mixture of scores, with "Very high" at 48% for Engagement; similar scores were observed at all dimensions. Special note goes to Absorption, where "Very low" scores were up to 10%; for comparison, "Very low" scores in Engagement were at 4%. For the post-test, in all categories but Absorption "Very low" scores disappeared; "Very high" scores went up to 80% in Engagement. "High" scores went from 32% to 10%, which shows that students who were already dedicated to the class felt even better after using the technology. "Average" </w:t>
      </w:r>
      <w:r>
        <w:lastRenderedPageBreak/>
        <w:t>scores remained constant, which shows that increases were more noticeable with students who were already engaged with the course, although minor gains were achieved with students with lower Engagement scores.</w:t>
      </w:r>
    </w:p>
    <w:p w14:paraId="56792CC0" w14:textId="77777777" w:rsidR="00363862" w:rsidRDefault="00363862" w:rsidP="00363862">
      <w:pPr>
        <w:pStyle w:val="BodyText"/>
      </w:pPr>
    </w:p>
    <w:p w14:paraId="2D547BEF" w14:textId="2E7B8663" w:rsidR="00363862" w:rsidRDefault="00363862" w:rsidP="00363862">
      <w:pPr>
        <w:pStyle w:val="Heading1"/>
      </w:pPr>
      <w:r>
        <w:t>Discussion</w:t>
      </w:r>
    </w:p>
    <w:p w14:paraId="5F67EF9B" w14:textId="77777777" w:rsidR="00CA4D2D" w:rsidRDefault="00CA4D2D" w:rsidP="00CA4D2D">
      <w:pPr>
        <w:pStyle w:val="BodyText"/>
      </w:pPr>
      <w:r>
        <w:t>The divergence between rapid task completion and poor analytical performance provides a critical lesson in the design of educational software: from a Technology Acceptance Model, the “</w:t>
      </w:r>
      <w:proofErr w:type="spellStart"/>
      <w:r>
        <w:t>Panalizador</w:t>
      </w:r>
      <w:proofErr w:type="spellEnd"/>
      <w:r>
        <w:t>” prototype successfully achieved Perceived Ease of Use for surface-level tasks, which cultivated initial technological acceptance; on the other hand, when seen through the lens of Cognitive Load Theory and the Zone of Proximal Development, the tool functioned as an opaque scaffold rather than a developmental bridge.</w:t>
      </w:r>
    </w:p>
    <w:p w14:paraId="315FF04A" w14:textId="77777777" w:rsidR="00CA4D2D" w:rsidRDefault="00CA4D2D" w:rsidP="00CA4D2D">
      <w:pPr>
        <w:pStyle w:val="BodyText"/>
      </w:pPr>
      <w:r>
        <w:t>The tool inadvertently created an "illusion of learning," where fluency with the software interface masked a severe lack of actual conceptual retention. A new approach to the design of the tool is needed to better balance the ease of use with stimulation of the germane cognitive load. Special care is needed to avoid opening a Zone of No Development, a stagnant cognitive space where continuous technological mediation replaces productive struggle, preventing the internalization of foundational statistical concepts.</w:t>
      </w:r>
    </w:p>
    <w:p w14:paraId="3D66C937" w14:textId="48921EB3" w:rsidR="00363862" w:rsidRDefault="00CA4D2D" w:rsidP="00CA4D2D">
      <w:pPr>
        <w:pStyle w:val="BodyText"/>
      </w:pPr>
      <w:r>
        <w:t>The focus group insights corroborate this dynamic. Students’ stated desire for AI "analyzers" that parse data automatically from attached documents indicates a predisposition toward intellectual dependency. They want the technological tool to do the thinking for them, avoiding the cognitive friction necessary for knowledge acquisition. Furthermore, the relative failure of the prototype highlights a crucial gap in distributed scaffolding. The students were given the tool with almost no explicit training or instructor mediation. Research indicates that material scaffolds (like software) are inherently static and must be complemented by responsive social scaffolding from a teacher, which eventually "fades" to demand intellectual autonomy</w:t>
      </w:r>
      <w:r w:rsidR="00363862">
        <w:t>.</w:t>
      </w:r>
    </w:p>
    <w:p w14:paraId="333182BC" w14:textId="77777777" w:rsidR="00363862" w:rsidRDefault="00363862" w:rsidP="00363862">
      <w:pPr>
        <w:pStyle w:val="BodyText"/>
      </w:pPr>
    </w:p>
    <w:p w14:paraId="13BB7FF8" w14:textId="7368588B" w:rsidR="00363862" w:rsidRDefault="00363862" w:rsidP="00363862">
      <w:pPr>
        <w:pStyle w:val="Heading1"/>
      </w:pPr>
      <w:r>
        <w:t>Limitations</w:t>
      </w:r>
    </w:p>
    <w:p w14:paraId="1B290764" w14:textId="48C6DB3B" w:rsidR="00363862" w:rsidRPr="005B520E" w:rsidRDefault="00CA4D2D" w:rsidP="00363862">
      <w:pPr>
        <w:pStyle w:val="BodyText"/>
      </w:pPr>
      <w:r w:rsidRPr="00CA4D2D">
        <w:t>Several limitations to this study must be acknowledged. First, the convenience sample restricts the generalizability of the findings, and the singular context of researching local bakeries may not reflect broader humanistic data inquiries. Second, the explicit decision to provide minimal training on the prototype may have confounded software usability issues with genuine data literacy deficits. Finally, the relatively short duration of the intervention may not have provided sufficient time for students to transition from initial interface familiarization to deep conceptual schema acquisition</w:t>
      </w:r>
      <w:r w:rsidR="00363862">
        <w:t>.</w:t>
      </w:r>
    </w:p>
    <w:p w14:paraId="75D136C3" w14:textId="0519BA92" w:rsidR="009303D9" w:rsidRPr="005B520E" w:rsidRDefault="009303D9" w:rsidP="00E7596C">
      <w:pPr>
        <w:pStyle w:val="BodyText"/>
      </w:pPr>
    </w:p>
    <w:p w14:paraId="762EC548" w14:textId="77777777" w:rsidR="009303D9" w:rsidRPr="005B520E" w:rsidRDefault="009303D9"/>
    <w:p w14:paraId="7B535177" w14:textId="737B02B3" w:rsidR="009303D9" w:rsidRDefault="00363862" w:rsidP="0004781E">
      <w:pPr>
        <w:pStyle w:val="references"/>
        <w:ind w:start="17.70pt" w:hanging="17.70pt"/>
      </w:pPr>
      <w:r w:rsidRPr="00363862">
        <w:t xml:space="preserve">Ganascia, J.-G. (2015). The Logic of the Big Data Turn in Digital Literary Studies. </w:t>
      </w:r>
      <w:r w:rsidRPr="00363862">
        <w:rPr>
          <w:i/>
          <w:iCs/>
        </w:rPr>
        <w:t>Frontiers in Digital Humanities</w:t>
      </w:r>
      <w:r w:rsidRPr="00363862">
        <w:t>, 2(7)</w:t>
      </w:r>
      <w:r>
        <w:t>.</w:t>
      </w:r>
    </w:p>
    <w:p w14:paraId="46693B3D" w14:textId="366BE210" w:rsidR="009303D9" w:rsidRDefault="00363862" w:rsidP="0004781E">
      <w:pPr>
        <w:pStyle w:val="references"/>
        <w:ind w:start="17.70pt" w:hanging="17.70pt"/>
      </w:pPr>
      <w:r w:rsidRPr="00363862">
        <w:t xml:space="preserve">Rogers, R. (2013). </w:t>
      </w:r>
      <w:r w:rsidRPr="00363862">
        <w:rPr>
          <w:i/>
          <w:iCs/>
        </w:rPr>
        <w:t>Digital methods</w:t>
      </w:r>
      <w:r w:rsidRPr="00363862">
        <w:t>. The MIT Press</w:t>
      </w:r>
      <w:r w:rsidR="009303D9">
        <w:t>.</w:t>
      </w:r>
    </w:p>
    <w:p w14:paraId="4E127A7C" w14:textId="78E3835E" w:rsidR="009303D9" w:rsidRDefault="00363862" w:rsidP="0004781E">
      <w:pPr>
        <w:pStyle w:val="references"/>
        <w:ind w:start="17.70pt" w:hanging="17.70pt"/>
      </w:pPr>
      <w:r w:rsidRPr="00363862">
        <w:t xml:space="preserve">Manovich, L. (2020). </w:t>
      </w:r>
      <w:r w:rsidRPr="00363862">
        <w:rPr>
          <w:i/>
          <w:iCs/>
        </w:rPr>
        <w:t>Cultural analytics</w:t>
      </w:r>
      <w:r w:rsidRPr="00363862">
        <w:t>. The MIT Press.</w:t>
      </w:r>
      <w:r w:rsidR="009303D9">
        <w:t>.</w:t>
      </w:r>
    </w:p>
    <w:p w14:paraId="35F1D365" w14:textId="7BFB6531" w:rsidR="009303D9" w:rsidRDefault="00363862" w:rsidP="0004781E">
      <w:pPr>
        <w:pStyle w:val="references"/>
        <w:ind w:start="17.70pt" w:hanging="17.70pt"/>
      </w:pPr>
      <w:r w:rsidRPr="00363862">
        <w:t>Ridsdale, C., Rothwell, J., Smit, M., Ali-Hassan, H., Bliemel, M., Irvine, D., Kelley, D., Matwin, S., &amp; Wuetherick, B. (n.d.). Strategies and Best Practices  for Data Literacy Education. Knowledge Synthesis Report. Dalhousie University. Dalhousie University. DalSpace Repository Entry</w:t>
      </w:r>
      <w:r w:rsidR="009303D9">
        <w:t>.</w:t>
      </w:r>
    </w:p>
    <w:p w14:paraId="19479632" w14:textId="4EC67464" w:rsidR="009303D9" w:rsidRDefault="00363862" w:rsidP="0004781E">
      <w:pPr>
        <w:pStyle w:val="references"/>
        <w:ind w:start="17.70pt" w:hanging="17.70pt"/>
      </w:pPr>
      <w:r w:rsidRPr="00363862">
        <w:t xml:space="preserve">Bhargava, R., &amp; D'Ignazio, C. (2015). Designing Tools and Activities for Data Literacy Learners. </w:t>
      </w:r>
      <w:r w:rsidRPr="00363862">
        <w:rPr>
          <w:i/>
          <w:iCs/>
        </w:rPr>
        <w:t>WebScience Conference</w:t>
      </w:r>
      <w:r w:rsidR="009303D9">
        <w:t>.</w:t>
      </w:r>
    </w:p>
    <w:p w14:paraId="6A59C119" w14:textId="6826954F" w:rsidR="009303D9" w:rsidRDefault="00363862" w:rsidP="0004781E">
      <w:pPr>
        <w:pStyle w:val="references"/>
        <w:ind w:start="17.70pt" w:hanging="17.70pt"/>
      </w:pPr>
      <w:r w:rsidRPr="00363862">
        <w:t>Jiang, M. Y., Jong, M. S., Lau, W. W., Meng, Y., Chai, C., &amp; Chen, M. (2021). Validating the General Extended Technology Acceptance Model for E-Learning: Evidence From an Online English as a Foreign Language Course Amid COVID-19. Frontiers in Psychology, 12, 671615.</w:t>
      </w:r>
      <w:r w:rsidR="009303D9">
        <w:t>.</w:t>
      </w:r>
    </w:p>
    <w:p w14:paraId="03CAF9EC" w14:textId="6AD3B1AE" w:rsidR="00156B74" w:rsidRDefault="00363862" w:rsidP="00156B74">
      <w:pPr>
        <w:pStyle w:val="references"/>
        <w:ind w:start="17.70pt" w:hanging="17.70pt"/>
      </w:pPr>
      <w:r w:rsidRPr="00363862">
        <w:t>Holden, H., &amp; Rada, R. (2011). Understanding the Influence of Perceived Usability and Technology Self-Efficacy on Teachers' Technology Acceptance. Journal of Research on Technology in Education, 43(4), 343-367</w:t>
      </w:r>
      <w:r w:rsidR="009303D9">
        <w:t>.</w:t>
      </w:r>
    </w:p>
    <w:p w14:paraId="095CD6D1" w14:textId="349E06DD" w:rsidR="00156B74" w:rsidRPr="00156B74" w:rsidRDefault="00363862" w:rsidP="00156B74">
      <w:pPr>
        <w:pStyle w:val="references"/>
        <w:ind w:start="17.70pt" w:hanging="17.70pt"/>
        <w:rPr>
          <w:rFonts w:ascii="NimbusRomNo9L-Regu" w:eastAsia="NimbusRomNo9L-Regu" w:cs="NimbusRomNo9L-Regu"/>
        </w:rPr>
      </w:pPr>
      <w:r w:rsidRPr="00363862">
        <w:t>Bhargava, R., &amp; D'Ignazio, C. (2015). Designing Tools and Activities for Data Literacy Learners. WebScience Conference.</w:t>
      </w:r>
      <w:r w:rsidR="00156B74">
        <w:t xml:space="preserve"> </w:t>
      </w:r>
    </w:p>
    <w:p w14:paraId="529380DF" w14:textId="77777777" w:rsidR="00363862" w:rsidRDefault="00363862" w:rsidP="00156B74">
      <w:pPr>
        <w:pStyle w:val="references"/>
        <w:autoSpaceDE w:val="0"/>
        <w:autoSpaceDN w:val="0"/>
        <w:adjustRightInd w:val="0"/>
        <w:ind w:start="17.70pt" w:hanging="17.70pt"/>
        <w:jc w:val="start"/>
      </w:pPr>
      <w:r w:rsidRPr="00363862">
        <w:t>Sharma, P., &amp; Hannafin, M. J. (2007). Scaffolding in technology-enhanced learning environments. Interactive Learning Environments, 15(1), 27-46.</w:t>
      </w:r>
    </w:p>
    <w:p w14:paraId="3F42F1A1" w14:textId="063C780C" w:rsidR="00363862" w:rsidRDefault="00363862" w:rsidP="00363862">
      <w:pPr>
        <w:pStyle w:val="references"/>
        <w:autoSpaceDE w:val="0"/>
        <w:autoSpaceDN w:val="0"/>
        <w:adjustRightInd w:val="0"/>
        <w:ind w:start="17.70pt" w:hanging="17.70pt"/>
        <w:jc w:val="start"/>
      </w:pPr>
      <w:r w:rsidRPr="00363862">
        <w:t>Quintana, C., Reiser, B. J., Davis, E. A., Krajcik, J., Fretz, E., Duncan, R. G., ... &amp; Soloway, E. (2004). A Scaffolding Design Framework for Software to Support Scienc</w:t>
      </w:r>
      <w:r w:rsidRPr="00363862">
        <w:t xml:space="preserve"> </w:t>
      </w:r>
      <w:r w:rsidRPr="00363862">
        <w:t>e Inquiry. Journal of the Learning Sciences, 13(3), 337</w:t>
      </w:r>
      <w:r>
        <w:t>-386.</w:t>
      </w:r>
    </w:p>
    <w:p w14:paraId="31283CD2" w14:textId="77777777" w:rsidR="004A7C73" w:rsidRDefault="004A7C73" w:rsidP="00363862">
      <w:pPr>
        <w:pStyle w:val="references"/>
        <w:autoSpaceDE w:val="0"/>
        <w:autoSpaceDN w:val="0"/>
        <w:adjustRightInd w:val="0"/>
        <w:ind w:start="17.70pt" w:hanging="17.70pt"/>
        <w:jc w:val="start"/>
      </w:pPr>
      <w:r w:rsidRPr="004A7C73">
        <w:t>Plass, J. L., Moreno, R., &amp; Brünken, R. (Eds.). (2010). Cognitive Load Theory. Cambridge University Press.</w:t>
      </w:r>
    </w:p>
    <w:p w14:paraId="428DFF4C" w14:textId="77777777" w:rsidR="004A7C73" w:rsidRDefault="004A7C73" w:rsidP="00363862">
      <w:pPr>
        <w:pStyle w:val="references"/>
        <w:autoSpaceDE w:val="0"/>
        <w:autoSpaceDN w:val="0"/>
        <w:adjustRightInd w:val="0"/>
        <w:ind w:start="17.70pt" w:hanging="17.70pt"/>
        <w:jc w:val="start"/>
      </w:pPr>
      <w:r w:rsidRPr="004A7C73">
        <w:rPr>
          <w:lang w:val="es-ES"/>
        </w:rPr>
        <w:t xml:space="preserve">dos Santos, E. C., &amp; Birdwell, T. (2025). </w:t>
      </w:r>
      <w:r w:rsidRPr="004A7C73">
        <w:t>The Unspoken Crisis of Learning: The Surging Zone of No Development. arXiv preprint arXiv:2511.12822v1.</w:t>
      </w:r>
    </w:p>
    <w:p w14:paraId="2A5DE92A" w14:textId="6F921495" w:rsidR="00363862" w:rsidRPr="00363862" w:rsidRDefault="00363862" w:rsidP="00CA4D2D">
      <w:pPr>
        <w:pStyle w:val="references"/>
        <w:autoSpaceDE w:val="0"/>
        <w:autoSpaceDN w:val="0"/>
        <w:adjustRightInd w:val="0"/>
        <w:ind w:start="17.70pt" w:hanging="17.70pt"/>
        <w:jc w:val="start"/>
        <w:sectPr w:rsidR="00363862" w:rsidRPr="00363862"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FBFCC29" w14:textId="77777777" w:rsidR="00255950" w:rsidRDefault="00255950" w:rsidP="001A3B3D">
      <w:r>
        <w:separator/>
      </w:r>
    </w:p>
  </w:endnote>
  <w:endnote w:type="continuationSeparator" w:id="0">
    <w:p w14:paraId="6650E80A" w14:textId="77777777" w:rsidR="00255950" w:rsidRDefault="0025595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BAC22EF" w14:textId="77777777" w:rsidR="00255950" w:rsidRDefault="00255950" w:rsidP="001A3B3D">
      <w:r>
        <w:separator/>
      </w:r>
    </w:p>
  </w:footnote>
  <w:footnote w:type="continuationSeparator" w:id="0">
    <w:p w14:paraId="4E658C90" w14:textId="77777777" w:rsidR="00255950" w:rsidRDefault="0025595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55950"/>
    <w:rsid w:val="002850E3"/>
    <w:rsid w:val="00354FCF"/>
    <w:rsid w:val="00363862"/>
    <w:rsid w:val="003A19E2"/>
    <w:rsid w:val="00421EC6"/>
    <w:rsid w:val="004325FB"/>
    <w:rsid w:val="004432BA"/>
    <w:rsid w:val="0044407E"/>
    <w:rsid w:val="004A7C73"/>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D5581"/>
    <w:rsid w:val="00AE3409"/>
    <w:rsid w:val="00B11A60"/>
    <w:rsid w:val="00B22613"/>
    <w:rsid w:val="00BA1025"/>
    <w:rsid w:val="00BC3420"/>
    <w:rsid w:val="00BE7D3C"/>
    <w:rsid w:val="00BF5FF6"/>
    <w:rsid w:val="00C0207F"/>
    <w:rsid w:val="00C16117"/>
    <w:rsid w:val="00C3075A"/>
    <w:rsid w:val="00C76FFC"/>
    <w:rsid w:val="00C919A4"/>
    <w:rsid w:val="00CA4392"/>
    <w:rsid w:val="00CA4D2D"/>
    <w:rsid w:val="00CC393F"/>
    <w:rsid w:val="00D13749"/>
    <w:rsid w:val="00D2176E"/>
    <w:rsid w:val="00D632BE"/>
    <w:rsid w:val="00D72D06"/>
    <w:rsid w:val="00D7522C"/>
    <w:rsid w:val="00D7536F"/>
    <w:rsid w:val="00D76668"/>
    <w:rsid w:val="00E61E12"/>
    <w:rsid w:val="00E7596C"/>
    <w:rsid w:val="00E878F2"/>
    <w:rsid w:val="00ED0149"/>
    <w:rsid w:val="00EE6BE8"/>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AD5581"/>
    <w:rPr>
      <w:color w:val="954F72" w:themeColor="followedHyperlink"/>
      <w:u w:val="single"/>
    </w:rPr>
  </w:style>
  <w:style w:type="character" w:customStyle="1" w:styleId="Heading1Char">
    <w:name w:val="Heading 1 Char"/>
    <w:basedOn w:val="DefaultParagraphFont"/>
    <w:link w:val="Heading1"/>
    <w:rsid w:val="00363862"/>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58</TotalTime>
  <Pages>3</Pages>
  <Words>2368</Words>
  <Characters>13502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Carlos Gerardo Zermeño Vargas</cp:lastModifiedBy>
  <cp:revision>3</cp:revision>
  <dcterms:created xsi:type="dcterms:W3CDTF">2026-05-29T17:59:00Z</dcterms:created>
  <dcterms:modified xsi:type="dcterms:W3CDTF">2026-05-29T19:06:00Z</dcterms:modified>
</cp:coreProperties>
</file>