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4.png" ContentType="image/png"/>
  <Override PartName="/word/media/rId73.png" ContentType="image/png"/>
  <Override PartName="/word/media/rId32.png" ContentType="image/png"/>
  <Override PartName="/word/media/rId70.png" ContentType="image/png"/>
  <Override PartName="/word/media/rId96.png" ContentType="image/png"/>
  <Override PartName="/word/media/rId93.png" ContentType="image/png"/>
  <Override PartName="/word/media/rId40.png" ContentType="image/png"/>
  <Override PartName="/word/media/rId21.png" ContentType="image/png"/>
  <Override PartName="/word/media/rId44.png" ContentType="image/png"/>
  <Override PartName="/word/media/rId81.png" ContentType="image/png"/>
  <Override PartName="/word/media/rId86.png" ContentType="image/png"/>
  <Override PartName="/word/media/rId28.png" ContentType="image/png"/>
  <Override PartName="/word/media/rId9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 Study: Alive-Dead 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is designed to walk you through the process of constructing a discrete time Markov cohort model in Amua. We will begin with a simple alive-dead model for your country, and then expand into a disease-based model in our case study later today.</w:t>
      </w:r>
    </w:p>
    <w:bookmarkEnd w:id="20"/>
    <w:bookmarkStart w:id="100"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“Alive”</w:t>
      </w:r>
      <w:r>
        <w:t xml:space="preserve"> </w:t>
      </w:r>
      <w:r>
        <w:t xml:space="preserve">and</w:t>
      </w:r>
      <w:r>
        <w:t xml:space="preserve"> </w:t>
      </w:r>
      <w:r>
        <w:t xml:space="preserve">“Dead.”</w:t>
      </w:r>
      <w:r>
        <w:t xml:space="preserve"> </w:t>
      </w:r>
      <w:r>
        <w:t xml:space="preserve">We will assume that individuals can transition between these states based on the probabilities of surviving as calculated using demographic life table data from your country.</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w:t>
      </w:r>
    </w:p>
    <w:p>
      <w:pPr>
        <w:pStyle w:val="BodyText"/>
      </w:pPr>
      <w:r>
        <w:drawing>
          <wp:inline>
            <wp:extent cx="5334000" cy="1532868"/>
            <wp:effectExtent b="0" l="0" r="0" t="0"/>
            <wp:docPr descr="" title="" id="22" name="Picture"/>
            <a:graphic>
              <a:graphicData uri="http://schemas.openxmlformats.org/drawingml/2006/picture">
                <pic:pic>
                  <pic:nvPicPr>
                    <pic:cNvPr descr="images/clipboard-3077087514.png" id="23" name="Picture"/>
                    <pic:cNvPicPr>
                      <a:picLocks noChangeArrowheads="1" noChangeAspect="1"/>
                    </pic:cNvPicPr>
                  </pic:nvPicPr>
                  <pic:blipFill>
                    <a:blip r:embed="rId21"/>
                    <a:stretch>
                      <a:fillRect/>
                    </a:stretch>
                  </pic:blipFill>
                  <pic:spPr bwMode="auto">
                    <a:xfrm>
                      <a:off x="0" y="0"/>
                      <a:ext cx="5334000" cy="1532868"/>
                    </a:xfrm>
                    <a:prstGeom prst="rect">
                      <a:avLst/>
                    </a:prstGeom>
                    <a:noFill/>
                    <a:ln w="9525">
                      <a:noFill/>
                      <a:headEnd/>
                      <a:tailEnd/>
                    </a:ln>
                  </pic:spPr>
                </pic:pic>
              </a:graphicData>
            </a:graphic>
          </wp:inline>
        </w:drawing>
      </w:r>
    </w:p>
    <w:p>
      <w:pPr>
        <w:pStyle w:val="BodyText"/>
      </w:pPr>
      <w:r>
        <w:t xml:space="preserve">Looking at the figure, you’ll see that Amua has a special Markov node (represented by</w:t>
      </w:r>
      <w:r>
        <w:t xml:space="preserve"> </w:t>
      </w:r>
      <w:r>
        <w:t xml:space="preserve"> </w:t>
      </w:r>
      <w:r>
        <w:t xml:space="preserve">). The branches that lead off a Markov node designate all the Markov health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in a Markov model, outcomes are defined elsewhere – NOT at the end of the branch, but at the state.</w:t>
            </w:r>
          </w:p>
          <w:p/>
        </w:tc>
      </w:tr>
    </w:tbl>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pStyle w:val="Compact"/>
        <w:numPr>
          <w:ilvl w:val="0"/>
          <w:numId w:val="1003"/>
        </w:numPr>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pStyle w:val="Compact"/>
        <w:numPr>
          <w:ilvl w:val="0"/>
          <w:numId w:val="1004"/>
        </w:numPr>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“Parameters”</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85"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In Amua,</w:t>
            </w:r>
            <w:r>
              <w:t xml:space="preserve"> </w:t>
            </w:r>
            <w:r>
              <w:rPr>
                <w:b/>
                <w:bCs/>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
          <w:bCs/>
        </w:rPr>
        <w:t xml:space="preserve">variable</w:t>
      </w:r>
      <w:r>
        <w:t xml:space="preserve"> </w:t>
      </w:r>
      <w:r>
        <w:t xml:space="preserve"> </w:t>
      </w:r>
      <w:r>
        <w:t xml:space="preserve">that references values in a</w:t>
      </w:r>
      <w:r>
        <w:t xml:space="preserve"> </w:t>
      </w:r>
      <w:r>
        <w:rPr>
          <w:b/>
          <w:bCs/>
        </w:rPr>
        <w:t xml:space="preserve">lookup table</w:t>
      </w:r>
      <w:r>
        <w:t xml:space="preserve"> </w:t>
      </w:r>
      <w:r>
        <w:t xml:space="preserve">, following the steps below.</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A lookup table returns the value that corresponds to a particular index. The first column in a lookup table contains the table indices, and one or more columns of lookup values can be defined. Index values must be unique and in ascending order.</w:t>
            </w:r>
          </w:p>
          <w:p>
            <w:pPr>
              <w:pStyle w:val="BodyText"/>
            </w:pPr>
            <w:r>
              <w:t xml:space="preserve">Depending on how your data are defined, you can use three lookup table methods in Amua:</w:t>
            </w:r>
          </w:p>
          <w:p>
            <w:pPr>
              <w:numPr>
                <w:ilvl w:val="0"/>
                <w:numId w:val="1005"/>
              </w:numPr>
            </w:pPr>
            <w:r>
              <w:rPr>
                <w:b/>
                <w:bCs/>
              </w:rPr>
              <w:t xml:space="preserve">Exact</w:t>
            </w:r>
            <w:r>
              <w:t xml:space="preserve">: Returns the value associated with the exact index. Use this only if the index values exactly align with the cycle length (e.g., ages 0, 1, 2, etc. with an annual cycle length). If the exact index is not found the table returns NaN (i.e., a missing value).</w:t>
            </w:r>
          </w:p>
          <w:p>
            <w:pPr>
              <w:numPr>
                <w:ilvl w:val="0"/>
                <w:numId w:val="1005"/>
              </w:numPr>
            </w:pPr>
            <w:r>
              <w:rPr>
                <w:b/>
                <w:bCs/>
              </w:rPr>
              <w:t xml:space="preserve">Truncate</w:t>
            </w:r>
            <w:r>
              <w:t xml:space="preserve">: Returns a value that is truncated (i.e. floor) for the index.</w:t>
            </w:r>
            <w:r>
              <w:t xml:space="preserve"> </w:t>
            </w:r>
            <w:r>
              <w:rPr>
                <w:i/>
                <w:iCs/>
              </w:rPr>
              <w:t xml:space="preserve">This is a common way to use life-tables that bin ages into ranges.</w:t>
            </w:r>
            <w:r>
              <w:t xml:space="preserve"> </w:t>
            </w:r>
            <w:r>
              <w:t xml:space="preserve">If the supplied index is below the minimum index the table returns NaN.</w:t>
            </w:r>
          </w:p>
          <w:p>
            <w:pPr>
              <w:numPr>
                <w:ilvl w:val="0"/>
                <w:numId w:val="1005"/>
              </w:numPr>
            </w:pPr>
            <w:r>
              <w:rPr>
                <w:b/>
                <w:bCs/>
              </w:rPr>
              <w:t xml:space="preserve">Interpolate</w:t>
            </w:r>
            <w:r>
              <w:t xml:space="preserve">: Returns a value that is interpolated between indices. Interpolate may be a viable option if you have age-based probabilities defined at the year level, but cycle lengths that are less than a year.</w:t>
            </w:r>
          </w:p>
          <w:p>
            <w:pPr>
              <w:pStyle w:val="FirstParagraph"/>
            </w:pPr>
            <w:pPr>
              <w:spacing w:after="16"/>
            </w:pPr>
            <w:r>
              <w:t xml:space="preserve">For details about these methods visit the</w:t>
            </w:r>
            <w:r>
              <w:t xml:space="preserve"> </w:t>
            </w:r>
            <w:hyperlink r:id="rId52">
              <w:r>
                <w:rPr>
                  <w:rStyle w:val="Hyperlink"/>
                </w:rPr>
                <w:t xml:space="preserve">Amua Wiki on GitHub</w:t>
              </w:r>
            </w:hyperlink>
            <w:r>
              <w:t xml:space="preserve">.</w:t>
            </w:r>
          </w:p>
          <w:p/>
        </w:tc>
      </w:tr>
    </w:tbl>
    <w:p>
      <w:pPr>
        <w:pStyle w:val="BodyText"/>
      </w:pPr>
      <w:r>
        <w:t xml:space="preserve">We first define a lookup table</w:t>
      </w:r>
      <w:r>
        <w:t xml:space="preserve"> </w:t>
      </w:r>
      <w:r>
        <w:t xml:space="preserve"> </w:t>
      </w:r>
      <w:r>
        <w:t xml:space="preserve">tbl_p_die to read in the age-dependent background mortality constructed from country life tables.</w:t>
      </w:r>
    </w:p>
    <w:bookmarkStart w:id="76" w:name="download-data"/>
    <w:p>
      <w:pPr>
        <w:pStyle w:val="Heading3"/>
      </w:pPr>
      <w:r>
        <w:t xml:space="preserve">Download Data</w:t>
      </w:r>
    </w:p>
    <w:p>
      <w:pPr>
        <w:pStyle w:val="FirstParagraph"/>
      </w:pPr>
      <w:r>
        <w:t xml:space="preserve">Download the background mortality file for your country from the workshop website. Each workbook contains the age-indexed annual mortality probability for various countries represented in our workshop.</w:t>
      </w:r>
    </w:p>
    <w:tbl>
      <w:tblPr>
        <w:tblStyle w:val="Table"/>
        <w:tblW w:type="pct" w:w="5000"/>
        <w:tblLayout w:type="fixed"/>
        <w:tblLook w:firstRow="0" w:lastRow="0" w:firstColumn="0" w:lastColumn="0" w:noHBand="0" w:noVBand="0" w:val="0000"/>
      </w:tblPr>
      <w:tblGrid>
        <w:gridCol w:w="3960"/>
        <w:gridCol w:w="3960"/>
      </w:tblGrid>
      <w:tr>
        <w:tc>
          <w:tcPr/>
          <w:p>
            <w:pPr>
              <w:pStyle w:val="Compact"/>
            </w:pPr>
            <w:hyperlink r:id="rId53">
              <w:r>
                <w:rPr>
                  <w:rStyle w:val="Hyperlink"/>
                </w:rPr>
                <w:t xml:space="preserve">Bangladesh</w:t>
              </w:r>
            </w:hyperlink>
          </w:p>
        </w:tc>
        <w:tc>
          <w:tcPr/>
          <w:p>
            <w:pPr>
              <w:pStyle w:val="Compact"/>
            </w:pPr>
            <w:hyperlink r:id="rId54">
              <w:r>
                <w:rPr>
                  <w:rStyle w:val="Hyperlink"/>
                </w:rPr>
                <w:t xml:space="preserve">Rwanda</w:t>
              </w:r>
            </w:hyperlink>
          </w:p>
        </w:tc>
      </w:tr>
      <w:tr>
        <w:tc>
          <w:tcPr/>
          <w:p>
            <w:pPr>
              <w:pStyle w:val="Compact"/>
            </w:pPr>
            <w:hyperlink r:id="rId55">
              <w:r>
                <w:rPr>
                  <w:rStyle w:val="Hyperlink"/>
                </w:rPr>
                <w:t xml:space="preserve">Cambodia</w:t>
              </w:r>
            </w:hyperlink>
          </w:p>
        </w:tc>
        <w:tc>
          <w:tcPr/>
          <w:p>
            <w:pPr>
              <w:pStyle w:val="Compact"/>
            </w:pPr>
            <w:hyperlink r:id="rId56">
              <w:r>
                <w:rPr>
                  <w:rStyle w:val="Hyperlink"/>
                </w:rPr>
                <w:t xml:space="preserve">South Africa</w:t>
              </w:r>
            </w:hyperlink>
          </w:p>
        </w:tc>
      </w:tr>
      <w:tr>
        <w:tc>
          <w:tcPr/>
          <w:p>
            <w:pPr>
              <w:pStyle w:val="Compact"/>
            </w:pPr>
            <w:hyperlink r:id="rId57">
              <w:r>
                <w:rPr>
                  <w:rStyle w:val="Hyperlink"/>
                </w:rPr>
                <w:t xml:space="preserve">Cameroon</w:t>
              </w:r>
            </w:hyperlink>
          </w:p>
        </w:tc>
        <w:tc>
          <w:tcPr/>
          <w:p>
            <w:pPr>
              <w:pStyle w:val="Compact"/>
            </w:pPr>
            <w:hyperlink r:id="rId58">
              <w:r>
                <w:rPr>
                  <w:rStyle w:val="Hyperlink"/>
                </w:rPr>
                <w:t xml:space="preserve">Sri Lanka</w:t>
              </w:r>
            </w:hyperlink>
          </w:p>
        </w:tc>
      </w:tr>
      <w:tr>
        <w:tc>
          <w:tcPr/>
          <w:p>
            <w:pPr>
              <w:pStyle w:val="Compact"/>
            </w:pPr>
            <w:hyperlink r:id="rId59">
              <w:r>
                <w:rPr>
                  <w:rStyle w:val="Hyperlink"/>
                </w:rPr>
                <w:t xml:space="preserve">China</w:t>
              </w:r>
            </w:hyperlink>
          </w:p>
        </w:tc>
        <w:tc>
          <w:tcPr/>
          <w:p>
            <w:pPr>
              <w:pStyle w:val="Compact"/>
            </w:pPr>
            <w:hyperlink r:id="rId60">
              <w:r>
                <w:rPr>
                  <w:rStyle w:val="Hyperlink"/>
                </w:rPr>
                <w:t xml:space="preserve">Tanzania</w:t>
              </w:r>
            </w:hyperlink>
          </w:p>
        </w:tc>
      </w:tr>
      <w:tr>
        <w:tc>
          <w:tcPr/>
          <w:p>
            <w:pPr>
              <w:pStyle w:val="Compact"/>
            </w:pPr>
            <w:hyperlink r:id="rId61">
              <w:r>
                <w:rPr>
                  <w:rStyle w:val="Hyperlink"/>
                </w:rPr>
                <w:t xml:space="preserve">Ethiopia</w:t>
              </w:r>
            </w:hyperlink>
          </w:p>
        </w:tc>
        <w:tc>
          <w:tcPr/>
          <w:p>
            <w:pPr>
              <w:pStyle w:val="Compact"/>
            </w:pPr>
            <w:hyperlink r:id="rId62">
              <w:r>
                <w:rPr>
                  <w:rStyle w:val="Hyperlink"/>
                </w:rPr>
                <w:t xml:space="preserve">Thailand</w:t>
              </w:r>
            </w:hyperlink>
          </w:p>
        </w:tc>
      </w:tr>
      <w:tr>
        <w:tc>
          <w:tcPr/>
          <w:p>
            <w:pPr>
              <w:pStyle w:val="Compact"/>
            </w:pPr>
            <w:hyperlink r:id="rId63">
              <w:r>
                <w:rPr>
                  <w:rStyle w:val="Hyperlink"/>
                </w:rPr>
                <w:t xml:space="preserve">India</w:t>
              </w:r>
            </w:hyperlink>
          </w:p>
        </w:tc>
        <w:tc>
          <w:tcPr/>
          <w:p>
            <w:pPr>
              <w:pStyle w:val="Compact"/>
            </w:pPr>
            <w:hyperlink r:id="rId64">
              <w:r>
                <w:rPr>
                  <w:rStyle w:val="Hyperlink"/>
                </w:rPr>
                <w:t xml:space="preserve">Uganda</w:t>
              </w:r>
            </w:hyperlink>
          </w:p>
        </w:tc>
      </w:tr>
      <w:tr>
        <w:tc>
          <w:tcPr/>
          <w:p>
            <w:pPr>
              <w:pStyle w:val="Compact"/>
            </w:pPr>
            <w:hyperlink r:id="rId65">
              <w:r>
                <w:rPr>
                  <w:rStyle w:val="Hyperlink"/>
                </w:rPr>
                <w:t xml:space="preserve">Kenya</w:t>
              </w:r>
            </w:hyperlink>
          </w:p>
        </w:tc>
        <w:tc>
          <w:tcPr/>
          <w:p>
            <w:pPr>
              <w:pStyle w:val="Compact"/>
            </w:pPr>
            <w:hyperlink r:id="rId66">
              <w:r>
                <w:rPr>
                  <w:rStyle w:val="Hyperlink"/>
                </w:rPr>
                <w:t xml:space="preserve">Zambia</w:t>
              </w:r>
            </w:hyperlink>
          </w:p>
        </w:tc>
      </w:tr>
      <w:tr>
        <w:tc>
          <w:tcPr/>
          <w:p>
            <w:pPr>
              <w:pStyle w:val="Compact"/>
            </w:pPr>
            <w:hyperlink r:id="rId67">
              <w:r>
                <w:rPr>
                  <w:rStyle w:val="Hyperlink"/>
                </w:rPr>
                <w:t xml:space="preserve">Mozambique</w:t>
              </w:r>
            </w:hyperlink>
          </w:p>
        </w:tc>
        <w:tc>
          <w:tcPr/>
          <w:p>
            <w:pPr>
              <w:pStyle w:val="Compact"/>
            </w:pPr>
            <w:hyperlink r:id="rId68">
              <w:r>
                <w:rPr>
                  <w:rStyle w:val="Hyperlink"/>
                </w:rPr>
                <w:t xml:space="preserve">Zimbabwe</w:t>
              </w:r>
            </w:hyperlink>
          </w:p>
        </w:tc>
      </w:tr>
      <w:tr>
        <w:tc>
          <w:tcPr/>
          <w:p>
            <w:pPr>
              <w:pStyle w:val="Compact"/>
            </w:pPr>
            <w:hyperlink r:id="rId69">
              <w:r>
                <w:rPr>
                  <w:rStyle w:val="Hyperlink"/>
                </w:rPr>
                <w:t xml:space="preserve">Philippines</w:t>
              </w:r>
            </w:hyperlink>
          </w:p>
        </w:tc>
        <w:tc>
          <w:tcPr/>
          <w:p>
            <w:pPr>
              <w:pStyle w:val="Compact"/>
            </w:pPr>
          </w:p>
        </w:tc>
      </w:tr>
    </w:tbl>
    <w:p>
      <w:pPr>
        <w:pStyle w:val="BodyText"/>
      </w:pPr>
      <w:r>
        <w:t xml:space="preserve">A screenshot of the first few rows of this .csv file is shown below. The</w:t>
      </w:r>
      <w:r>
        <w:rPr>
          <w:rStyle w:val="VerbatimChar"/>
        </w:rPr>
        <w:t xml:space="preserve">index</w:t>
      </w:r>
      <w:r>
        <w:t xml:space="preserve">column is the age, while</w:t>
      </w:r>
      <w:r>
        <w:rPr>
          <w:rStyle w:val="VerbatimChar"/>
        </w:rPr>
        <w:t xml:space="preserve">p_die</w:t>
      </w:r>
      <w:r>
        <w:t xml:space="preserve"> </w:t>
      </w:r>
      <w:r>
        <w:t xml:space="preserve">is the annual probability of death at each age.</w:t>
      </w:r>
    </w:p>
    <w:p>
      <w:pPr>
        <w:pStyle w:val="BodyText"/>
      </w:pPr>
      <w:r>
        <w:drawing>
          <wp:inline>
            <wp:extent cx="4762500" cy="1754068"/>
            <wp:effectExtent b="0" l="0" r="0" t="0"/>
            <wp:docPr descr="" title="" id="71" name="Picture"/>
            <a:graphic>
              <a:graphicData uri="http://schemas.openxmlformats.org/drawingml/2006/picture">
                <pic:pic>
                  <pic:nvPicPr>
                    <pic:cNvPr descr="images/clipboard-1348648427.png" id="72" name="Picture"/>
                    <pic:cNvPicPr>
                      <a:picLocks noChangeArrowheads="1" noChangeAspect="1"/>
                    </pic:cNvPicPr>
                  </pic:nvPicPr>
                  <pic:blipFill>
                    <a:blip r:embed="rId70"/>
                    <a:stretch>
                      <a:fillRect/>
                    </a:stretch>
                  </pic:blipFill>
                  <pic:spPr bwMode="auto">
                    <a:xfrm>
                      <a:off x="0" y="0"/>
                      <a:ext cx="4762500" cy="1754068"/>
                    </a:xfrm>
                    <a:prstGeom prst="rect">
                      <a:avLst/>
                    </a:prstGeom>
                    <a:noFill/>
                    <a:ln w="9525">
                      <a:noFill/>
                      <a:headEnd/>
                      <a:tailEnd/>
                    </a:ln>
                  </pic:spPr>
                </pic:pic>
              </a:graphicData>
            </a:graphic>
          </wp:inline>
        </w:drawing>
      </w:r>
    </w:p>
    <w:p>
      <w:pPr>
        <w:pStyle w:val="BodyText"/>
      </w:pPr>
      <w:r>
        <w:t xml:space="preserve">Go to the</w:t>
      </w:r>
      <w:r>
        <w:t xml:space="preserve"> </w:t>
      </w:r>
      <w:r>
        <w:t xml:space="preserve">“Tables”</w:t>
      </w:r>
      <w:r>
        <w:t xml:space="preserve"> </w:t>
      </w:r>
      <w:r>
        <w:t xml:space="preserve">panel, click</w:t>
      </w:r>
      <w:r>
        <w:t xml:space="preserve"> </w:t>
      </w:r>
      <w:r>
        <w:t xml:space="preserve"> </w:t>
      </w:r>
      <w:r>
        <w:t xml:space="preserve">to add a table, and you should see a</w:t>
      </w:r>
      <w:r>
        <w:t xml:space="preserve"> </w:t>
      </w:r>
      <w:r>
        <w:t xml:space="preserve">“Define Table”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Applications/quarto/share/formats/docx/tip.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An alternative approach to uploading the .csv is to simply copy and paste the two columns from the .csv file, and then hit the</w:t>
            </w:r>
            <w:r>
              <w:t xml:space="preserve"> </w:t>
            </w:r>
            <w:r>
              <w:t xml:space="preserve"> </w:t>
            </w:r>
            <w:r>
              <w:t xml:space="preserve">paste button. You can then paste the table directly into Amua.</w:t>
            </w:r>
          </w:p>
          <w:p/>
        </w:tc>
      </w:tr>
    </w:tbl>
    <w:p>
      <w:pPr>
        <w:pStyle w:val="BodyText"/>
      </w:pPr>
      <w:r>
        <w:t xml:space="preserve">Enter</w:t>
      </w:r>
      <w:r>
        <w:t xml:space="preserve"> </w:t>
      </w:r>
      <w:r>
        <w:t xml:space="preserve">“tbl_p_die”</w:t>
      </w:r>
      <w:r>
        <w:t xml:space="preserve"> </w:t>
      </w:r>
      <w:r>
        <w:t xml:space="preserve">as the name for this variable.</w:t>
      </w:r>
      <w:r>
        <w:t xml:space="preserve"> </w:t>
      </w:r>
      <w:r>
        <w:t xml:space="preserve">“Lookup”</w:t>
      </w:r>
      <w:r>
        <w:t xml:space="preserve"> </w:t>
      </w:r>
      <w:r>
        <w:t xml:space="preserve">is the default table type (which is what we want here). Choose</w:t>
      </w:r>
      <w:r>
        <w:t xml:space="preserve"> </w:t>
      </w:r>
      <w:r>
        <w:t xml:space="preserve">“Interpolate”</w:t>
      </w:r>
      <w:r>
        <w:t xml:space="preserve"> </w:t>
      </w:r>
      <w:r>
        <w:t xml:space="preserve">as the Lookup Method. Click Save to apply.</w:t>
      </w:r>
    </w:p>
    <w:bookmarkEnd w:id="76"/>
    <w:bookmarkStart w:id="84" w:name="background-mortality"/>
    <w:p>
      <w:pPr>
        <w:pStyle w:val="Heading3"/>
      </w:pPr>
      <w:r>
        <w:t xml:space="preserve">Background Mortality</w:t>
      </w:r>
    </w:p>
    <w:p>
      <w:pPr>
        <w:pStyle w:val="FirstParagraph"/>
      </w:pPr>
      <w:r>
        <w:t xml:space="preserve">Next, we can define the</w:t>
      </w:r>
      <w:r>
        <w:t xml:space="preserve"> </w:t>
      </w:r>
      <w:r>
        <w:rPr>
          <w:i/>
          <w:iCs/>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t xml:space="preserve">Make sure you create a variable and not a parameter. Under</w:t>
      </w:r>
      <w:r>
        <w:t xml:space="preserve"> </w:t>
      </w:r>
      <w:r>
        <w:t xml:space="preserve">“Variables”</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Applications/quarto/share/formats/docx/note.png" id="7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first column of a table is always used for indexing in tables. Therefore, the number</w:t>
            </w:r>
            <w:r>
              <w:t xml:space="preserve"> </w:t>
            </w:r>
            <w:r>
              <w:t xml:space="preserve">“1”</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“p_die”</w:t>
            </w:r>
            <w:r>
              <w:t xml:space="preserve">].</w:t>
            </w:r>
          </w:p>
          <w:p/>
        </w:tc>
      </w:tr>
    </w:tbl>
    <w:p>
      <w:pPr>
        <w:pStyle w:val="BodyText"/>
      </w:pPr>
      <w:r>
        <w:t xml:space="preserve"> </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Applications/quarto/share/formats/docx/tip.png" id="80"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In Amua,</w:t>
            </w:r>
            <w:r>
              <w:t xml:space="preserve"> </w:t>
            </w:r>
            <w:r>
              <w:t xml:space="preserve">“</w:t>
            </w:r>
            <w:r>
              <w:rPr>
                <w:b/>
                <w:bCs/>
                <w:i/>
                <w:iCs/>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
                <w:iCs/>
              </w:rPr>
              <w:t xml:space="preserve">t = 10</w:t>
            </w:r>
            <w:r>
              <w:t xml:space="preserve">. Therefore, in the formula</w:t>
            </w:r>
            <w:r>
              <w:t xml:space="preserve"> </w:t>
            </w:r>
            <w:r>
              <w:t xml:space="preserve">“tbl_p_die[age_initial +</w:t>
            </w:r>
            <w:r>
              <w:t xml:space="preserve"> </w:t>
            </w:r>
            <w:r>
              <w:rPr>
                <w:i/>
                <w:iCs/>
              </w:rPr>
              <w:t xml:space="preserve">t</w:t>
            </w:r>
            <w:r>
              <w:t xml:space="preserve">, 1]”</w:t>
            </w:r>
            <w:r>
              <w:t xml:space="preserve">, age_initial +</w:t>
            </w:r>
            <w:r>
              <w:t xml:space="preserve"> </w:t>
            </w:r>
            <w:r>
              <w:rPr>
                <w:i/>
                <w:iCs/>
              </w:rPr>
              <w:t xml:space="preserve">t</w:t>
            </w:r>
            <w:r>
              <w:t xml:space="preserve"> </w:t>
            </w:r>
            <w:r>
              <w:t xml:space="preserve">will equal the modeled age of the individual in cycle</w:t>
            </w:r>
            <w:r>
              <w:t xml:space="preserve"> </w:t>
            </w:r>
            <w:r>
              <w:rPr>
                <w:i/>
                <w:iCs/>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“Evaluate”</w:t>
            </w:r>
            <w:r>
              <w:t xml:space="preserve"> </w:t>
            </w:r>
            <w:r>
              <w:t xml:space="preserve">the Expected Value field should calculate the death probability for a newborn as shown in the .csv lookup table.</w:t>
            </w:r>
          </w:p>
          <w:p/>
        </w:tc>
      </w:tr>
    </w:tbl>
    <w:p>
      <w:pPr>
        <w:pStyle w:val="BodyText"/>
      </w:pPr>
      <w:r>
        <w:drawing>
          <wp:inline>
            <wp:extent cx="4762500" cy="2568374"/>
            <wp:effectExtent b="0" l="0" r="0" t="0"/>
            <wp:docPr descr="" title="" id="82" name="Picture"/>
            <a:graphic>
              <a:graphicData uri="http://schemas.openxmlformats.org/drawingml/2006/picture">
                <pic:pic>
                  <pic:nvPicPr>
                    <pic:cNvPr descr="images/clipboard-3390332906.png" id="83" name="Picture"/>
                    <pic:cNvPicPr>
                      <a:picLocks noChangeArrowheads="1" noChangeAspect="1"/>
                    </pic:cNvPicPr>
                  </pic:nvPicPr>
                  <pic:blipFill>
                    <a:blip r:embed="rId81"/>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“C”</w:t>
      </w:r>
      <w:r>
        <w:t xml:space="preserve"> </w:t>
      </w:r>
      <w:r>
        <w:t xml:space="preserve">as well.</w:t>
      </w:r>
    </w:p>
    <w:bookmarkEnd w:id="84"/>
    <w:bookmarkEnd w:id="85"/>
    <w:bookmarkStart w:id="89" w:name="termination-condition"/>
    <w:p>
      <w:pPr>
        <w:pStyle w:val="Heading2"/>
      </w:pPr>
      <w:r>
        <w:t xml:space="preserve">Termination Condition</w:t>
      </w:r>
    </w:p>
    <w:p>
      <w:pPr>
        <w:pStyle w:val="Compact"/>
        <w:numPr>
          <w:ilvl w:val="0"/>
          <w:numId w:val="1006"/>
        </w:numPr>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87" name="Picture"/>
            <a:graphic>
              <a:graphicData uri="http://schemas.openxmlformats.org/drawingml/2006/picture">
                <pic:pic>
                  <pic:nvPicPr>
                    <pic:cNvPr descr="images/clipboard-3413612505.png" id="88" name="Picture"/>
                    <pic:cNvPicPr>
                      <a:picLocks noChangeArrowheads="1" noChangeAspect="1"/>
                    </pic:cNvPicPr>
                  </pic:nvPicPr>
                  <pic:blipFill>
                    <a:blip r:embed="rId86"/>
                    <a:stretch>
                      <a:fillRect/>
                    </a:stretch>
                  </pic:blipFill>
                  <pic:spPr bwMode="auto">
                    <a:xfrm>
                      <a:off x="0" y="0"/>
                      <a:ext cx="3810000" cy="2282433"/>
                    </a:xfrm>
                    <a:prstGeom prst="rect">
                      <a:avLst/>
                    </a:prstGeom>
                    <a:noFill/>
                    <a:ln w="9525">
                      <a:noFill/>
                      <a:headEnd/>
                      <a:tailEnd/>
                    </a:ln>
                  </pic:spPr>
                </pic:pic>
              </a:graphicData>
            </a:graphic>
          </wp:inline>
        </w:drawing>
      </w:r>
    </w:p>
    <w:bookmarkEnd w:id="89"/>
    <w:bookmarkStart w:id="99"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91" name="Picture"/>
            <a:graphic>
              <a:graphicData uri="http://schemas.openxmlformats.org/drawingml/2006/picture">
                <pic:pic>
                  <pic:nvPicPr>
                    <pic:cNvPr descr="images/clipboard-896605952.png" id="92" name="Picture"/>
                    <pic:cNvPicPr>
                      <a:picLocks noChangeArrowheads="1" noChangeAspect="1"/>
                    </pic:cNvPicPr>
                  </pic:nvPicPr>
                  <pic:blipFill>
                    <a:blip r:embed="rId90"/>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“payoff”</w:t>
      </w:r>
      <w:r>
        <w:t xml:space="preserve"> </w:t>
      </w:r>
      <w:r>
        <w:t xml:space="preserve">on the left of each health state after</w:t>
      </w:r>
      <w:r>
        <w:t xml:space="preserve"> </w:t>
      </w:r>
      <w:r>
        <w:t xml:space="preserve">“R: (LE)”</w:t>
      </w:r>
      <w:r>
        <w:t xml:space="preserve">.</w:t>
      </w:r>
    </w:p>
    <w:p>
      <w:pPr>
        <w:pStyle w:val="BodyText"/>
      </w:pPr>
      <w:r>
        <w:drawing>
          <wp:inline>
            <wp:extent cx="3810000" cy="1907873"/>
            <wp:effectExtent b="0" l="0" r="0" t="0"/>
            <wp:docPr descr="" title="" id="94" name="Picture"/>
            <a:graphic>
              <a:graphicData uri="http://schemas.openxmlformats.org/drawingml/2006/picture">
                <pic:pic>
                  <pic:nvPicPr>
                    <pic:cNvPr descr="images/clipboard-2710970859.png" id="95" name="Picture"/>
                    <pic:cNvPicPr>
                      <a:picLocks noChangeArrowheads="1" noChangeAspect="1"/>
                    </pic:cNvPicPr>
                  </pic:nvPicPr>
                  <pic:blipFill>
                    <a:blip r:embed="rId93"/>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
          <w:bCs/>
        </w:rPr>
        <w:t xml:space="preserve">Model</w:t>
      </w:r>
      <w:r>
        <w:t xml:space="preserve"> </w:t>
      </w:r>
      <w:r>
        <w:t xml:space="preserve"> </w:t>
      </w:r>
      <w:r>
        <w:rPr>
          <w:b/>
          <w:bCs/>
        </w:rPr>
        <w:t xml:space="preserve">Properties</w:t>
      </w:r>
      <w:r>
        <w:t xml:space="preserve"> </w:t>
      </w:r>
      <w:r>
        <w:t xml:space="preserve"> </w:t>
      </w:r>
      <w:r>
        <w:t xml:space="preserve">select the</w:t>
      </w:r>
      <w:r>
        <w:t xml:space="preserve"> </w:t>
      </w:r>
      <w:r>
        <w:rPr>
          <w:b/>
          <w:bCs/>
        </w:rPr>
        <w:t xml:space="preserve">Markov</w:t>
      </w:r>
      <w:r>
        <w:t xml:space="preserve"> </w:t>
      </w:r>
      <w:r>
        <w:t xml:space="preserve">tab and check the Half-cycle correction box. Click</w:t>
      </w:r>
      <w:r>
        <w:t xml:space="preserve"> </w:t>
      </w:r>
      <w:r>
        <w:rPr>
          <w:b/>
          <w:bCs/>
        </w:rPr>
        <w:t xml:space="preserve">OK</w:t>
      </w:r>
      <w:r>
        <w:t xml:space="preserve"> </w:t>
      </w:r>
      <w:r>
        <w:t xml:space="preserve">to apply.</w:t>
      </w:r>
    </w:p>
    <w:p>
      <w:pPr>
        <w:pStyle w:val="BodyText"/>
      </w:pPr>
      <w:r>
        <w:drawing>
          <wp:inline>
            <wp:extent cx="3810000" cy="2753032"/>
            <wp:effectExtent b="0" l="0" r="0" t="0"/>
            <wp:docPr descr="" title="" id="97" name="Picture"/>
            <a:graphic>
              <a:graphicData uri="http://schemas.openxmlformats.org/drawingml/2006/picture">
                <pic:pic>
                  <pic:nvPicPr>
                    <pic:cNvPr descr="images/clipboard-2281393950.png" id="98" name="Picture"/>
                    <pic:cNvPicPr>
                      <a:picLocks noChangeArrowheads="1" noChangeAspect="1"/>
                    </pic:cNvPicPr>
                  </pic:nvPicPr>
                  <pic:blipFill>
                    <a:blip r:embed="rId96"/>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
          <w:bCs/>
        </w:rPr>
        <w:t xml:space="preserve">Run</w:t>
      </w:r>
      <w:r>
        <w:t xml:space="preserve"> </w:t>
      </w:r>
      <w:r>
        <w:t xml:space="preserve"> </w:t>
      </w:r>
      <w:r>
        <w:rPr>
          <w:b/>
          <w:bCs/>
        </w:rPr>
        <w:t xml:space="preserve">Run Model</w:t>
      </w:r>
      <w:r>
        <w:t xml:space="preserve">.</w:t>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Run the alive-dead model and calculate overall life expectancy for your country.</w:t>
            </w:r>
          </w:p>
        </w:tc>
      </w:tr>
    </w:tbl>
    <w:bookmarkEnd w:id="99"/>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28" Target="media/rId28.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Alive-Dead Model</dc:title>
  <dc:creator/>
  <cp:keywords/>
  <dcterms:created xsi:type="dcterms:W3CDTF">2025-10-31T17:48:11Z</dcterms:created>
  <dcterms:modified xsi:type="dcterms:W3CDTF">2025-10-31T17:48:11Z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