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6.png" ContentType="image/png"/>
  <Override PartName="/word/media/rId32.png" ContentType="image/png"/>
  <Override PartName="/word/media/rId39.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 Injury Decision 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Colombia,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
          <w:bCs/>
        </w:rPr>
        <w:t xml:space="preserve">(1) a complete ban on fireworks</w:t>
      </w:r>
      <w:r>
        <w:t xml:space="preserve"> </w:t>
      </w:r>
      <w:r>
        <w:t xml:space="preserve">and</w:t>
      </w:r>
      <w:r>
        <w:t xml:space="preserve"> </w:t>
      </w:r>
      <w:r>
        <w:rPr>
          <w:b/>
          <w:bCs/>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Colombia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Colombia.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51,682,692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
          <w:bCs/>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
          <w:bCs/>
        </w:rPr>
        <w:t xml:space="preserve">Major Injury</w:t>
      </w:r>
      <w:r>
        <w:t xml:space="preserve">: third-degree burns or severe trauma that affects deeper tissues and can lead to significant complications.</w:t>
      </w:r>
    </w:p>
    <w:p>
      <w:pPr>
        <w:numPr>
          <w:ilvl w:val="0"/>
          <w:numId w:val="1001"/>
        </w:numPr>
      </w:pPr>
      <w:r>
        <w:rPr>
          <w:b/>
          <w:bCs/>
        </w:rPr>
        <w:t xml:space="preserve">Fatal Injury</w:t>
      </w:r>
    </w:p>
    <w:tbl>
      <w:tblPr>
        <w:tblStyle w:val="Table"/>
        <w:tblInd w:w="164" w:type="dxa"/>
        <w:tblBorders>
          <w:left w:val="single" w:sz="24" w:space="0" w:color="CC1914"/>
        </w:tblBorders>
        <w:tblCellMar>
          <w:left w:w="0" w:type="dxa"/>
          <w:right w:w="0" w:type="dxa"/>
        </w:tblCellMar>
        <w:tblLook w:firstRow="0" w:lastRow="0" w:firstColumn="0" w:lastColumn="0" w:noHBand="0" w:noVBand="0" w:val="0000"/>
      </w:tblPr>
      <w:tblGrid>
        <w:gridCol w:w="7920"/>
      </w:tblGrid>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pct" w:w="5000"/>
        <w:tblLayout w:type="fixed"/>
        <w:tblLook w:firstRow="1" w:lastRow="0" w:firstColumn="0" w:lastColumn="0" w:noHBand="0" w:noVBand="0" w:val="0020"/>
      </w:tblPr>
      <w:tblGrid>
        <w:gridCol w:w="3740"/>
        <w:gridCol w:w="2090"/>
        <w:gridCol w:w="2090"/>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Probability of Injury</w:t>
            </w:r>
          </w:p>
        </w:tc>
        <w:tc>
          <w:tcPr/>
          <w:p>
            <w:pPr>
              <w:pStyle w:val="Compact"/>
            </w:pPr>
            <w:r>
              <w:t xml:space="preserve">0.0000292</w:t>
            </w:r>
          </w:p>
        </w:tc>
        <w:tc>
          <w:tcPr/>
          <w:p>
            <w:pPr>
              <w:pStyle w:val="Compact"/>
            </w:pPr>
            <w:r>
              <w:t xml:space="preserve">p_injury</w:t>
            </w:r>
          </w:p>
        </w:tc>
      </w:tr>
      <w:tr>
        <w:tc>
          <w:tcPr/>
          <w:p>
            <w:pPr>
              <w:pStyle w:val="Compact"/>
            </w:pPr>
            <w:r>
              <w:t xml:space="preserve">Probability Injury is Severe</w:t>
            </w:r>
          </w:p>
        </w:tc>
        <w:tc>
          <w:tcPr/>
          <w:p>
            <w:pPr>
              <w:pStyle w:val="Compact"/>
            </w:pPr>
            <w:r>
              <w:t xml:space="preserve">0.30</w:t>
            </w:r>
          </w:p>
        </w:tc>
        <w:tc>
          <w:tcPr/>
          <w:p>
            <w:pPr>
              <w:pStyle w:val="Compact"/>
            </w:pPr>
            <w:r>
              <w:t xml:space="preserve">p_severe</w:t>
            </w:r>
          </w:p>
        </w:tc>
      </w:tr>
      <w:tr>
        <w:tc>
          <w:tcPr/>
          <w:p>
            <w:pPr>
              <w:pStyle w:val="Compact"/>
            </w:pPr>
            <w:r>
              <w:t xml:space="preserve">Probability Injury is Mild or Moderate</w:t>
            </w:r>
          </w:p>
        </w:tc>
        <w:tc>
          <w:tcPr/>
          <w:p>
            <w:pPr>
              <w:pStyle w:val="Compact"/>
            </w:pPr>
            <w:r>
              <w:t xml:space="preserve">0.7 = 1 - p_severe</w:t>
            </w:r>
          </w:p>
        </w:tc>
        <w:tc>
          <w:tcPr/>
          <w:p>
            <w:pPr>
              <w:pStyle w:val="Compact"/>
            </w:pPr>
            <w:r>
              <w:t xml:space="preserve">1 - p_severe</w:t>
            </w:r>
          </w:p>
        </w:tc>
      </w:tr>
      <w:tr>
        <w:tc>
          <w:tcPr/>
          <w:p>
            <w:pPr>
              <w:pStyle w:val="Compact"/>
            </w:pPr>
            <w:r>
              <w:t xml:space="preserve">Probability Injury is Fatal</w:t>
            </w:r>
          </w:p>
        </w:tc>
        <w:tc>
          <w:tcPr/>
          <w:p>
            <w:pPr>
              <w:pStyle w:val="Compact"/>
            </w:pPr>
            <w:r>
              <w:t xml:space="preserve">0.0046</w:t>
            </w:r>
          </w:p>
        </w:tc>
        <w:tc>
          <w:tcPr/>
          <w:p>
            <w:pPr>
              <w:pStyle w:val="Compact"/>
            </w:pPr>
            <w:r>
              <w:t xml:space="preserve">p_fatality</w:t>
            </w:r>
          </w:p>
        </w:tc>
      </w:tr>
    </w:tbl>
    <w:p>
      <w:pPr>
        <w:pStyle w:val="BodyText"/>
      </w:pPr>
      <w:r>
        <w:t xml:space="preserve">We will also assume that a small percentage (15%) of individuals with mild/moderate injuries experience long-term consequences (i.e., 85% recover), while the majority (90%) of those with severe injuries do not fully recover and experience long-term complications.</w:t>
      </w:r>
    </w:p>
    <w:tbl>
      <w:tblPr>
        <w:tblStyle w:val="Table"/>
        <w:tblW w:type="pct" w:w="5000"/>
        <w:tblLayout w:type="fixed"/>
        <w:tblLook w:firstRow="1" w:lastRow="0" w:firstColumn="0" w:lastColumn="0" w:noHBand="0" w:noVBand="0" w:val="0020"/>
      </w:tblPr>
      <w:tblGrid>
        <w:gridCol w:w="3740"/>
        <w:gridCol w:w="2090"/>
        <w:gridCol w:w="2090"/>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Probability of Recovery: Mild/Moderate Injury</w:t>
            </w:r>
          </w:p>
        </w:tc>
        <w:tc>
          <w:tcPr/>
          <w:p>
            <w:pPr>
              <w:pStyle w:val="Compact"/>
            </w:pPr>
            <w:r>
              <w:t xml:space="preserve">0.85</w:t>
            </w:r>
          </w:p>
        </w:tc>
        <w:tc>
          <w:tcPr/>
          <w:p>
            <w:pPr>
              <w:pStyle w:val="Compact"/>
            </w:pPr>
            <w:r>
              <w:t xml:space="preserve">p_recover_mildmod</w:t>
            </w:r>
          </w:p>
        </w:tc>
      </w:tr>
      <w:tr>
        <w:tc>
          <w:tcPr/>
          <w:p>
            <w:pPr>
              <w:pStyle w:val="Compact"/>
            </w:pPr>
            <w:r>
              <w:t xml:space="preserve">Probability of Recovery: Major Injury</w:t>
            </w:r>
          </w:p>
        </w:tc>
        <w:tc>
          <w:tcPr/>
          <w:p>
            <w:pPr>
              <w:pStyle w:val="Compact"/>
            </w:pPr>
            <w:r>
              <w:t xml:space="preserve">0.1</w:t>
            </w:r>
          </w:p>
        </w:tc>
        <w:tc>
          <w:tcPr/>
          <w:p>
            <w:pPr>
              <w:pStyle w:val="Compac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“Ban”</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56" w:name="exercises"/>
    <w:p>
      <w:pPr>
        <w:pStyle w:val="Heading1"/>
      </w:pPr>
      <w:r>
        <w:t xml:space="preserve">Exercises</w:t>
      </w:r>
    </w:p>
    <w:bookmarkStart w:id="35" w:name="build-a-status-quo-strategy"/>
    <w:p>
      <w:pPr>
        <w:pStyle w:val="Heading2"/>
      </w:pPr>
      <w:r>
        <w:t xml:space="preserve">1.1. Build a</w:t>
      </w:r>
      <w:r>
        <w:t xml:space="preserve"> </w:t>
      </w:r>
      <w:r>
        <w:t xml:space="preserve">“Status Quo”</w:t>
      </w:r>
      <w:r>
        <w:t xml:space="preserve"> </w:t>
      </w:r>
      <w:r>
        <w:t xml:space="preserve">Strategy</w:t>
      </w:r>
    </w:p>
    <w:p>
      <w:pPr>
        <w:pStyle w:val="FirstParagraph"/>
      </w:pPr>
      <w:r>
        <w:rPr>
          <w:i/>
          <w:iCs/>
        </w:rPr>
        <w:t xml:space="preserve">Construct a decision tree in Amua for a</w:t>
      </w:r>
      <w:r>
        <w:rPr>
          <w:i/>
          <w:iCs/>
        </w:rPr>
        <w:t xml:space="preserve"> </w:t>
      </w:r>
      <w:r>
        <w:rPr>
          <w:i/>
          <w:iCs/>
        </w:rPr>
        <w:t xml:space="preserve">“Status Quo”</w:t>
      </w:r>
      <w:r>
        <w:rPr>
          <w:i/>
          <w:iCs/>
        </w:rPr>
        <w:t xml:space="preserve"> </w:t>
      </w:r>
      <w:r>
        <w:rPr>
          <w:i/>
          <w:iCs/>
        </w:rPr>
        <w:t xml:space="preserve">strategy. Your tree should work through the following chance nodes</w:t>
      </w:r>
      <w:r>
        <w:t xml:space="preserve">:</w:t>
      </w:r>
    </w:p>
    <w:p>
      <w:pPr>
        <w:pStyle w:val="Compact"/>
        <w:numPr>
          <w:ilvl w:val="0"/>
          <w:numId w:val="1002"/>
        </w:numPr>
      </w:pPr>
      <w:r>
        <w:t xml:space="preserve">Injury vs. No Injury</w:t>
      </w:r>
    </w:p>
    <w:p>
      <w:pPr>
        <w:pStyle w:val="Compact"/>
        <w:numPr>
          <w:ilvl w:val="0"/>
          <w:numId w:val="1002"/>
        </w:numPr>
      </w:pPr>
      <w:r>
        <w:t xml:space="preserve">Fatal injury vs. non-fatal injury</w:t>
      </w:r>
    </w:p>
    <w:p>
      <w:pPr>
        <w:pStyle w:val="Compact"/>
        <w:numPr>
          <w:ilvl w:val="0"/>
          <w:numId w:val="1002"/>
        </w:numPr>
      </w:pPr>
      <w:r>
        <w:t xml:space="preserve">Mild/Moderate vs. Severe injury</w:t>
      </w:r>
    </w:p>
    <w:p>
      <w:pPr>
        <w:pStyle w:val="Compact"/>
        <w:numPr>
          <w:ilvl w:val="0"/>
          <w:numId w:val="1002"/>
        </w:numPr>
      </w:pPr>
      <w:r>
        <w:t xml:space="preserve">Full recovery vs. Recovery with injury sequelea</w:t>
      </w:r>
    </w:p>
    <w:p>
      <w:pPr>
        <w:pStyle w:val="FirstParagraph"/>
      </w:pPr>
      <w:r>
        <w:t xml:space="preserve">Please use the parameter names and values supplied above in the construction of your tree.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important.png" id="3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Often, when you add branches to a tree in Amua, the tree will become very crowded (see below). To</w:t>
            </w:r>
            <w:r>
              <w:t xml:space="preserve"> </w:t>
            </w:r>
            <w:r>
              <w:t xml:space="preserve">“clean up”</w:t>
            </w:r>
            <w:r>
              <w:t xml:space="preserve"> </w:t>
            </w:r>
            <w:r>
              <w:t xml:space="preserve">your tree, you can click the</w:t>
            </w:r>
            <w:r>
              <w:t xml:space="preserve"> </w:t>
            </w:r>
            <w:r>
              <w:t xml:space="preserve">“OCD”</w:t>
            </w:r>
            <w:r>
              <w:t xml:space="preserve"> </w:t>
            </w:r>
            <w:r>
              <w:t xml:space="preserve">(Organize Current Display) button and Amua will re-organize the layout for you!</w:t>
            </w:r>
          </w:p>
          <w:p>
            <w:pPr>
              <w:pStyle w:val="BodyText"/>
            </w:pPr>
            <w:pPr>
              <w:spacing w:after="16"/>
            </w:pPr>
            <w:r>
              <w:drawing>
                <wp:inline>
                  <wp:extent cx="3810000" cy="1543145"/>
                  <wp:effectExtent b="0" l="0" r="0" t="0"/>
                  <wp:docPr descr="" title="" id="33" name="Picture"/>
                  <a:graphic>
                    <a:graphicData uri="http://schemas.openxmlformats.org/drawingml/2006/picture">
                      <pic:pic>
                        <pic:nvPicPr>
                          <pic:cNvPr descr="images/clipboard-1033024070.png" id="34" name="Picture"/>
                          <pic:cNvPicPr>
                            <a:picLocks noChangeArrowheads="1" noChangeAspect="1"/>
                          </pic:cNvPicPr>
                        </pic:nvPicPr>
                        <pic:blipFill>
                          <a:blip r:embed="rId32"/>
                          <a:stretch>
                            <a:fillRect/>
                          </a:stretch>
                        </pic:blipFill>
                        <pic:spPr bwMode="auto">
                          <a:xfrm>
                            <a:off x="0" y="0"/>
                            <a:ext cx="3810000" cy="1543145"/>
                          </a:xfrm>
                          <a:prstGeom prst="rect">
                            <a:avLst/>
                          </a:prstGeom>
                          <a:noFill/>
                          <a:ln w="9525">
                            <a:noFill/>
                            <a:headEnd/>
                            <a:tailEnd/>
                          </a:ln>
                        </pic:spPr>
                      </pic:pic>
                    </a:graphicData>
                  </a:graphic>
                </wp:inline>
              </w:drawing>
            </w:r>
          </w:p>
          <w:p/>
        </w:tc>
      </w:tr>
    </w:tbl>
    <w:bookmarkEnd w:id="35"/>
    <w:bookmarkStart w:id="42"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“payoff”</w:t>
      </w:r>
      <w:r>
        <w:t xml:space="preserve"> </w:t>
      </w:r>
      <w:r>
        <w:t xml:space="preserve">should be 1.0 if an injury occurs, and 0 otherwise.</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40" name="Picture"/>
                  <a:graphic>
                    <a:graphicData uri="http://schemas.openxmlformats.org/drawingml/2006/picture">
                      <pic:pic>
                        <pic:nvPicPr>
                          <pic:cNvPr descr="images/clipboard-53317561.png" id="41" name="Picture"/>
                          <pic:cNvPicPr>
                            <a:picLocks noChangeArrowheads="1" noChangeAspect="1"/>
                          </pic:cNvPicPr>
                        </pic:nvPicPr>
                        <pic:blipFill>
                          <a:blip r:embed="rId39"/>
                          <a:stretch>
                            <a:fillRect/>
                          </a:stretch>
                        </pic:blipFill>
                        <pic:spPr bwMode="auto">
                          <a:xfrm>
                            <a:off x="0" y="0"/>
                            <a:ext cx="4238625" cy="3019792"/>
                          </a:xfrm>
                          <a:prstGeom prst="rect">
                            <a:avLst/>
                          </a:prstGeom>
                          <a:noFill/>
                          <a:ln w="9525">
                            <a:noFill/>
                            <a:headEnd/>
                            <a:tailEnd/>
                          </a:ln>
                        </pic:spPr>
                      </pic:pic>
                    </a:graphicData>
                  </a:graphic>
                </wp:inline>
              </w:drawing>
            </w:r>
          </w:p>
          <w:p/>
        </w:tc>
      </w:tr>
    </w:tbl>
    <w:bookmarkEnd w:id="42"/>
    <w:bookmarkStart w:id="48" w:name="X4bc9ed09b3902fdf6aaedf985eee52b13dbbb50"/>
    <w:p>
      <w:pPr>
        <w:pStyle w:val="Heading2"/>
      </w:pPr>
      <w:r>
        <w:t xml:space="preserve">1.3. Ensure Your Model Calibrates to Observed Injury Totals</w:t>
      </w:r>
    </w:p>
    <w:p>
      <w:pPr>
        <w:pStyle w:val="FirstParagraph"/>
      </w:pPr>
      <w:r>
        <w:rPr>
          <w:i/>
          <w:iCs/>
        </w:rPr>
        <w:t xml:space="preserve">Run your initial decision tree using a cohort size of 51,682,692 (2022 population of Colombia). Verify that the total number of firework injuries closely matches the reported total of 1,510.</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6" name="Picture"/>
                  <a:graphic>
                    <a:graphicData uri="http://schemas.openxmlformats.org/drawingml/2006/picture">
                      <pic:pic>
                        <pic:nvPicPr>
                          <pic:cNvPr descr="images/clipboard-670965426.png" id="47" name="Picture"/>
                          <pic:cNvPicPr>
                            <a:picLocks noChangeArrowheads="1" noChangeAspect="1"/>
                          </pic:cNvPicPr>
                        </pic:nvPicPr>
                        <pic:blipFill>
                          <a:blip r:embed="rId45"/>
                          <a:stretch>
                            <a:fillRect/>
                          </a:stretch>
                        </pic:blipFill>
                        <pic:spPr bwMode="auto">
                          <a:xfrm>
                            <a:off x="0" y="0"/>
                            <a:ext cx="4238625" cy="3031479"/>
                          </a:xfrm>
                          <a:prstGeom prst="rect">
                            <a:avLst/>
                          </a:prstGeom>
                          <a:noFill/>
                          <a:ln w="9525">
                            <a:noFill/>
                            <a:headEnd/>
                            <a:tailEnd/>
                          </a:ln>
                        </pic:spPr>
                      </pic:pic>
                    </a:graphicData>
                  </a:graphic>
                </wp:inline>
              </w:drawing>
            </w:r>
          </w:p>
          <w:p/>
        </w:tc>
      </w:tr>
    </w:tbl>
    <w:bookmarkEnd w:id="48"/>
    <w:bookmarkStart w:id="51" w:name="include-additional-policy-scenarios"/>
    <w:p>
      <w:pPr>
        <w:pStyle w:val="Heading2"/>
      </w:pPr>
      <w:r>
        <w:t xml:space="preserve">2.1. Include Additional Policy Scenarios</w:t>
      </w:r>
    </w:p>
    <w:p>
      <w:pPr>
        <w:pStyle w:val="FirstParagraph"/>
      </w:pPr>
      <w:r>
        <w:rPr>
          <w:i/>
          <w:iCs/>
        </w:rPr>
        <w:t xml:space="preserve">Create a duplicate version of your</w:t>
      </w:r>
      <w:r>
        <w:rPr>
          <w:i/>
          <w:iCs/>
        </w:rPr>
        <w:t xml:space="preserve"> </w:t>
      </w:r>
      <w:r>
        <w:rPr>
          <w:i/>
          <w:iCs/>
        </w:rPr>
        <w:t xml:space="preserve">“Do Nothing”</w:t>
      </w:r>
      <w:r>
        <w:rPr>
          <w:i/>
          <w:iCs/>
        </w:rPr>
        <w:t xml:space="preserve"> </w:t>
      </w:r>
      <w:r>
        <w:rPr>
          <w:i/>
          <w:iCs/>
        </w:rPr>
        <w:t xml:space="preserve">tree to construct separate branches for the</w:t>
      </w:r>
      <w:r>
        <w:rPr>
          <w:i/>
          <w:iCs/>
        </w:rPr>
        <w:t xml:space="preserve"> </w:t>
      </w:r>
      <w:r>
        <w:rPr>
          <w:i/>
          <w:iCs/>
        </w:rPr>
        <w:t xml:space="preserve">“Ban”</w:t>
      </w:r>
      <w:r>
        <w:rPr>
          <w:i/>
          <w:iCs/>
        </w:rPr>
        <w:t xml:space="preserve"> </w:t>
      </w:r>
      <w:r>
        <w:rPr>
          <w:i/>
          <w:iCs/>
        </w:rPr>
        <w:t xml:space="preserve">and</w:t>
      </w:r>
      <w:r>
        <w:rPr>
          <w:i/>
          <w:iCs/>
        </w:rPr>
        <w:t xml:space="preserve"> </w:t>
      </w:r>
      <w:r>
        <w:rPr>
          <w:i/>
          <w:iCs/>
        </w:rPr>
        <w:t xml:space="preserve">“Regulate”</w:t>
      </w:r>
      <w:r>
        <w:rPr>
          <w:i/>
          <w:iCs/>
        </w:rPr>
        <w:t xml:space="preserve"> </w:t>
      </w:r>
      <w:r>
        <w:rPr>
          <w:i/>
          <w:iCs/>
        </w:rPr>
        <w:t xml:space="preserve">scenarios. Under each, the probability of injury should be modified by a relative risk reduction parameter with values set based on the text above and the table below.</w:t>
      </w:r>
    </w:p>
    <w:tbl>
      <w:tblPr>
        <w:tblStyle w:val="Table"/>
        <w:tblW w:type="pct" w:w="5000"/>
        <w:tblLayout w:type="fixed"/>
        <w:tblLook w:firstRow="1" w:lastRow="0" w:firstColumn="0" w:lastColumn="0" w:noHBand="0" w:noVBand="0" w:val="0020"/>
      </w:tblPr>
      <w:tblGrid>
        <w:gridCol w:w="3797"/>
        <w:gridCol w:w="2061"/>
        <w:gridCol w:w="2061"/>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Relative risk reduction: probability of injury under</w:t>
            </w:r>
            <w:r>
              <w:t xml:space="preserve"> </w:t>
            </w:r>
            <w:r>
              <w:t xml:space="preserve">“Ban”</w:t>
            </w:r>
            <w:r>
              <w:t xml:space="preserve"> </w:t>
            </w:r>
            <w:r>
              <w:t xml:space="preserve">policy scenario</w:t>
            </w:r>
          </w:p>
        </w:tc>
        <w:tc>
          <w:tcPr/>
          <w:p>
            <w:pPr>
              <w:pStyle w:val="Compact"/>
            </w:pPr>
            <w:r>
              <w:t xml:space="preserve">0.40</w:t>
            </w:r>
          </w:p>
        </w:tc>
        <w:tc>
          <w:tcPr/>
          <w:p>
            <w:pPr>
              <w:pStyle w:val="Compact"/>
            </w:pPr>
            <w:r>
              <w:t xml:space="preserve">rr_ban</w:t>
            </w:r>
          </w:p>
        </w:tc>
      </w:tr>
      <w:tr>
        <w:tc>
          <w:tcPr/>
          <w:p>
            <w:pPr>
              <w:pStyle w:val="Compact"/>
            </w:pPr>
            <w:r>
              <w:t xml:space="preserve">Relative risk reduction: probability of injury under</w:t>
            </w:r>
            <w:r>
              <w:t xml:space="preserve"> </w:t>
            </w:r>
            <w:r>
              <w:t xml:space="preserve">“Regulate”</w:t>
            </w:r>
            <w:r>
              <w:t xml:space="preserve"> </w:t>
            </w:r>
            <w:r>
              <w:t xml:space="preserve">policy scenario</w:t>
            </w:r>
          </w:p>
        </w:tc>
        <w:tc>
          <w:tcPr/>
          <w:p>
            <w:pPr>
              <w:pStyle w:val="Compact"/>
            </w:pPr>
            <w:r>
              <w:t xml:space="preserve">0.80</w:t>
            </w:r>
          </w:p>
        </w:tc>
        <w:tc>
          <w:tcPr/>
          <w:p>
            <w:pPr>
              <w:pStyle w:val="Compact"/>
            </w:pPr>
            <w:r>
              <w:t xml:space="preserve">rr_regulate</w:t>
            </w:r>
          </w:p>
        </w:tc>
      </w:tr>
    </w:tbl>
    <w:p>
      <w:pPr>
        <w:pStyle w:val="BodyText"/>
      </w:pPr>
      <w:r>
        <w:t xml:space="preserve"> </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copy and paste the</w:t>
            </w:r>
            <w:r>
              <w:t xml:space="preserve"> </w:t>
            </w:r>
            <w:r>
              <w:t xml:space="preserve">“Do Nothing”</w:t>
            </w:r>
            <w:r>
              <w:t xml:space="preserve"> </w:t>
            </w:r>
            <w:r>
              <w:t xml:space="preserve">branch by right-clicking on the first chance node</w:t>
            </w:r>
            <w:r>
              <w:t xml:space="preserve"> </w:t>
            </w:r>
            <w:r>
              <w:t xml:space="preserve"> </w:t>
            </w:r>
            <w:r>
              <w:t xml:space="preserve">and selecting</w:t>
            </w:r>
            <w:r>
              <w:t xml:space="preserve"> </w:t>
            </w:r>
            <w:r>
              <w:t xml:space="preserve">“Copy.”</w:t>
            </w:r>
            <w:r>
              <w:t xml:space="preserve"> </w:t>
            </w:r>
            <w:r>
              <w:t xml:space="preserve">You can then paste a copy of the entire tree structure on the red decision node</w:t>
            </w:r>
            <w:r>
              <w:t xml:space="preserve"> </w:t>
            </w:r>
            <w:r>
              <w:t xml:space="preserve">.</w:t>
            </w:r>
          </w:p>
          <w:p/>
        </w:tc>
      </w:tr>
    </w:tbl>
    <w:bookmarkEnd w:id="51"/>
    <w:bookmarkStart w:id="55"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w:t>
      </w:r>
    </w:p>
    <w:tbl>
      <w:tblPr>
        <w:tblStyle w:val="Table"/>
        <w:tblInd w:w="164" w:type="dxa"/>
        <w:tblBorders>
          <w:left w:val="single" w:sz="24" w:space="0" w:color="EB9113"/>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p>
          <w:p>
            <w:pPr>
              <w:pStyle w:val="BodyText"/>
            </w:pPr>
            <w:pPr>
              <w:spacing w:before="16" w:after="16"/>
            </w:pPr>
            <w:r>
              <w:t xml:space="preserve">Run the model and use the results to fill out the table below. Each cell should have calculated counts of the number of each type of injury under each strategy.</w:t>
            </w:r>
          </w:p>
        </w:tc>
      </w:tr>
    </w:tbl>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Strategy</w:t>
            </w:r>
          </w:p>
        </w:tc>
        <w:tc>
          <w:tcPr/>
          <w:p>
            <w:pPr>
              <w:pStyle w:val="Compact"/>
            </w:pPr>
            <w:r>
              <w:t xml:space="preserve">Any Injury</w:t>
            </w:r>
          </w:p>
        </w:tc>
        <w:tc>
          <w:tcPr/>
          <w:p>
            <w:pPr>
              <w:pStyle w:val="Compact"/>
            </w:pPr>
            <w:r>
              <w:t xml:space="preserve">Mild/Moderate</w:t>
            </w:r>
          </w:p>
        </w:tc>
        <w:tc>
          <w:tcPr/>
          <w:p>
            <w:pPr>
              <w:pStyle w:val="Compact"/>
            </w:pPr>
            <w:r>
              <w:t xml:space="preserve">Severe</w:t>
            </w:r>
          </w:p>
        </w:tc>
        <w:tc>
          <w:tcPr/>
          <w:p>
            <w:pPr>
              <w:pStyle w:val="Compact"/>
            </w:pPr>
            <w:r>
              <w:t xml:space="preserve">Fatal</w:t>
            </w:r>
          </w:p>
        </w:tc>
      </w:tr>
      <w:tr>
        <w:tc>
          <w:tcPr/>
          <w:p>
            <w:pPr>
              <w:pStyle w:val="Compac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Regulate Fireworks</w:t>
            </w:r>
          </w:p>
        </w:tc>
        <w:tc>
          <w:tcPr/>
          <w:p>
            <w:pPr>
              <w:pStyle w:val="Compact"/>
            </w:pPr>
          </w:p>
        </w:tc>
        <w:tc>
          <w:tcPr/>
          <w:p>
            <w:pPr>
              <w:pStyle w:val="Compact"/>
            </w:pPr>
          </w:p>
        </w:tc>
        <w:tc>
          <w:tcPr/>
          <w:p>
            <w:pPr>
              <w:pStyle w:val="Compact"/>
            </w:pPr>
          </w:p>
        </w:tc>
        <w:tc>
          <w:tcPr/>
          <w:p>
            <w:pPr>
              <w:pStyle w:val="Compact"/>
            </w:pPr>
          </w:p>
        </w:tc>
      </w:tr>
    </w:tbl>
    <w:bookmarkStart w:id="54" w:name="cost-outcomes"/>
    <w:p>
      <w:pPr>
        <w:pStyle w:val="Heading3"/>
      </w:pPr>
      <w:r>
        <w:t xml:space="preserve">Cost Outcomes</w:t>
      </w:r>
    </w:p>
    <w:p>
      <w:pPr>
        <w:pStyle w:val="FirstParagraph"/>
      </w:pPr>
      <w:r>
        <w:t xml:space="preserve">Next, add in cost outcomes under the following assumptions.</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tip.png" id="5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will need to add costs as an outcome by clicking Model</w:t>
            </w:r>
            <w:r>
              <w:t xml:space="preserve"> </w:t>
            </w:r>
            <w:r>
              <w:t xml:space="preserve"> </w:t>
            </w:r>
            <w:r>
              <w:t xml:space="preserve">Properties</w:t>
            </w:r>
            <w:r>
              <w:t xml:space="preserve"> </w:t>
            </w:r>
            <w:r>
              <w:t xml:space="preserve"> </w:t>
            </w:r>
            <w:r>
              <w:t xml:space="preserve">Analysis</w:t>
            </w:r>
          </w:p>
          <w:p/>
        </w:tc>
      </w:tr>
    </w:tbl>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Cost of mild or moderate injury</w:t>
            </w:r>
          </w:p>
        </w:tc>
        <w:tc>
          <w:tcPr/>
          <w:p>
            <w:pPr>
              <w:pStyle w:val="Compact"/>
            </w:pPr>
            <w:r>
              <w:t xml:space="preserve">COP 2,000,000</w:t>
            </w:r>
          </w:p>
        </w:tc>
        <w:tc>
          <w:tcPr/>
          <w:p>
            <w:pPr>
              <w:pStyle w:val="Compact"/>
            </w:pPr>
            <w:r>
              <w:t xml:space="preserve">c_moderate</w:t>
            </w:r>
          </w:p>
        </w:tc>
      </w:tr>
      <w:tr>
        <w:tc>
          <w:tcPr/>
          <w:p>
            <w:pPr>
              <w:pStyle w:val="Compact"/>
            </w:pPr>
            <w:r>
              <w:t xml:space="preserve">Cost of severe injury</w:t>
            </w:r>
          </w:p>
        </w:tc>
        <w:tc>
          <w:tcPr/>
          <w:p>
            <w:pPr>
              <w:pStyle w:val="Compact"/>
            </w:pPr>
            <w:r>
              <w:t xml:space="preserve">COP 40,000,000</w:t>
            </w:r>
          </w:p>
        </w:tc>
        <w:tc>
          <w:tcPr/>
          <w:p>
            <w:pPr>
              <w:pStyle w:val="Compact"/>
            </w:pPr>
            <w:r>
              <w:t xml:space="preserve">c_severe</w:t>
            </w:r>
          </w:p>
        </w:tc>
      </w:tr>
      <w:tr>
        <w:tc>
          <w:tcPr/>
          <w:p>
            <w:pPr>
              <w:pStyle w:val="Compact"/>
            </w:pPr>
            <w:r>
              <w:t xml:space="preserve">Cost of fatal injury</w:t>
            </w:r>
          </w:p>
        </w:tc>
        <w:tc>
          <w:tcPr/>
          <w:p>
            <w:pPr>
              <w:pStyle w:val="Compact"/>
            </w:pPr>
            <w:r>
              <w:t xml:space="preserve">COP 0</w:t>
            </w:r>
          </w:p>
        </w:tc>
        <w:tc>
          <w:tcPr/>
          <w:p>
            <w:pPr>
              <w:pStyle w:val="Compact"/>
            </w:pPr>
            <w:r>
              <w:t xml:space="preserve">c_fatalily</w:t>
            </w:r>
          </w:p>
        </w:tc>
      </w:tr>
      <w:tr>
        <w:tc>
          <w:tcPr/>
          <w:p>
            <w:pPr>
              <w:pStyle w:val="Compact"/>
            </w:pPr>
            <w:r>
              <w:t xml:space="preserve">Cost of mild/moderate sequelae</w:t>
            </w:r>
          </w:p>
        </w:tc>
        <w:tc>
          <w:tcPr/>
          <w:p>
            <w:pPr>
              <w:pStyle w:val="Compact"/>
            </w:pPr>
            <w:r>
              <w:t xml:space="preserve">COP 1,000,000</w:t>
            </w:r>
          </w:p>
        </w:tc>
        <w:tc>
          <w:tcPr/>
          <w:p>
            <w:pPr>
              <w:pStyle w:val="Compact"/>
            </w:pPr>
            <w:r>
              <w:t xml:space="preserve">c_seq_mildmod</w:t>
            </w:r>
          </w:p>
        </w:tc>
      </w:tr>
      <w:tr>
        <w:tc>
          <w:tcPr/>
          <w:p>
            <w:pPr>
              <w:pStyle w:val="Compact"/>
            </w:pPr>
            <w:r>
              <w:t xml:space="preserve">Cost of severe sequalae</w:t>
            </w:r>
          </w:p>
        </w:tc>
        <w:tc>
          <w:tcPr/>
          <w:p>
            <w:pPr>
              <w:pStyle w:val="Compact"/>
            </w:pPr>
            <w:r>
              <w:t xml:space="preserve">COP 4,000,000</w:t>
            </w:r>
          </w:p>
        </w:tc>
        <w:tc>
          <w:tcPr/>
          <w:p>
            <w:pPr>
              <w:pStyle w:val="Compact"/>
            </w:pPr>
            <w:r>
              <w:t xml:space="preserve">c_seq_severe</w:t>
            </w:r>
          </w:p>
        </w:tc>
      </w:tr>
    </w:tbl>
    <w:p>
      <w:pPr>
        <w:pStyle w:val="BodyText"/>
      </w:pPr>
      <w:r>
        <w:t xml:space="preserve"> </w:t>
      </w:r>
    </w:p>
    <w:tbl>
      <w:tblPr>
        <w:tblStyle w:val="Table"/>
        <w:tblInd w:w="164" w:type="dxa"/>
        <w:tblBorders>
          <w:left w:val="single" w:sz="24" w:space="0" w:color="EB9113"/>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p>
          <w:p>
            <w:pPr>
              <w:pStyle w:val="BodyText"/>
            </w:pPr>
            <w:pPr>
              <w:spacing w:before="16" w:after="16"/>
            </w:pPr>
            <w:r>
              <w:t xml:space="preserve">By what percentage does each policy strategy reduce overall costs of firework injuries in Colombia?</w:t>
            </w:r>
          </w:p>
        </w:tc>
      </w:tr>
    </w:tbl>
    <w:bookmarkEnd w:id="54"/>
    <w:bookmarkEnd w:id="55"/>
    <w:bookmarkEnd w:id="5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“Antanas Mockus: The Prohibition of Fireworks in Bogotá Sequel,”</w:t>
      </w:r>
      <w:r>
        <w:t xml:space="preserve"> </w:t>
      </w:r>
      <w:r>
        <w:rPr>
          <w:i/>
          <w:iCs/>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2025-10-24T17:16:44Z</dcterms:created>
  <dcterms:modified xsi:type="dcterms:W3CDTF">2025-10-24T17:16:44Z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