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D32" w:rsidRPr="001018E5" w:rsidRDefault="00A07D32" w:rsidP="00A07D32">
      <w:pPr>
        <w:jc w:val="center"/>
        <w:rPr>
          <w:rFonts w:ascii="Arial" w:hAnsi="Arial" w:cs="Arial"/>
          <w:b/>
          <w:lang w:val="es-US"/>
        </w:rPr>
      </w:pPr>
      <w:r w:rsidRPr="001018E5">
        <w:rPr>
          <w:rFonts w:ascii="Arial" w:hAnsi="Arial" w:cs="Arial"/>
          <w:b/>
          <w:lang w:val="es-US"/>
        </w:rPr>
        <w:t>MÓDULO I: CUARTO DE TELECOMUNICACIONES (MDF) Y ENERGÍA</w:t>
      </w:r>
    </w:p>
    <w:p w:rsidR="00837D2A" w:rsidRPr="001018E5" w:rsidRDefault="00A07D32" w:rsidP="00A07D32">
      <w:pPr>
        <w:rPr>
          <w:rFonts w:ascii="Arial" w:hAnsi="Arial" w:cs="Arial"/>
          <w:lang w:val="es-US"/>
        </w:rPr>
      </w:pPr>
      <w:r w:rsidRPr="001018E5">
        <w:rPr>
          <w:rFonts w:ascii="Arial" w:hAnsi="Arial" w:cs="Arial"/>
          <w:lang w:val="es-US"/>
        </w:rPr>
        <w:t>Referencia Normativa: ANSI/TIA/EIA-569 (Espacios y Canalizaciones) e ISO/IEC 27001 (Seguridad Física).</w:t>
      </w:r>
    </w:p>
    <w:tbl>
      <w:tblPr>
        <w:tblW w:w="11879" w:type="dxa"/>
        <w:tblInd w:w="-15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7"/>
        <w:gridCol w:w="3296"/>
        <w:gridCol w:w="1959"/>
        <w:gridCol w:w="1068"/>
        <w:gridCol w:w="1068"/>
        <w:gridCol w:w="2351"/>
      </w:tblGrid>
      <w:tr w:rsidR="00A07D32" w:rsidRPr="001018E5" w:rsidTr="00A07D32">
        <w:trPr>
          <w:trHeight w:val="565"/>
        </w:trPr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ID</w:t>
            </w:r>
          </w:p>
        </w:tc>
        <w:tc>
          <w:tcPr>
            <w:tcW w:w="32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Criterio de Evaluación</w:t>
            </w:r>
          </w:p>
        </w:tc>
        <w:tc>
          <w:tcPr>
            <w:tcW w:w="19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Norma Aplicada</w:t>
            </w:r>
          </w:p>
        </w:tc>
        <w:tc>
          <w:tcPr>
            <w:tcW w:w="10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Sí</w:t>
            </w:r>
          </w:p>
        </w:tc>
        <w:tc>
          <w:tcPr>
            <w:tcW w:w="10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</w:t>
            </w:r>
          </w:p>
        </w:tc>
        <w:tc>
          <w:tcPr>
            <w:tcW w:w="2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Observaciones / Hallazgos</w:t>
            </w:r>
          </w:p>
        </w:tc>
      </w:tr>
      <w:tr w:rsidR="00A07D32" w:rsidRPr="00A07D32" w:rsidTr="00A07D32">
        <w:trPr>
          <w:trHeight w:val="1629"/>
        </w:trPr>
        <w:tc>
          <w:tcPr>
            <w:tcW w:w="2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F-01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¿Los equipos de red centrales (</w:t>
            </w:r>
            <w:proofErr w:type="spellStart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Router</w:t>
            </w:r>
            <w:proofErr w:type="spellEnd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y </w:t>
            </w:r>
            <w:proofErr w:type="spellStart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Switch</w:t>
            </w:r>
            <w:proofErr w:type="spellEnd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) están alojados de forma segura dentro de un </w:t>
            </w: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Gabinete / Rack de 9U</w:t>
            </w: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anclado a la pared y con cerradura?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ISO 27001 (A.11.1)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A07D32" w:rsidRPr="00A07D32" w:rsidTr="00A07D32">
        <w:trPr>
          <w:trHeight w:val="1587"/>
        </w:trPr>
        <w:tc>
          <w:tcPr>
            <w:tcW w:w="2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F-02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¿Existe un </w:t>
            </w:r>
            <w:proofErr w:type="spellStart"/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Patch</w:t>
            </w:r>
            <w:proofErr w:type="spellEnd"/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 Panel Cat6 de 24 puertos</w:t>
            </w: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instalado en el Rack para la terminación mecánica del cableado rígido que proviene de las paredes?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ANSI/TIA-568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A07D32" w:rsidRPr="00A07D32" w:rsidTr="00A07D32">
        <w:trPr>
          <w:trHeight w:val="1297"/>
        </w:trPr>
        <w:tc>
          <w:tcPr>
            <w:tcW w:w="2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F-03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¿La distribución de energía dentro del Rack se realiza a través de una </w:t>
            </w: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PDU (Regleta de Rack de 1U)</w:t>
            </w: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normada?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TIA-942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A07D32" w:rsidRPr="00A07D32" w:rsidTr="00A07D32">
        <w:trPr>
          <w:trHeight w:val="1436"/>
        </w:trPr>
        <w:tc>
          <w:tcPr>
            <w:tcW w:w="2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F-04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¿El Rack cuenta con respaldo de energía ininterrumpida mediante una </w:t>
            </w: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UPS de Rack de mínimo 1000VA</w:t>
            </w: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operativa?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ISO 27001 (A.11.2)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pStyle w:val="Sinespaciado"/>
        <w:jc w:val="center"/>
        <w:rPr>
          <w:rFonts w:ascii="Arial" w:hAnsi="Arial" w:cs="Arial"/>
          <w:b/>
          <w:lang w:val="es-US" w:eastAsia="es-US"/>
        </w:rPr>
      </w:pPr>
      <w:r w:rsidRPr="001018E5">
        <w:rPr>
          <w:rFonts w:ascii="Arial" w:hAnsi="Arial" w:cs="Arial"/>
          <w:b/>
          <w:lang w:val="es-US" w:eastAsia="es-US"/>
        </w:rPr>
        <w:lastRenderedPageBreak/>
        <w:t>MÓDULO II: SUBSISTEMA DE CABLEADO HORIZONTAL Y CANALIZACIÓN</w:t>
      </w: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pStyle w:val="NormalWeb"/>
        <w:rPr>
          <w:rFonts w:ascii="Arial" w:hAnsi="Arial" w:cs="Arial"/>
        </w:rPr>
      </w:pPr>
      <w:r w:rsidRPr="001018E5">
        <w:rPr>
          <w:rFonts w:ascii="Arial" w:hAnsi="Arial" w:cs="Arial"/>
          <w:iCs/>
        </w:rPr>
        <w:t>Referencia Normativa: ANSI/TIA/EIA-568-B/C (Cableado Comercial) y ANSI/TIA/EIA-569.</w:t>
      </w:r>
    </w:p>
    <w:tbl>
      <w:tblPr>
        <w:tblpPr w:leftFromText="141" w:rightFromText="141" w:vertAnchor="text" w:horzAnchor="margin" w:tblpXSpec="center" w:tblpY="202"/>
        <w:tblW w:w="11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9"/>
        <w:gridCol w:w="3183"/>
        <w:gridCol w:w="2133"/>
        <w:gridCol w:w="941"/>
        <w:gridCol w:w="941"/>
        <w:gridCol w:w="2289"/>
      </w:tblGrid>
      <w:tr w:rsidR="00A07D32" w:rsidRPr="001018E5" w:rsidTr="00A07D32">
        <w:trPr>
          <w:trHeight w:val="570"/>
        </w:trPr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ID</w:t>
            </w:r>
          </w:p>
        </w:tc>
        <w:tc>
          <w:tcPr>
            <w:tcW w:w="31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Criterio de Evaluación</w:t>
            </w:r>
          </w:p>
        </w:tc>
        <w:tc>
          <w:tcPr>
            <w:tcW w:w="21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Norma Aplicada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Sí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</w:t>
            </w:r>
          </w:p>
        </w:tc>
        <w:tc>
          <w:tcPr>
            <w:tcW w:w="22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Observaciones / Hallazgos</w:t>
            </w:r>
          </w:p>
        </w:tc>
      </w:tr>
      <w:tr w:rsidR="00A07D32" w:rsidRPr="001018E5" w:rsidTr="00A07D32">
        <w:trPr>
          <w:trHeight w:val="1279"/>
        </w:trPr>
        <w:tc>
          <w:tcPr>
            <w:tcW w:w="22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C-01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¿Existen </w:t>
            </w: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23 tendidos independientes de cable UTP Cat6</w:t>
            </w: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(21 locales y 2 de larga distancia) operando como enlaces permanentes?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A07D32" w:rsidRPr="001018E5" w:rsidTr="00A07D32">
        <w:trPr>
          <w:trHeight w:val="1599"/>
        </w:trPr>
        <w:tc>
          <w:tcPr>
            <w:tcW w:w="22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C-02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¿El 100% de la trayectoria de los cables se encuentra protegida dentro de </w:t>
            </w: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canaletas de PVC o tubería EMT</w:t>
            </w: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, respetando los radios de curvatura?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A07D32" w:rsidRPr="001018E5" w:rsidTr="00A07D32">
        <w:trPr>
          <w:trHeight w:val="1418"/>
        </w:trPr>
        <w:tc>
          <w:tcPr>
            <w:tcW w:w="228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C-03</w:t>
            </w:r>
          </w:p>
        </w:tc>
        <w:tc>
          <w:tcPr>
            <w:tcW w:w="3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¿Se cumple la prohibición de ponchar el cable horizontal directo a los equipos, utilizando terminaciones fijas (</w:t>
            </w:r>
            <w:proofErr w:type="spellStart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Patch</w:t>
            </w:r>
            <w:proofErr w:type="spellEnd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Panel a </w:t>
            </w:r>
            <w:proofErr w:type="spellStart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Keystone</w:t>
            </w:r>
            <w:proofErr w:type="spellEnd"/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)?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Mejores Prácticas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07D32" w:rsidRPr="00A07D32" w:rsidRDefault="00A07D32" w:rsidP="00A07D3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</w:pPr>
            <w:r w:rsidRPr="00A07D32"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A07D32" w:rsidRPr="001018E5" w:rsidRDefault="00A07D32" w:rsidP="00A07D32">
      <w:pPr>
        <w:rPr>
          <w:rFonts w:ascii="Arial" w:hAnsi="Arial" w:cs="Arial"/>
          <w:lang w:val="es-NI"/>
        </w:rPr>
      </w:pPr>
      <w:r w:rsidRPr="001018E5">
        <w:rPr>
          <w:rFonts w:ascii="Arial" w:hAnsi="Arial" w:cs="Arial"/>
          <w:lang w:val="es-US"/>
        </w:rPr>
        <w:fldChar w:fldCharType="begin"/>
      </w:r>
      <w:r w:rsidRPr="001018E5">
        <w:rPr>
          <w:rFonts w:ascii="Arial" w:hAnsi="Arial" w:cs="Arial"/>
          <w:lang w:val="es-US"/>
        </w:rPr>
        <w:instrText xml:space="preserve"> LINK Excel.Sheet.12 "Libro2" "Hoja2!F1C1:F4C6" \a \f 4 \h </w:instrText>
      </w:r>
      <w:r w:rsidR="001018E5">
        <w:rPr>
          <w:rFonts w:ascii="Arial" w:hAnsi="Arial" w:cs="Arial"/>
          <w:lang w:val="es-US"/>
        </w:rPr>
        <w:instrText xml:space="preserve"> \* MERGEFORMAT </w:instrText>
      </w:r>
      <w:r w:rsidRPr="001018E5">
        <w:rPr>
          <w:rFonts w:ascii="Arial" w:hAnsi="Arial" w:cs="Arial"/>
          <w:lang w:val="es-US"/>
        </w:rPr>
        <w:fldChar w:fldCharType="separate"/>
      </w:r>
    </w:p>
    <w:p w:rsidR="00A07D32" w:rsidRPr="001018E5" w:rsidRDefault="00A07D32" w:rsidP="00A07D32">
      <w:pPr>
        <w:rPr>
          <w:rFonts w:ascii="Arial" w:hAnsi="Arial" w:cs="Arial"/>
          <w:lang w:val="es-US"/>
        </w:rPr>
      </w:pPr>
      <w:r w:rsidRPr="001018E5">
        <w:rPr>
          <w:rFonts w:ascii="Arial" w:hAnsi="Arial" w:cs="Arial"/>
          <w:lang w:val="es-US"/>
        </w:rPr>
        <w:fldChar w:fldCharType="end"/>
      </w: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pStyle w:val="Sinespaciado"/>
        <w:jc w:val="center"/>
        <w:rPr>
          <w:rFonts w:ascii="Arial" w:hAnsi="Arial" w:cs="Arial"/>
          <w:b/>
          <w:lang w:val="es-US"/>
        </w:rPr>
      </w:pPr>
      <w:r w:rsidRPr="001018E5">
        <w:rPr>
          <w:rFonts w:ascii="Arial" w:hAnsi="Arial" w:cs="Arial"/>
          <w:b/>
        </w:rPr>
        <w:lastRenderedPageBreak/>
        <w:t>MÓDULO III: ÁREA DE TRABAJO (ENDPOINTS) Y ADMINISTRACIÓN</w:t>
      </w:r>
    </w:p>
    <w:p w:rsidR="00A07D32" w:rsidRPr="001018E5" w:rsidRDefault="00A07D32" w:rsidP="00A07D32">
      <w:pPr>
        <w:rPr>
          <w:rFonts w:ascii="Arial" w:hAnsi="Arial" w:cs="Arial"/>
          <w:lang w:val="es-US"/>
        </w:rPr>
      </w:pPr>
    </w:p>
    <w:p w:rsidR="00A07D32" w:rsidRPr="001018E5" w:rsidRDefault="00A07D32" w:rsidP="00A07D32">
      <w:pPr>
        <w:pStyle w:val="NormalWeb"/>
        <w:rPr>
          <w:rFonts w:ascii="Arial" w:hAnsi="Arial" w:cs="Arial"/>
        </w:rPr>
      </w:pPr>
      <w:r w:rsidRPr="001018E5">
        <w:rPr>
          <w:rFonts w:ascii="Arial" w:hAnsi="Arial" w:cs="Arial"/>
          <w:iCs/>
        </w:rPr>
        <w:t>Referencia Normativa: ANSI/TIA/EIA-568 y ANSI/TIA/EIA-606 (Administración y Etiquetado).</w:t>
      </w:r>
    </w:p>
    <w:tbl>
      <w:tblPr>
        <w:tblpPr w:leftFromText="141" w:rightFromText="141" w:vertAnchor="text" w:horzAnchor="margin" w:tblpXSpec="center" w:tblpY="186"/>
        <w:tblW w:w="11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5"/>
        <w:gridCol w:w="2923"/>
        <w:gridCol w:w="1926"/>
        <w:gridCol w:w="996"/>
        <w:gridCol w:w="996"/>
        <w:gridCol w:w="2773"/>
      </w:tblGrid>
      <w:tr w:rsidR="001018E5" w:rsidRPr="001018E5" w:rsidTr="001018E5">
        <w:trPr>
          <w:trHeight w:val="850"/>
        </w:trPr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ID</w:t>
            </w:r>
          </w:p>
        </w:tc>
        <w:tc>
          <w:tcPr>
            <w:tcW w:w="29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Criterio de Evaluación</w:t>
            </w:r>
          </w:p>
        </w:tc>
        <w:tc>
          <w:tcPr>
            <w:tcW w:w="19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Norma Aplicada</w:t>
            </w:r>
          </w:p>
        </w:tc>
        <w:tc>
          <w:tcPr>
            <w:tcW w:w="9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Sí</w:t>
            </w:r>
          </w:p>
        </w:tc>
        <w:tc>
          <w:tcPr>
            <w:tcW w:w="9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</w:t>
            </w:r>
          </w:p>
        </w:tc>
        <w:tc>
          <w:tcPr>
            <w:tcW w:w="27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Observaciones / Hallazgos</w:t>
            </w:r>
          </w:p>
        </w:tc>
      </w:tr>
      <w:tr w:rsidR="001018E5" w:rsidRPr="001018E5" w:rsidTr="001018E5">
        <w:trPr>
          <w:trHeight w:val="1547"/>
        </w:trPr>
        <w:tc>
          <w:tcPr>
            <w:tcW w:w="20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E-01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¿El laboratorio de computación cuenta con </w:t>
            </w: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21 Cajas de Superficie (Rosetas) de una sola ventana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fijadas a la pared/escritorios?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1018E5" w:rsidRPr="001018E5" w:rsidTr="001018E5">
        <w:trPr>
          <w:trHeight w:val="1589"/>
        </w:trPr>
        <w:tc>
          <w:tcPr>
            <w:tcW w:w="20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E-02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¿La oficina de la dirección cuenta con </w:t>
            </w: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1 </w:t>
            </w:r>
            <w:proofErr w:type="spellStart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Faceplate</w:t>
            </w:r>
            <w:proofErr w:type="spellEnd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 doble (Roseta de 2 ventanas)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para la terminación de los dos enlaces administrativos?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1018E5" w:rsidRPr="001018E5" w:rsidTr="001018E5">
        <w:trPr>
          <w:trHeight w:val="1617"/>
        </w:trPr>
        <w:tc>
          <w:tcPr>
            <w:tcW w:w="20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E-03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¿El interior de todas las rosetas y el </w:t>
            </w:r>
            <w:proofErr w:type="spellStart"/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Patch</w:t>
            </w:r>
            <w:proofErr w:type="spellEnd"/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Panel están terminados con </w:t>
            </w: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Módulos </w:t>
            </w:r>
            <w:proofErr w:type="spellStart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Keystone</w:t>
            </w:r>
            <w:proofErr w:type="spellEnd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 (</w:t>
            </w:r>
            <w:proofErr w:type="spellStart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Jacks</w:t>
            </w:r>
            <w:proofErr w:type="spellEnd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) RJ45 Cat6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, ponchados bajo la norma </w:t>
            </w: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T568B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?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1018E5" w:rsidRPr="001018E5" w:rsidTr="001018E5">
        <w:trPr>
          <w:trHeight w:val="1687"/>
        </w:trPr>
        <w:tc>
          <w:tcPr>
            <w:tcW w:w="20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E-04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¿La conexión final entre las rosetas de pared y las computadoras se realiza utilizando </w:t>
            </w:r>
            <w:proofErr w:type="spellStart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Patch</w:t>
            </w:r>
            <w:proofErr w:type="spellEnd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 </w:t>
            </w:r>
            <w:proofErr w:type="spellStart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Cords</w:t>
            </w:r>
            <w:proofErr w:type="spellEnd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 de usuario (1 a 2 </w:t>
            </w:r>
            <w:proofErr w:type="spellStart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mts</w:t>
            </w:r>
            <w:proofErr w:type="spellEnd"/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) armados y certificados de fábrica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?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ANSI/TIA-568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</w:pPr>
          </w:p>
        </w:tc>
      </w:tr>
      <w:tr w:rsidR="001018E5" w:rsidRPr="001018E5" w:rsidTr="001018E5">
        <w:trPr>
          <w:trHeight w:val="1715"/>
        </w:trPr>
        <w:tc>
          <w:tcPr>
            <w:tcW w:w="20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E-05</w:t>
            </w:r>
          </w:p>
        </w:tc>
        <w:tc>
          <w:tcPr>
            <w:tcW w:w="2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¿Las placas de la dirección están etiquetadas formalmente bajo la nomenclatura </w:t>
            </w: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DIR-PC01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(Director) y </w:t>
            </w:r>
            <w:r w:rsidRPr="001018E5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DIR-PC02</w:t>
            </w: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(Secretaria), coincidiendo con el </w:t>
            </w:r>
            <w:proofErr w:type="spellStart"/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Patch</w:t>
            </w:r>
            <w:proofErr w:type="spellEnd"/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Panel?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ANSI/TIA-606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018E5" w:rsidRPr="001018E5" w:rsidRDefault="001018E5" w:rsidP="001018E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1018E5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1018E5" w:rsidRPr="001018E5" w:rsidRDefault="001018E5" w:rsidP="00A07D32">
      <w:pPr>
        <w:rPr>
          <w:rFonts w:ascii="Arial" w:hAnsi="Arial" w:cs="Arial"/>
          <w:lang w:val="es-NI"/>
        </w:rPr>
      </w:pPr>
      <w:r w:rsidRPr="001018E5">
        <w:rPr>
          <w:rFonts w:ascii="Arial" w:hAnsi="Arial" w:cs="Arial"/>
          <w:lang w:val="es-US"/>
        </w:rPr>
        <w:fldChar w:fldCharType="begin"/>
      </w:r>
      <w:r w:rsidRPr="001018E5">
        <w:rPr>
          <w:rFonts w:ascii="Arial" w:hAnsi="Arial" w:cs="Arial"/>
          <w:lang w:val="es-US"/>
        </w:rPr>
        <w:instrText xml:space="preserve"> LINK Excel.Sheet.12 "Libro2" "Hoja3!F1C1:F6C6" \a \f 4 \h  \* MERGEFORMAT </w:instrText>
      </w:r>
      <w:r w:rsidRPr="001018E5">
        <w:rPr>
          <w:rFonts w:ascii="Arial" w:hAnsi="Arial" w:cs="Arial"/>
          <w:lang w:val="es-US"/>
        </w:rPr>
        <w:fldChar w:fldCharType="separate"/>
      </w:r>
    </w:p>
    <w:p w:rsidR="00A07D32" w:rsidRDefault="001018E5" w:rsidP="00A07D32">
      <w:pPr>
        <w:rPr>
          <w:rFonts w:ascii="Arial" w:hAnsi="Arial" w:cs="Arial"/>
          <w:lang w:val="es-US"/>
        </w:rPr>
      </w:pPr>
      <w:r w:rsidRPr="001018E5">
        <w:rPr>
          <w:rFonts w:ascii="Arial" w:hAnsi="Arial" w:cs="Arial"/>
          <w:lang w:val="es-US"/>
        </w:rPr>
        <w:fldChar w:fldCharType="end"/>
      </w:r>
    </w:p>
    <w:p w:rsidR="00DB5D3B" w:rsidRDefault="00DB5D3B" w:rsidP="00A07D32">
      <w:pPr>
        <w:rPr>
          <w:rFonts w:ascii="Arial" w:hAnsi="Arial" w:cs="Arial"/>
          <w:lang w:val="es-US"/>
        </w:rPr>
      </w:pPr>
    </w:p>
    <w:p w:rsidR="00DB5D3B" w:rsidRDefault="00DB5D3B" w:rsidP="00A07D32">
      <w:pPr>
        <w:rPr>
          <w:rFonts w:ascii="Arial" w:hAnsi="Arial" w:cs="Arial"/>
          <w:lang w:val="es-US"/>
        </w:rPr>
      </w:pPr>
    </w:p>
    <w:p w:rsidR="00DB5D3B" w:rsidRPr="00DB5D3B" w:rsidRDefault="00DB5D3B" w:rsidP="00DB5D3B">
      <w:pPr>
        <w:jc w:val="center"/>
        <w:rPr>
          <w:rFonts w:ascii="Arial" w:hAnsi="Arial" w:cs="Arial"/>
          <w:b/>
          <w:lang w:val="es-US"/>
        </w:rPr>
      </w:pPr>
      <w:r w:rsidRPr="00DB5D3B">
        <w:rPr>
          <w:rFonts w:ascii="Arial" w:hAnsi="Arial" w:cs="Arial"/>
          <w:b/>
          <w:lang w:val="es-US"/>
        </w:rPr>
        <w:lastRenderedPageBreak/>
        <w:t>MÓDULO IV: ARQUITECTURA LÓGICA (CAPA 2 Y 3)</w:t>
      </w:r>
    </w:p>
    <w:p w:rsidR="00DB5D3B" w:rsidRDefault="00DB5D3B" w:rsidP="00DB5D3B">
      <w:pPr>
        <w:rPr>
          <w:rFonts w:ascii="Arial" w:hAnsi="Arial" w:cs="Arial"/>
          <w:lang w:val="es-US"/>
        </w:rPr>
      </w:pPr>
      <w:r w:rsidRPr="00DB5D3B">
        <w:rPr>
          <w:rFonts w:ascii="Arial" w:hAnsi="Arial" w:cs="Arial"/>
          <w:lang w:val="es-US"/>
        </w:rPr>
        <w:t>Referencia Normativa: ISO/IEC 27001 (Dominios A.13 Gestión de Redes).</w:t>
      </w:r>
    </w:p>
    <w:p w:rsidR="00DB5D3B" w:rsidRDefault="00DB5D3B" w:rsidP="00DB5D3B">
      <w:pPr>
        <w:rPr>
          <w:rFonts w:ascii="Arial" w:hAnsi="Arial" w:cs="Arial"/>
          <w:lang w:val="es-US"/>
        </w:rPr>
      </w:pPr>
    </w:p>
    <w:tbl>
      <w:tblPr>
        <w:tblpPr w:leftFromText="141" w:rightFromText="141" w:vertAnchor="text" w:horzAnchor="margin" w:tblpXSpec="center" w:tblpY="30"/>
        <w:tblW w:w="118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8"/>
        <w:gridCol w:w="3431"/>
        <w:gridCol w:w="1970"/>
        <w:gridCol w:w="923"/>
        <w:gridCol w:w="923"/>
        <w:gridCol w:w="1862"/>
      </w:tblGrid>
      <w:tr w:rsidR="00DB5D3B" w:rsidRPr="00DB5D3B" w:rsidTr="00DB5D3B">
        <w:trPr>
          <w:trHeight w:val="604"/>
        </w:trPr>
        <w:tc>
          <w:tcPr>
            <w:tcW w:w="2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ID</w:t>
            </w:r>
          </w:p>
        </w:tc>
        <w:tc>
          <w:tcPr>
            <w:tcW w:w="34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Criterio de Evaluación</w:t>
            </w:r>
          </w:p>
        </w:tc>
        <w:tc>
          <w:tcPr>
            <w:tcW w:w="19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Norma Aplicada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Sí</w:t>
            </w:r>
          </w:p>
        </w:tc>
        <w:tc>
          <w:tcPr>
            <w:tcW w:w="9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No</w:t>
            </w:r>
          </w:p>
        </w:tc>
        <w:tc>
          <w:tcPr>
            <w:tcW w:w="18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472C4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Observaciones / Hallazgos</w:t>
            </w:r>
          </w:p>
        </w:tc>
      </w:tr>
      <w:tr w:rsidR="00DB5D3B" w:rsidRPr="00DB5D3B" w:rsidTr="00DB5D3B">
        <w:trPr>
          <w:trHeight w:val="1149"/>
        </w:trPr>
        <w:tc>
          <w:tcPr>
            <w:tcW w:w="2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S-01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¿Se cuenta con un </w:t>
            </w:r>
            <w:proofErr w:type="spellStart"/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Switch</w:t>
            </w:r>
            <w:proofErr w:type="spellEnd"/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 xml:space="preserve"> Administrable de 24 puertos</w:t>
            </w: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que permita la segmentación lógica de la red?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ISO 27001 (A.13.1)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val="es-US" w:eastAsia="es-US"/>
                <w14:ligatures w14:val="none"/>
              </w:rPr>
            </w:pPr>
            <w:bookmarkStart w:id="0" w:name="_GoBack"/>
            <w:bookmarkEnd w:id="0"/>
          </w:p>
        </w:tc>
      </w:tr>
      <w:tr w:rsidR="00DB5D3B" w:rsidRPr="00DB5D3B" w:rsidTr="00DB5D3B">
        <w:trPr>
          <w:trHeight w:val="1267"/>
        </w:trPr>
        <w:tc>
          <w:tcPr>
            <w:tcW w:w="2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S-02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¿Están configuradas las Redes Virtuales (</w:t>
            </w:r>
            <w:proofErr w:type="spellStart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VLANs</w:t>
            </w:r>
            <w:proofErr w:type="spellEnd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) para separar el tráfico de estudiantes (VLAN Laboratorio) del tráfico administrativo (VLAN Dirección)?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ISO 27001 (A.13.1)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DB5D3B" w:rsidRPr="00DB5D3B" w:rsidTr="00DB5D3B">
        <w:trPr>
          <w:trHeight w:val="1444"/>
        </w:trPr>
        <w:tc>
          <w:tcPr>
            <w:tcW w:w="2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bCs/>
                <w:color w:val="1F1F1F"/>
                <w:kern w:val="0"/>
                <w:lang w:val="es-US" w:eastAsia="es-US"/>
                <w14:ligatures w14:val="none"/>
              </w:rPr>
              <w:t>S-03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¿El puerto utilizado para conectar el </w:t>
            </w:r>
            <w:proofErr w:type="spellStart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Router</w:t>
            </w:r>
            <w:proofErr w:type="spellEnd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ISP al </w:t>
            </w:r>
            <w:proofErr w:type="spellStart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Switch</w:t>
            </w:r>
            <w:proofErr w:type="spellEnd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está configurado como puerto troncal o enlace dedicado (</w:t>
            </w:r>
            <w:proofErr w:type="spellStart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Uplink</w:t>
            </w:r>
            <w:proofErr w:type="spellEnd"/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)?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Mejores Prácticas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[ ]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B5D3B" w:rsidRPr="00DB5D3B" w:rsidRDefault="00DB5D3B" w:rsidP="00DB5D3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DB5D3B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DB5D3B" w:rsidRDefault="00DB5D3B" w:rsidP="00DB5D3B">
      <w:pPr>
        <w:rPr>
          <w:lang w:val="es-NI"/>
        </w:rPr>
      </w:pPr>
      <w:r>
        <w:rPr>
          <w:lang w:val="es-US"/>
        </w:rPr>
        <w:fldChar w:fldCharType="begin"/>
      </w:r>
      <w:r>
        <w:rPr>
          <w:lang w:val="es-US"/>
        </w:rPr>
        <w:instrText xml:space="preserve"> LINK Excel.Sheet.12 "Libro2" "Hoja4!F1C1:F4C6" \a \f 4 \h </w:instrText>
      </w:r>
      <w:r>
        <w:rPr>
          <w:lang w:val="es-US"/>
        </w:rPr>
        <w:fldChar w:fldCharType="separate"/>
      </w:r>
    </w:p>
    <w:p w:rsidR="00DB5D3B" w:rsidRPr="001018E5" w:rsidRDefault="00DB5D3B" w:rsidP="00DB5D3B">
      <w:pPr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fldChar w:fldCharType="end"/>
      </w:r>
    </w:p>
    <w:sectPr w:rsidR="00DB5D3B" w:rsidRPr="00101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D8A"/>
    <w:rsid w:val="001018E5"/>
    <w:rsid w:val="00265B0E"/>
    <w:rsid w:val="00837D2A"/>
    <w:rsid w:val="00A07D32"/>
    <w:rsid w:val="00BE0D8A"/>
    <w:rsid w:val="00DB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3746"/>
  <w15:chartTrackingRefBased/>
  <w15:docId w15:val="{B3BDB047-0C9D-415C-87A0-912124DE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4">
    <w:name w:val="heading 4"/>
    <w:basedOn w:val="Normal"/>
    <w:link w:val="Ttulo4Car"/>
    <w:uiPriority w:val="9"/>
    <w:qFormat/>
    <w:rsid w:val="00A07D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US" w:eastAsia="es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A07D32"/>
    <w:rPr>
      <w:rFonts w:ascii="Times New Roman" w:eastAsia="Times New Roman" w:hAnsi="Times New Roman" w:cs="Times New Roman"/>
      <w:b/>
      <w:bCs/>
      <w:kern w:val="0"/>
      <w:sz w:val="24"/>
      <w:szCs w:val="24"/>
      <w:lang w:val="es-US" w:eastAsia="es-US"/>
      <w14:ligatures w14:val="none"/>
    </w:rPr>
  </w:style>
  <w:style w:type="paragraph" w:styleId="Sinespaciado">
    <w:name w:val="No Spacing"/>
    <w:uiPriority w:val="1"/>
    <w:qFormat/>
    <w:rsid w:val="00A07D32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07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US"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0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3</cp:revision>
  <dcterms:created xsi:type="dcterms:W3CDTF">2026-03-24T03:42:00Z</dcterms:created>
  <dcterms:modified xsi:type="dcterms:W3CDTF">2026-03-24T04:06:00Z</dcterms:modified>
</cp:coreProperties>
</file>