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4B1" w:rsidRPr="009934B1" w:rsidRDefault="009934B1" w:rsidP="009934B1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</w:pPr>
      <w:bookmarkStart w:id="0" w:name="_GoBack"/>
      <w:r w:rsidRPr="009934B1">
        <w:rPr>
          <w:rFonts w:ascii="Arial" w:eastAsia="Times New Roman" w:hAnsi="Arial" w:cs="Arial"/>
          <w:b/>
          <w:bCs/>
          <w:color w:val="1F1F1F"/>
          <w:sz w:val="27"/>
          <w:szCs w:val="27"/>
          <w:lang w:eastAsia="es-US"/>
        </w:rPr>
        <w:t>Resumen Ejecutivo: Auditoría de Seguridad Informática en MS - América Central</w:t>
      </w:r>
    </w:p>
    <w:bookmarkEnd w:id="0"/>
    <w:p w:rsidR="009934B1" w:rsidRPr="009934B1" w:rsidRDefault="009934B1" w:rsidP="009934B1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  <w:t>1. Objetivo General</w:t>
      </w:r>
    </w:p>
    <w:p w:rsidR="009934B1" w:rsidRPr="009934B1" w:rsidRDefault="009934B1" w:rsidP="009934B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Evaluar la Dirección Informática, los recursos de TI, el proceso de contratación externa (</w:t>
      </w:r>
      <w:proofErr w:type="spellStart"/>
      <w:r w:rsidRPr="009934B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US"/>
        </w:rPr>
        <w:t>Outsourcing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) y el riesgo informático de la organización para garantizar la confidencialidad, integridad y disponibilidad de los datos.</w:t>
      </w:r>
    </w:p>
    <w:p w:rsidR="009934B1" w:rsidRPr="009934B1" w:rsidRDefault="009934B1" w:rsidP="009934B1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  <w:t>2. Metodología Aplicada</w:t>
      </w:r>
    </w:p>
    <w:p w:rsidR="009934B1" w:rsidRPr="009934B1" w:rsidRDefault="009934B1" w:rsidP="009934B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El proceso se dividió en tres fases (Planeación, Examen/Evaluación y Dictamen) y se basó en cuatro dominios clave de COBIT 4.1:</w:t>
      </w:r>
    </w:p>
    <w:p w:rsidR="009934B1" w:rsidRPr="009934B1" w:rsidRDefault="009934B1" w:rsidP="009934B1">
      <w:pPr>
        <w:pStyle w:val="Prrafodelista"/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Planear y Organizar (PO):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Estrategia y táctica de TI.</w:t>
      </w:r>
    </w:p>
    <w:p w:rsidR="009934B1" w:rsidRPr="009934B1" w:rsidRDefault="009934B1" w:rsidP="009934B1">
      <w:pPr>
        <w:pStyle w:val="Prrafodelista"/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Adquirir e Implementar (AI):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Soluciones de TI y su integración.</w:t>
      </w:r>
    </w:p>
    <w:p w:rsidR="009934B1" w:rsidRPr="009934B1" w:rsidRDefault="009934B1" w:rsidP="009934B1">
      <w:pPr>
        <w:pStyle w:val="Prrafodelista"/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Entregar y Dar Soporte (DS):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Entrega de los servicios requeridos (donde recae el peso de la seguridad y el soporte).</w:t>
      </w:r>
    </w:p>
    <w:p w:rsidR="009934B1" w:rsidRPr="009934B1" w:rsidRDefault="009934B1" w:rsidP="009934B1">
      <w:pPr>
        <w:pStyle w:val="Prrafodelista"/>
        <w:numPr>
          <w:ilvl w:val="0"/>
          <w:numId w:val="4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Monitorear y Evaluar (ME):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Evaluación del desempeño y control interno.</w:t>
      </w:r>
    </w:p>
    <w:p w:rsidR="009934B1" w:rsidRPr="009934B1" w:rsidRDefault="009934B1" w:rsidP="009934B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Se utilizaron herramientas de auditoría técnica como el escáner de vulnerabilidades </w:t>
      </w:r>
      <w:proofErr w:type="spellStart"/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Nessus</w:t>
      </w:r>
      <w:proofErr w:type="spellEnd"/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 xml:space="preserve"> 4.4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para la red LAN y </w:t>
      </w: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Symantec Antivirus Corporativo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, además de listas de </w:t>
      </w:r>
      <w:proofErr w:type="gramStart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verificación</w:t>
      </w:r>
      <w:proofErr w:type="gram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, encuestas y entrevistas para evaluar el Modelo de Madurez de la organización.</w:t>
      </w:r>
    </w:p>
    <w:p w:rsidR="009934B1" w:rsidRPr="009934B1" w:rsidRDefault="009934B1" w:rsidP="009934B1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  <w:t>3. Hallazgos Principales (Nivel de Madurez y Vulnerabilidades)</w:t>
      </w:r>
    </w:p>
    <w:p w:rsidR="009934B1" w:rsidRPr="009934B1" w:rsidRDefault="009934B1" w:rsidP="009934B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El nivel de cumplimiento general de los procesos de TI se evaluó como </w:t>
      </w: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Moderado (79%)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, pero se detectaron deficiencias críticas que elevan el riesgo operativo:</w:t>
      </w:r>
    </w:p>
    <w:p w:rsidR="009934B1" w:rsidRPr="009934B1" w:rsidRDefault="009934B1" w:rsidP="009934B1">
      <w:pPr>
        <w:pStyle w:val="Prrafodelista"/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Gestión y Planificación (PO &amp; ME):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La dirección de TI no cuenta con un Plan Estratégico formal. El monitoreo de los controles de seguridad es reactivo e intuitivo, no proactivo.</w:t>
      </w:r>
    </w:p>
    <w:p w:rsidR="009934B1" w:rsidRPr="009934B1" w:rsidRDefault="009934B1" w:rsidP="009934B1">
      <w:pPr>
        <w:pStyle w:val="Prrafodelista"/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Políticas de Seguridad (DS):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Las políticas de TI existen pero se comunican verbalmente. No hay un manual de usuario documentado ni sanciones establecidas por incumplimiento de normativas éticas o de seguridad.</w:t>
      </w:r>
    </w:p>
    <w:p w:rsidR="009934B1" w:rsidRPr="009934B1" w:rsidRDefault="009934B1" w:rsidP="009934B1">
      <w:pPr>
        <w:pStyle w:val="Prrafodelista"/>
        <w:numPr>
          <w:ilvl w:val="0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Controles de Acceso y Respaldo (DS):</w:t>
      </w:r>
    </w:p>
    <w:p w:rsidR="009934B1" w:rsidRPr="009934B1" w:rsidRDefault="009934B1" w:rsidP="009934B1">
      <w:pPr>
        <w:pStyle w:val="Prrafodelista"/>
        <w:numPr>
          <w:ilvl w:val="1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El acceso lógico (usuarios y contraseñas) está definido en la práctica, pero carece de un procedimiento formal documentado.</w:t>
      </w:r>
    </w:p>
    <w:p w:rsidR="009934B1" w:rsidRDefault="009934B1" w:rsidP="009934B1">
      <w:pPr>
        <w:pStyle w:val="Prrafodelista"/>
        <w:numPr>
          <w:ilvl w:val="1"/>
          <w:numId w:val="5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Los respaldos de información (</w:t>
      </w:r>
      <w:proofErr w:type="spellStart"/>
      <w:r w:rsidRPr="009934B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US"/>
        </w:rPr>
        <w:t>backups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) se realizan semanalmente, pero se almacenan </w:t>
      </w: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únicamente dentro de las instalaciones físicas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, lo que representa un riesgo crítico de pérdida total en caso de desastre.</w:t>
      </w:r>
    </w:p>
    <w:p w:rsidR="009934B1" w:rsidRPr="009934B1" w:rsidRDefault="009934B1" w:rsidP="009934B1">
      <w:pPr>
        <w:pStyle w:val="Prrafodelista"/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proofErr w:type="spellStart"/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Outsourcing</w:t>
      </w:r>
      <w:proofErr w:type="spellEnd"/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 xml:space="preserve"> (DS):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La organización tiene un Acuerdo de Nivel de Servicio (SLA) formal con su proveedor de internet (AMNET) que incluye cláusulas de confidencialidad. Sin embargo, </w:t>
      </w: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no existe un contrato formal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con el proveedor 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lastRenderedPageBreak/>
        <w:t>de mantenimiento de hardware/software (SEQUINSA), dejando una brecha en la exigencia de estándares de calidad y seguridad a terceros.</w:t>
      </w:r>
    </w:p>
    <w:p w:rsidR="009934B1" w:rsidRPr="009934B1" w:rsidRDefault="009934B1" w:rsidP="009934B1">
      <w:pPr>
        <w:pStyle w:val="Prrafodelista"/>
        <w:numPr>
          <w:ilvl w:val="0"/>
          <w:numId w:val="6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Seguridad Física y Ambiental (DS):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El acceso al cuarto de servidores está restringido y cuentan con cámaras y guardas, pero las instalaciones </w:t>
      </w: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no poseen detectores de humo o incendio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, lo cual es una grave vulnerabilidad física.</w:t>
      </w:r>
    </w:p>
    <w:p w:rsidR="009934B1" w:rsidRPr="009934B1" w:rsidRDefault="009934B1" w:rsidP="009934B1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lang w:eastAsia="es-US"/>
        </w:rPr>
        <w:t>4. Conclusiones y Recomendaciones Clave</w:t>
      </w:r>
    </w:p>
    <w:p w:rsidR="009934B1" w:rsidRPr="009934B1" w:rsidRDefault="009934B1" w:rsidP="009934B1">
      <w:p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La auditoría concluye que, aunque existe un funcionamiento técnico aceptable en el día a día, la falta de documentación y controles formales deja a la organización vulnerable ante pérdidas de información y fallas operativas. Las recomendaciones principales exigen establecer controles rigurosos:</w:t>
      </w:r>
    </w:p>
    <w:p w:rsidR="009934B1" w:rsidRPr="009934B1" w:rsidRDefault="009934B1" w:rsidP="009934B1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Formalizar Contratos: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Firmar </w:t>
      </w:r>
      <w:proofErr w:type="spellStart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SLAs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formales con todos los proveedores de TI (especialmente SEQUINSA) para definir responsabilidades de confidencialidad y respuesta técnica.</w:t>
      </w:r>
    </w:p>
    <w:p w:rsidR="009934B1" w:rsidRPr="009934B1" w:rsidRDefault="009934B1" w:rsidP="009934B1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Documentación de Políticas: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Crear manuales de operaciones, políticas de uso de internet y procedimientos de asignación/revocación de accesos, incorporándolos a las normativas de Recursos Humanos.</w:t>
      </w:r>
    </w:p>
    <w:p w:rsidR="009934B1" w:rsidRPr="009934B1" w:rsidRDefault="009934B1" w:rsidP="009934B1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Plan de Contingencia y Recuperación (DRP):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Establecer un segundo respaldo de datos fuera de las instalaciones (</w:t>
      </w:r>
      <w:r w:rsidRPr="009934B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US"/>
        </w:rPr>
        <w:t>off-</w:t>
      </w:r>
      <w:proofErr w:type="spellStart"/>
      <w:r w:rsidRPr="009934B1">
        <w:rPr>
          <w:rFonts w:ascii="Arial" w:eastAsia="Times New Roman" w:hAnsi="Arial" w:cs="Arial"/>
          <w:i/>
          <w:iCs/>
          <w:color w:val="1F1F1F"/>
          <w:sz w:val="24"/>
          <w:szCs w:val="24"/>
          <w:bdr w:val="none" w:sz="0" w:space="0" w:color="auto" w:frame="1"/>
          <w:lang w:eastAsia="es-US"/>
        </w:rPr>
        <w:t>site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) e instalar detectores de humo.</w:t>
      </w:r>
    </w:p>
    <w:p w:rsidR="009934B1" w:rsidRPr="009934B1" w:rsidRDefault="009934B1" w:rsidP="009934B1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Capacitación Continua: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Implementar programas de concientización para los usuarios sobre riesgos informáticos (ingeniería social, manejo de contraseñas, descargas no autorizadas).</w:t>
      </w:r>
    </w:p>
    <w:p w:rsidR="009934B1" w:rsidRPr="009934B1" w:rsidRDefault="009934B1" w:rsidP="009934B1">
      <w:pPr>
        <w:pStyle w:val="Prrafodelista"/>
        <w:numPr>
          <w:ilvl w:val="0"/>
          <w:numId w:val="7"/>
        </w:numPr>
        <w:spacing w:before="100" w:beforeAutospacing="1"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US"/>
        </w:rPr>
      </w:pPr>
      <w:r w:rsidRPr="009934B1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s-US"/>
        </w:rPr>
        <w:t>Monitoreo Proactivo:</w:t>
      </w:r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Usar continuamente herramientas como </w:t>
      </w:r>
      <w:proofErr w:type="spellStart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Nessus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 xml:space="preserve"> y establecer indicadores de desempeño (</w:t>
      </w:r>
      <w:proofErr w:type="spellStart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KPIs</w:t>
      </w:r>
      <w:proofErr w:type="spellEnd"/>
      <w:r w:rsidRPr="009934B1">
        <w:rPr>
          <w:rFonts w:ascii="Arial" w:eastAsia="Times New Roman" w:hAnsi="Arial" w:cs="Arial"/>
          <w:color w:val="1F1F1F"/>
          <w:sz w:val="24"/>
          <w:szCs w:val="24"/>
          <w:lang w:eastAsia="es-US"/>
        </w:rPr>
        <w:t>) para evaluar la infraestructura regularmente.</w:t>
      </w:r>
    </w:p>
    <w:p w:rsidR="00AB05EC" w:rsidRPr="009934B1" w:rsidRDefault="00AB05EC">
      <w:pPr>
        <w:rPr>
          <w:rFonts w:ascii="Arial" w:hAnsi="Arial" w:cs="Arial"/>
        </w:rPr>
      </w:pPr>
    </w:p>
    <w:sectPr w:rsidR="00AB05EC" w:rsidRPr="0099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71439"/>
    <w:multiLevelType w:val="multilevel"/>
    <w:tmpl w:val="EA5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B047C7"/>
    <w:multiLevelType w:val="hybridMultilevel"/>
    <w:tmpl w:val="B680FB9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AF1DA3"/>
    <w:multiLevelType w:val="hybridMultilevel"/>
    <w:tmpl w:val="6D98F26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BD05A7"/>
    <w:multiLevelType w:val="hybridMultilevel"/>
    <w:tmpl w:val="60D8CB6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FC0BD9"/>
    <w:multiLevelType w:val="multilevel"/>
    <w:tmpl w:val="75F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2D2F9C"/>
    <w:multiLevelType w:val="hybridMultilevel"/>
    <w:tmpl w:val="664A8C2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B6122B"/>
    <w:multiLevelType w:val="multilevel"/>
    <w:tmpl w:val="630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4B1"/>
    <w:rsid w:val="009934B1"/>
    <w:rsid w:val="00AB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93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link w:val="Ttulo4Car"/>
    <w:uiPriority w:val="9"/>
    <w:qFormat/>
    <w:rsid w:val="009934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934B1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customStyle="1" w:styleId="Ttulo4Car">
    <w:name w:val="Título 4 Car"/>
    <w:basedOn w:val="Fuentedeprrafopredeter"/>
    <w:link w:val="Ttulo4"/>
    <w:uiPriority w:val="9"/>
    <w:rsid w:val="009934B1"/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993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styleId="Prrafodelista">
    <w:name w:val="List Paragraph"/>
    <w:basedOn w:val="Normal"/>
    <w:uiPriority w:val="34"/>
    <w:qFormat/>
    <w:rsid w:val="009934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934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paragraph" w:styleId="Ttulo4">
    <w:name w:val="heading 4"/>
    <w:basedOn w:val="Normal"/>
    <w:link w:val="Ttulo4Car"/>
    <w:uiPriority w:val="9"/>
    <w:qFormat/>
    <w:rsid w:val="009934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934B1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customStyle="1" w:styleId="Ttulo4Car">
    <w:name w:val="Título 4 Car"/>
    <w:basedOn w:val="Fuentedeprrafopredeter"/>
    <w:link w:val="Ttulo4"/>
    <w:uiPriority w:val="9"/>
    <w:rsid w:val="009934B1"/>
    <w:rPr>
      <w:rFonts w:ascii="Times New Roman" w:eastAsia="Times New Roman" w:hAnsi="Times New Roman" w:cs="Times New Roman"/>
      <w:b/>
      <w:bCs/>
      <w:sz w:val="24"/>
      <w:szCs w:val="24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993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styleId="Prrafodelista">
    <w:name w:val="List Paragraph"/>
    <w:basedOn w:val="Normal"/>
    <w:uiPriority w:val="34"/>
    <w:qFormat/>
    <w:rsid w:val="00993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5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583</Words>
  <Characters>3208</Characters>
  <Application>Microsoft Office Word</Application>
  <DocSecurity>0</DocSecurity>
  <Lines>26</Lines>
  <Paragraphs>7</Paragraphs>
  <ScaleCrop>false</ScaleCrop>
  <Company>HP</Company>
  <LinksUpToDate>false</LinksUpToDate>
  <CharactersWithSpaces>3784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2026-06-03T02:50:00Z</dcterms:created>
  <dcterms:modified xsi:type="dcterms:W3CDTF">2026-06-03T02:54:00Z</dcterms:modified>
</cp:coreProperties>
</file>