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א. אפשרות א</w:t>
      </w:r>
    </w:p>
    <w:p w14:paraId="17C8C5E0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ב. אפשרות ב</w:t>
      </w:r>
    </w:p>
    <w:p w14:paraId="0C5BD40E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ג. אפשרות ג</w:t>
      </w:r>
    </w:p>
    <w:p w14:paraId="39E2E0F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ד. אפשרות ד</w:t>
      </w:r>
    </w:p>
    <w:p w14:paraId="4FDD79A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ה. אפשרות ה</w:t>
      </w:r>
    </w:p>
    <w:p w14:paraId="7E9133FD" w14:textId="77777777" w:rsidR="00EF6564" w:rsidRDefault="00000000" w:rsidP="00CF6648">
      <w:pPr>
        <w:spacing w:after="40"/>
        <w:jc w:val="right"/>
        <w:rPr>
          <w:rFonts w:ascii="Courier New" w:hAnsi="Courier New" w:cs="Courier New"/>
          <w:sz w:val="18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א. אפשרות א</w:t>
      </w:r>
    </w:p>
    <w:p w14:paraId="0DBAA0A2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ב. אפשרות ב</w:t>
      </w:r>
    </w:p>
    <w:p w14:paraId="4BB10CFE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ג. אפשרות ג</w:t>
      </w:r>
    </w:p>
    <w:p w14:paraId="624C3F93" w14:textId="77777777" w:rsidR="004676B7" w:rsidRDefault="00AD7925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ד. אפשרות ד</w:t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ה. אפשרות ה</w:t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744458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74445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מעברים, כאשר H היא תת־קבוצה של Act1×Act2.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554957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rule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5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H={⟨a,b⟩}: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