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580" w:rsidRDefault="003E6ACA">
      <w:pPr>
        <w:spacing w:after="40"/>
        <w:jc w:val="center"/>
      </w:pPr>
      <w:bookmarkStart w:id="0" w:name="_GoBack"/>
      <w:bookmarkEnd w:id="0"/>
      <w:r>
        <w:rPr>
          <w:b/>
          <w:sz w:val="24"/>
        </w:rPr>
        <w:t>REQUERIMIENTO FUNCIONAL DETALLADO</w:t>
      </w:r>
    </w:p>
    <w:p w:rsidR="00D83580" w:rsidRDefault="003E6ACA">
      <w:pPr>
        <w:spacing w:after="40"/>
        <w:jc w:val="center"/>
      </w:pPr>
      <w:r>
        <w:rPr>
          <w:b/>
          <w:sz w:val="20"/>
        </w:rPr>
        <w:t>Reestructuración integral del flujo documental, operativo y de navegación del Sistema AOCR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76"/>
        <w:gridCol w:w="2577"/>
        <w:gridCol w:w="2578"/>
        <w:gridCol w:w="2578"/>
      </w:tblGrid>
      <w:tr w:rsidR="00D83580">
        <w:trPr>
          <w:jc w:val="center"/>
          <w:tblHeader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FECHA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</w:rPr>
              <w:t>2026/10/26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</w:rPr>
              <w:t>DGAC-DTIC-AOCR-2026-RF-001</w:t>
            </w:r>
          </w:p>
        </w:tc>
      </w:tr>
      <w:tr w:rsidR="00D83580">
        <w:trPr>
          <w:jc w:val="center"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UNIDAD REQUIRENTE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r>
              <w:rPr>
                <w:rFonts w:ascii="Arial" w:hAnsi="Arial"/>
              </w:rPr>
              <w:t>Dirección de Certificación Aeronáutica y Vigilancia Continua / Coordinación AOCR – DGAC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REQUERIMIENTO ASOCIADO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r>
              <w:rPr>
                <w:rFonts w:ascii="Arial" w:hAnsi="Arial"/>
              </w:rPr>
              <w:t>Sistema AOCR – flujo integral actualizado, documentos finales, firmas DIRCAV/DIRDAC y entrega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TEMA DEL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Reestructuración integral y sincronización funcional del flujo AOCR: carga documental, asignación Coordinador-Inspector, revisión documental, subsanaciones, orden de recaudación INSPECCION_EXT, AOCR/Condiciones, firmas, bandejas, notificaciones y sidebar profesional.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TIPO DE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( ) Nuevo Sistema / Componente / Módulo     (X) Cambio Sistema / Componente / Módulo Existente     ( ) Soporte procesamiento de datos     ( ) Nuevo / Cambio a Reporte     (X) Proceso informático online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PRIORIDAD INSTITUCIONAL / IMPACTO INSTITUCIONAL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Prioridad: (X) Alta  ( ) Normal  ( ) Menor      Impacto: (X) Alto  ( ) Medio  ( ) Bajo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OBJETIVO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Implementar y corregir el flujo AOCR para que el sistema gestione de forma unificada, trazable y segura la documentación cargada por el RT, la asignación y revisión por Inspector, la aceptación formal del Coordinador, la generación/firma de AOCR y Condiciones, las notificaciones y la navegación institucional, evitando pérdida de trámites, estados contradictorios y acciones no autorizadas.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BASE LEGAL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Código Aeronáutico, Art. 110. Resolución 066-2010 de 01 de julio de 2010, Art. 14, numerales 5 y 6, respecto a interrupción del proceso y costos por traslado, alojamiento y viáticos de inspectores. Procedimiento institucional AOCR y normativa interna de la Dirección General de Aviación Civil. Los fundamentos específicos adicionales deberán ser validados por el área jurídica/requirente.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JUSTIFICACIÓN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El requerimiento se realiza porque el flujo actual presenta inconsistencias de visualización, asignación, estados y acciones entre RT, Coordinador, Inspector, DIRDAC y Administrador. Se requiere asegurar que los documentos cargados por el RT aparezcan en la bandeja correcta, que el Coordinador asigne y acepte formalmente, que el Inspector revise sin autorizar formalmente, que las subsanaciones regresen al responsable correcto, que la AOCR y Condiciones se visualicen y firmen correctamente, y que el usuario final pueda navegar el sistema sin confusión.</w:t>
            </w:r>
          </w:p>
        </w:tc>
      </w:tr>
    </w:tbl>
    <w:p w:rsidR="00D83580" w:rsidRDefault="00D83580">
      <w:pPr>
        <w:spacing w:after="40"/>
      </w:pPr>
    </w:p>
    <w:p w:rsidR="00D83580" w:rsidRDefault="003E6ACA">
      <w:pPr>
        <w:spacing w:after="40"/>
      </w:pPr>
      <w:r>
        <w:rPr>
          <w:rFonts w:ascii="Arial" w:hAnsi="Arial"/>
        </w:rPr>
        <w:t>ESPECIFICACIÓN FUNCIONAL 1: Flujo documental RT → Financiero → Coordinador → DIRCAV → Inspector → Coordinador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Gestionar el flujo documental de la Solicitud AOCR para que la documentación cargada por el RT llegue primero al Coordinador, sea enviada formalmente al Inspector para revisión técnica y retorne al Coordinador para aceptación formal y autorización de la inspección solicitada.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Actores internos: Coordinador/Jefatura, Inspector/Técnico, Administrador, servicios de notificación y auditoría.</w:t>
            </w:r>
            <w:r>
              <w:rPr>
                <w:rFonts w:ascii="Arial" w:hAnsi="Arial"/>
                <w:sz w:val="16"/>
              </w:rPr>
              <w:br/>
              <w:t>Actores externos: Representante Técnico (RT) del Operador Aéreo Extranjero.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El RT debe tener orden/pago o etapa habilitante según el flujo; debe existir solicitud AOCR; los documentos obligatorios deben estar cargados; el Coordinador debe tener permiso para asignar/enviar al Inspector.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El Inspector no debe aceptar formalmente ni autorizar la inspección; solo revisa técnicamente. El Coordinador no modifica documentos del RT; solo acepta formalmente, agrega observaciones o devuelve para nueva revisión. No se debe saltar directamente de RT a Inspector sin intervención del Coordinador.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Recibir documentación enviada por el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Al guardar/enviar la solicitud, el sistema debe marcar la documentación como cargada/completa y colocar el trámite en bandeja del Coordinador. Si faltan documentos obligatorios, debe informar el listado de faltantes y no avanzar.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Enviar documentación al Inspector asignado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El Coordinador remite el expediente a DIRCAV. DIRCAV acepta la documentación, designa al Inspector y envía formalmente el expediente para revisión técnica. El sistema debe cambiar el responsable actual al Inspector y registrar historial.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lastRenderedPageBreak/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Mostrar documentos en bandeja del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bandeja del Inspector debe listar únicamente los expedientes enviados por Coordinador y/o subsanados por RT. No debe depender de LV, Informe Técnico o AOCR para mostrar la revisión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Permitir revisión documental técnica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Inspector debe visualizar/descargar cada documento, registrar decisión por documento y observación obligatoria cuando la decisión sea observado/devuelto.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Enviar revisión favorable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todos los documentos están aceptados, el Inspector debe enviar el resultado al Coordinador. El sistema debe cambiar el responsable actual al Coordinador y notificar.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Aceptar formalmente documentación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DIRCAV debe aceptar formalmente la documentación y designar al Inspector. El Coordinador conserva la revisión y remisión del expediente. Esta acción debe habilitar la siguiente etapa operativa según el flujo.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Gestionar observaciones documentales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el Inspector observa documentos, el sistema debe devolver al RT para subsanación, mantener historial de versiones y bloquear avance hasta que se subsane.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Gestionar subsanación por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Al subsanar, el RT debe cargar nuevas versiones solo de documentos observados; el expediente debe volver al Inspector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Registrar trazabilidad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Toda transición debe registrar usuario, rol, estado anterior/nuevo, responsable anterior/nuevo, fecha, documentos afectados y motivo de bloqueo si aplica.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2: Orden de Recaudación y Solicitud de Inspecciones requerida por INSPECCION_EXT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Controlar que, cuando la orden contenga el concepto INSPECCION_EXT, el RT genere, descargue, firme y cargue la Solicitud de Inspecciones antes de poder generar/finalizar la orden y continuar el proceso.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Actores internos: Financiero, Coordinador, Inspector, Administrador, servicio documental.</w:t>
            </w:r>
            <w:r>
              <w:rPr>
                <w:rFonts w:ascii="Arial" w:hAnsi="Arial"/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Debe existir una orden en borrador con el concepto INSPECCION_EXT; el RT debe ingresar aeropuertos solicitados; debe existir repositorio documental para almacenar PDF generado y PDF firmado.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El requisito aplica únicamente al concepto INSPECCION_EXT. Otros conceptos no deben ser bloqueados. Después de generada la orden, la sección debe quedar en solo lectura excepto para ver la solicitud firmada.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Detectar concepto INSPECCION_EXT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Al agregar o cargar una orden con INSPECCION_EXT, el sistema debe mostrar el panel “Solicitud de Inspecciones requerida”.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Generar documento PDF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sistema debe generar el PDF con el texto institucional de Solicitud de Inspecciones, Art. 110 del Código Aeronáutico y condiciones de Resolución 066-2010, Art. 14.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Permitir descarga para firma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Luego de generar el PDF, debe habilitar la descarga para que el RT firme externamente el documento.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Permitir carga del documento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sistema debe permitir subir solo PDF, validar tamaño permitido, almacenar hash, versión, usuario y fecha de carga.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Bloquear generación de orden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falta la Solicitud de Inspecciones firmada, el botón Generar Orden debe permanecer inactivo y el backend debe bloquear cualquier intento por URL directa.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Habilitar generación al cargar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Cuando el estado sea CARGADO o VALIDADO y exista archivo físico, el sistema debe habilitar Generar Orden.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Bloquear edición posterior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Una vez generada la orden, el panel debe quedar solo lectura; únicamente debe permanecer activo “Ver Solicitud firmada”.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Enviar documento a expediente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documento firmado debe incorporarse al expediente documental y aparecer para revisión del Inspector solo cuando el Coordinador lo envíe/asigne formalmente.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3: Bandeja del Inspector y tabla de revisión documental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9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lastRenderedPageBreak/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Visualizar en la bandeja del Inspector/Técnico los expedientes enviados por Coordinador y permitir revisar todos los documentos cargados o subsanados por el RT en una sola tabla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Actores internos: Inspector/Técnico, Coordinador, Administrador.</w:t>
            </w:r>
            <w:r>
              <w:rPr>
                <w:rFonts w:ascii="Arial" w:hAnsi="Arial"/>
                <w:sz w:val="16"/>
              </w:rPr>
              <w:br/>
              <w:t>Actores externos: RT como origen de documentos.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El Coordinador debe haber enviado/asignado formalmente la documentación al Inspector. Deben existir documentos vigentes asociados a la Solicitud AOCR.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No se deben usar INNER JOIN que oculten solicitudes sin LV, Informe Técnico o AOCR. La revisión documental ocurre antes de estas etapas.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Listar expedientes asignados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bandeja debe filtrar por InspectorAsignado, ResponsableActual=Inspector o estados equivalentes: EN_REVISION_INSPECTOR, SUBSANADA_POR_RT, DOCUMENTACION_SUBSANADA, DEVUELTA_PARA_NUEVA_REVISION.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Mostrar tabla documental integrada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revisión debe mostrar tipo documental, archivo, versión, fecha, cargado por, estado, visualizar, descargar, decisión, observación y registrar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Ordenar documentos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orden recomendado es: Comprobante de pago; Solicitud de Inspecciones firmada si aplica; Copia AOC; OpSpecs; Manual de operaciones; Permiso de operaciones; Poder representante; Certificado aeronavegabilidad; Certificado de ruido;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Validar decisiones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 permitir finalizar la revisión si existen documentos sin decisión. Observaciones son obligatorias para documentos observados/devueltos.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Enviar resultado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todo está aceptado, debe habilitar “Enviar revisión documental al Coordinador”.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Devolver al RT por observaciones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existen observaciones, el sistema debe devolver al RT para subsanar y notificarlo.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4: Generación, revisión, firma y consulta de AOCR y Condiciones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6"/>
        <w:gridCol w:w="3438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Asegurar que la ruta satisfactoria del Informe Técnico habilite la generación de AOCR y Condiciones, su revisión por Coordinador, envío a DIRDAC y firma final; además, mostrar correctamente la bandeja “AOCR generadas y firmadas”.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Actores internos: Inspector, Coordinador, DIRDAC y DIRCAV, Administrador, servicios de PDF y firma.</w:t>
              <w:br/>
              <w:t>Actores externos: RT como receptor/consultor de documentos finales.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Debe existir LV firmada, Informe Técnico firmado por Inspector, resultado técnico SATISFACTORIO y aprobación de Dirección/DIRDAC. No debe existir NC activa.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No habilitar AOCR cuando el Informe Técnico sea insatisfactorio. No excluir registros por falta de PDF final. Estados reales como “AOCR EN ELABORACION” y “AOCR LEGALIZADO” deben mapearse correctamente.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Habilitar AOCR por regla funcional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generación debe depender de Informe Técnico satisfactorio aprobado, estado AOCR y ausencia de NC activa, no únicamente de EstadoInspeccion=ACEPTADA.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Generar AOCR y Condiciones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Inspector debe generar/editar AOCR y Condiciones según plantilla oficial, antes de enviarlas al Coordinador.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Revisar por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El Coordinador debe revisar, solicitar modificación al Inspector o aprobar y enviar a DIRDAC. No debe firmar como DIRDAC.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Firmar C&amp;L por DIRCAV y AOCR por DIRDAC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DIRCAV debe revisar, observar o firmar Condiciones y Limitaciones; DIRDAC debe revisar, observar o firmar exclusivamente el certificado AOCR. La descarga final solo debe habilitarse con documentos firmados.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Consultar bandeja consolidada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pantalla AOCR generadas y firmadas debe mostrar AOCR en elaboración, generadas, pendientes de firma, legalizadas, firmadas y finalizadas.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Usar estados equivalentes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Mapear estados: AOCR EN ELABORACION, AOCR LEGALIZADO, ENVIADA_DIRDAC, PENDIENTE_FIRMA_DIRDAC, FIRMADA, FINALIZADA, entre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lastRenderedPageBreak/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Evitar exclusiones por JOIN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consulta debe usar LEFT JOIN para documentos, firmas, condiciones, usuarios y compañía, para no ocultar trámites incompletos.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5: Notificaciones, correos, auditoría y estados unísonos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7"/>
        <w:gridCol w:w="3436"/>
        <w:gridCol w:w="3436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Enviar notificaciones automáticas a los responsables correctos en cada transición y registrar auditoría completa para evitar pérdida de trazabilidad y duplicidad de correos.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Actores internos: Servicios de correo/cola, Coordinador, Inspector, DIRDAC, Financiero, Administrador.</w:t>
            </w:r>
            <w:r>
              <w:rPr>
                <w:rFonts w:ascii="Arial" w:hAnsi="Arial"/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Debe existir configuración de correo o cola de correos activa, usuarios con email registrado y estados definidos o equivalencias centralizadas.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La falla de correo no debe romper el flujo principal; debe quedar en cola o registrar error para reintento. Evitar correos duplicados por cada archivo individual.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documentación cargada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Al RT enviar documentación completa, notificar al Coordinador. No notificar al Inspector hasta que Coordinador asigne/envíe.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envío al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Al Coordinador enviar documentación al Inspector, notificar al Inspector asignado que la documentación está lista para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observaciones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Si el Inspector observa documentos, notificar al RT para subsanación con detalle de documentos observados.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subsanación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Cuando el RT subsane, notificar al Inspector asignado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revisión favorable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Cuando el Inspector envíe revisión favorable, notificar al Coordinador para aceptación formal.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Notificar aceptación formal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Cuando Coordinador acepte formalmente, notificar al RT e Inspector que la documentación fue aceptada y la inspección queda autorizada.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Registrar auditoría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Registrar cada transición con solicitudId, inspeccionId, documentoId, usuario, rol, estado anterior/nuevo, responsable anterior/nuevo, fecha y motivo.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6: Sidebar profesional con menús principales y submenús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  <w:tblHeader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shd w:fill="172B69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Rediseñar la navegación del sistema AOCR para que el usuario final utilice menús principales, panel secundario de submenús y acciones rápidas legibles, sin perder rutas ni permisos existentes.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Actores internos: Todos los roles del sistema: RT, Financiero, Coordinador, Inspector, DIRDAC y DIRCAV y Administrador.</w:t>
              <w:br/>
              <w:t>Actores externos: No aplica.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Debe existir _Sidebar.cshtml, _Layout.cshtml y rutas GET válidas para cada opción de menú.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No enlazar acciones POST ni pantallas que requieren ID específico. No ocultar módulos permitidos por contador cero. En modo reducido no mostrar textos rotos.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Crear menús principales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Agrupar la navegación en Inicio, Órdenes y pagos, Solicitud AOCR, Documentos, Inspecciones, Informe Técnico, AOCR y Condiciones, Firmas, Historial y Administración.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Usar submenú secundario sólido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Implementar un panel secundario fijo o portal global para submenús, con fondo institucional sólido y control por clic.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Corregir acciones rápidas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Mostrar acciones rápidas como lista compacta legible de una columna; evitar textos partidos por letras y badges sobrepuestos.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Mantener permisos por 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RT, Financiero, Coordinador, DIRCAV, Inspector, DIRDAC y Administrador deben ver solo las opciones que correspondan a su rol, salvo Admin que ve todo.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Validar rutas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Cada enlace debe usar Url.Action con acciones GET existentes. No crear enlaces 404 ni acciones POST como GET.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Asegurar responsive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En escritorio debe verse como menú principal + panel secundario; en móvil como drawer/accordion sin romper textos.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7: Informe Técnico, rutas satisfactorias e insatisfactorias, NC y autorización AOCR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27"/>
        <w:gridCol w:w="2961"/>
        <w:gridCol w:w="5421"/>
      </w:tblGrid>
      <w:tr w:rsidR="00D83580">
        <w:trPr>
          <w:jc w:val="center"/>
          <w:tblHeader/>
        </w:trPr>
        <w:tc>
          <w:tcPr>
            <w:tcW w:w="2154" w:type="dxa"/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lastRenderedPageBreak/>
              <w:t>Descripción</w:t>
            </w:r>
          </w:p>
        </w:tc>
        <w:tc>
          <w:tcPr>
            <w:tcW w:w="8050" w:type="dxa"/>
            <w:gridSpan w:val="2"/>
            <w:shd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Controlar el flujo posterior a la LV firmada y al Informe Técnico, diferenciando correctamente el resultado SATISFACTORIO del resultado NO SATISFACTORIO/INSATISFACTORIO. La ruta satisfactoria habilita AOCR y Condiciones y Limitaciones; la ruta insatisfactoria bloquea AOCR directa y obliga a gestionar NC, subsanación o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</w:rPr>
              <w:t>Actores internos: Inspector/Técnico, Coordinador/Jefatura, DIRDAC y DIRCAV, Administrador, servicios de PDF, firma, correo y auditoría. Actores externos: RT/Solicitante.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Debe existir solicitud e inspección activa, LV llenada y firmada, Informe Técnico generado y firmado por el Inspector, resultado técnico registrado y usuarios con roles/permisos vigentes.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Un Informe Técnico insatisfactorio no debe habilitar AOCR directa. La opción CON INSPECCIÓN y SIN INSPECCIÓN debe registrarse cuando el resultado sea no satisfactorio. No se debe alterar la estructura del Informe Técnico, AOCR, Condiciones y Limitaciones, NC ni correos institucionales.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Validar LV firmada antes del Informe Técnico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 permitir generar/finalizar Informe Técnico si la LV no está completa y firmada. El backend debe bloquear intentos por URL directa.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Generar y firmar Informe Técnico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El Inspector debe registrar resultado técnico: SATISFACTORIO o NO SATISFACTORIO/INSATISFACTORIO. Si es insatisfactorio, las observaciones o no conformidades son obligatorias.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Evaluar resultado técnico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El sistema debe separar resultado técnico de estado del trámite. Resultado SATISFACTORIO habilita ruta AOCR; resultado INSATISFACTORIO habilita ruta NC.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Ruta SATISFACTORIA: habilitar AOCR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Con LV firmada, Informe Técnico firmado y resultado SATISFACTORIO, habilitar Generar/Subir AOCR y Condiciones y Limitaciones. Estado sugerido: AOCR_EN_ELABORACION.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Permitir edición de AOCR antes de envío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El Inspector puede editar o modificar la AOCR y Condiciones y Limitaciones antes de enviarlas al Coordinador, manteniendo versiones e historial.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Enviar AOCR y Condiciones al 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Al enviar, cambiar responsable al Coordinador y estado a AOCR_EN_REVISION_COORDINADOR. Notificar al Coordinador.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Coordinador revisa AOCR/Condiciones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El Coordinador puede aprobar y enviar a DIRDAC o devolver al Inspector con observaciones obligatorias. No debe firmar como DIRDAC.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DIRDAC revisa y firma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DIRCAV debe revisar, observar o firmar Condiciones y Limitaciones; DIRDAC debe revisar, observar o firmar exclusivamente el certificado AOCR. Al firmar, cambiar estado a AOCR_FIRMADA_DIRDAC/AOCR_LEGALIZADO/FINALIZADA_SATISFACTORIA.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Enviar correo final con adjuntos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Después de la firma DIRDAC, enviar al RT e Inspector los documentos firmados: AOCR y Condiciones y Limitaciones. Adjuntar Informe Técnico/LV solo si el flujo actual lo contempla.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Ruta INSATISFACTORIA: bloquear AOCR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Al registrar resultado NO SATISFACTORIO/INSATISFACTORIO, bloquear Subir AOCR, Generar AOCR, Enviar a DIRDAC, Firmar AOCR y descarga final.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Seleccionar tipo: con inspección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Si requiere nueva inspección, comunicar NC al RT, cerrar la ruta actual como PENDIENTE_NUEVA_INSPECCION_RT o FINALIZADA_NO_SATISFACTORIA y permitir iniciar nueva solicitud/inspección según el flujo.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Seleccionar tipo: sin inspección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Si no requiere nueva inspección, comunicar NC al RT, permitir carga de documentación actualizada, devolver al Inspector para revisión de subsanación y mantener AOCR bloqueada hasta aprobación.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Generar y enviar NC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El Inspector genera NC y la envía al Coordinador. El Coordinador revisa; si no está correcta, devuelve al Inspector con observaciones; si acepta, firma/envía NC al RT.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Registrar trazabilidad completa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Cada transición debe registrar solicitudId, inspeccionId, informeId, ncId, usuario, rol, estado anterior/nuevo, responsable, fecha, observación, ruta documental y correo generado.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8: Matriz de estados, permisos y bloqueos críticos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  <w:tblHeader/>
        </w:trPr>
        <w:tc>
          <w:tcPr>
            <w:tcW w:w="2154" w:type="dxa"/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8050" w:type="dxa"/>
            <w:gridSpan w:val="2"/>
            <w:shd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Centralizar los estados funcionales del flujo AOCR para evitar contradicciones entre bandejas, botones, consultas SQL, permisos y notificaciones.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</w:rPr>
              <w:t>Inspector, Coordinador, DIRDAC y DIRCAV, RT, Administrador, servicios de auditoría y notificación.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Deben existir equivalencias entre estados reales de base de datos y estados funcionales del requerimiento.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 crear estados duplicados si ya existen equivalentes. No depender únicamente de textos visibles; validar por identificadores o catálogo de estados.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LV_FIRMADA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Permite generar Informe Técnico. No habilita AOCR por sí sola.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INFORME_TECNICO_FIRMADO_SATISFACTORIO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Habilita AOCR_EN_ELABORACION si no existe NC activa y la inspección está vigente.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AOCR_EN_ELABORACION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Inspector puede generar/editar AOCR y Condiciones y Limitaciones. RT no debe modificar estos documentos.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AOCR_EN_REVISION_COORDINADOR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El Coordinador revisa; puede devolver al Inspector con observaciones o remitir Condiciones y Limitaciones a DIRCAV y el certificado AOCR a DIRDAC.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AOCR_OBSERVADA_COORDINADOR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Inspector corrige AOCR/Condiciones. No se puede enviar a DIRDAC hasta corregir y reenviar.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AOCR_ENVIADA_DIRDAC / PENDIENTE_FIRMA_DIRDAC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Solo DIRCAV puede revisar, observar o firmar Condiciones y Limitaciones; solo DIRDAC puede revisar, observar o firmar el certificado AOCR. Coordinador e Inspector no firman en esta etapa.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AOCR_FIRMADA_DIRDAC / AOCR_LEGALIZADO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Habilita descarga final y correo con adjuntos al RT e Inspector. Bloquear edición posterior.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INFORME_TECNICO_INSATISFACTORIO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Bloquea AOCR directa y habilita NC. Debe registrar tipo: CON_INSPECCION o SIN_INSPECCION.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NC_EN_REVISION_COORDINADOR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Coordinador revisa NC. Si devuelve, observación obligatoria; si aprueba, firma/envía al RT.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PENDIENTE_NUEVA_INSPECCION_RT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RT debe iniciar nueva inspección. El flujo actual no puede finalizar como satisfactorio.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lastRenderedPageBreak/>
              <w:t>11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PENDIENTE_SUBSANACION_RT / SUBSANADO_POR_RT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RT carga documentación corregida. Al enviar, notificar al Inspector y cambiar a PENDIENTE_REVISION_INSPECTOR.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FINALIZADA_SATISFACTORIA / FINALIZADA_NO_SATISFACTORIA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Estados de cierre. Deben impedir edición, duplicidad de firma, generación duplicada y cambios sin reapertura formal.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9: Notificaciones específicas, correos y pruebas de aceptación del flujo de Informe Técnico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  <w:tblHeader/>
        </w:trPr>
        <w:tc>
          <w:tcPr>
            <w:tcW w:w="2154" w:type="dxa"/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w="8050" w:type="dxa"/>
            <w:gridSpan w:val="2"/>
            <w:shd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5"/>
              </w:rPr>
              <w:t>Asegurar que las notificaciones del Informe Técnico, AOCR, Condiciones y Limitaciones y NC lleguen al responsable correcto, evitando duplicados y conservando la plantilla institucional de correo.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</w:rPr>
              <w:t>Servicios de correo/cola, Inspector, Coordinador, DIRDAC y DIRCAV, RT, Administrador.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Debe existir email registrado de usuarios, cola de correos activa y documentos generados en rutas accesibles.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La falla del correo no debe romper el flujo principal; debe quedar en cola o error reintentable. No cambiar encabezado, pie, diseño ni estructura de los correos existentes.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 Técnico satisfactorio firmado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Inspector que puede generar/subir AOCR y Condiciones. Registrar estado y fecha de firma.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AOCR enviada al 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Coordinador que tiene AOCR y Condiciones pendientes de revisión.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Coordinador devuelve AOCR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Inspector con observaciones obligatorias para corrección.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Coordinador remite C&amp;L a DIRCAV y AOCR a DIRDAC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Notificar a DIRDAC y DIRCAV que tiene AOCR y Condiciones pendientes de revisión y firma.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DIRCAV firma Condiciones y Limitaciones y DIRDAC firma AOCR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Enviar correo final al RT e Inspector con AOCR y Condiciones firmadas. Registrar adjuntos y destinatarios.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 Técnico insatisfactorio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Inspector/Coordinador que debe gestionarse NC y bloquear AOCR directa.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NC enviada al Coordinador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Coordinador que tiene NC pendiente de revisión.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NC aprobada y enviada al RT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RT con la NC firmada y las instrucciones según CON INSPECCIÓN o SIN INSPECCIÓN.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RT subsana documentación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Notificar al Inspector asignado que existen documentos actualizados para revisión.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Prueba satisfactoria completa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</w:rPr>
              <w:t>LV firmada → Informe Técnico SATISFACTORIO → AOCR/Condiciones → Coordinador → DIRCAV firma C&amp;L y DIRDAC firma AOCR → correo con adjuntos → descarga final.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Prueba insatisfactoria con inspección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 Técnico INSATISFACTORIO → AOCR bloqueada → NC → Coordinador → RT →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Prueba insatisfactoria sin inspección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Informe Técnico INSATISFACTORIO → AOCR bloqueada → NC → RT subsana → Inspector revisa → continúa o devuelve observaciones.</w:t>
            </w:r>
          </w:p>
        </w:tc>
      </w:tr>
      <w:tr w:rsidR="00D83580">
        <w:trPr>
          <w:jc w:val="center"/>
        </w:trPr>
        <w:tc>
          <w:tcPr>
            <w:tcW w:w="2154" w:type="dxa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w="351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Prueba de seguridad backend</w:t>
            </w:r>
          </w:p>
        </w:tc>
        <w:tc>
          <w:tcPr>
            <w:tcW w:w="4535" w:type="dxa"/>
            <w:vAlign w:val="center"/>
          </w:tcPr>
          <w:p w:rsidR="00D83580" w:rsidRDefault="003E6ACA">
            <w:r>
              <w:rPr>
                <w:rFonts w:ascii="Arial" w:hAnsi="Arial"/>
                <w:sz w:val="14"/>
              </w:rPr>
              <w:t>Intentar generar AOCR por URL con Informe Técnico insatisfactorio, sin firma, sin aprobación de Coordinador o sin firma DIRDAC. El backend debe bloquear.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GLOSARIO DE TÉRMINOS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154"/>
        <w:gridCol w:w="5155"/>
      </w:tblGrid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Término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  <w:trPr>
          <w:tblHeader/>
        </w:trPr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AOCR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Reconocimiento de Certificado de Explotador de Servicios Aéreos.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RT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Representante Técnico del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LV/EAE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Lista de Verificación aplicada al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</w:rPr>
              <w:t>DIRDAC y DIRCAV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Autoridad responsable de revisión/firma según el flujo institucional.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INSPECCION_EXT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Concepto de Orden de Recaudación: Inspección requerida por 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Revisión documental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Actividad técnica del Inspector para aceptar u observar documentos cargados por el RT.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Aceptación formal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Decisión del Coordinador para aceptar documentación y autorizar la inspección solicitada.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Subsanación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Carga de nueva versión documental por parte del RT para corregir observaciones.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Informe Técnico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Documento técnico emitido por el Inspector después de la LV, con resultado SATISFACTORIO o INSATISFACTORIO.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NC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No Conformidad generada cuando el resultado del Informe Técnico es no satisfactorio o existen incumplimientos a comunicar al RT.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Condiciones y Limitaciones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Documento asociado a la AOCR que establece condiciones operacionales y limitaciones aprobadas para el operador.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Con inspección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Ruta insatisfactoria que requiere comunicar NC al RT y solicitar una nueva inspección para continuar el proceso.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Sin inspección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  <w:sz w:val="15"/>
              </w:rPr>
              <w:t>Ruta insatisfactoria que permite subsanación documental por el RT y revisión posterior del Inspector sin nueva inspección inmediata.</w:t>
            </w:r>
          </w:p>
        </w:tc>
      </w:tr>
      <w:tr w:rsidR="00D83580">
        <w:tc>
          <w:tcPr>
            <w:tcW w:w="5159" w:type="dxa"/>
            <w:shd w:val="clear" w:color="auto" w:fill="D9D9D9"/>
            <w:vAlign w:val="center"/>
          </w:tcPr>
          <w:p w:rsidR="00D83580" w:rsidRDefault="003E6ACA">
            <w:r>
              <w:rPr>
                <w:rFonts w:ascii="Arial" w:hAnsi="Arial"/>
                <w:b/>
                <w:sz w:val="15"/>
              </w:rPr>
              <w:t>AOCR legalizado</w:t>
            </w:r>
          </w:p>
        </w:tc>
        <w:tc>
          <w:tcPr>
            <w:tcW w:w="5159" w:type="dxa"/>
            <w:vAlign w:val="center"/>
          </w:tcPr>
          <w:p w:rsidR="00D83580" w:rsidRDefault="003E6ACA">
            <w:r>
              <w:rPr>
                <w:rFonts w:ascii="Arial" w:hAnsi="Arial"/>
              </w:rPr>
              <w:t>Estado en el que el certificado AOCR ha sido firmado por DIRDAC y Condiciones y Limitaciones por DIRCAV y quedan disponibles para descarga final.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ANEXOS</w:t>
      </w:r>
    </w:p>
    <w:p w:rsidR="00D83580" w:rsidRDefault="003E6ACA">
      <w:pPr>
        <w:spacing w:after="40"/>
        <w:ind w:left="283"/>
      </w:pPr>
      <w:r>
        <w:rPr>
          <w:rFonts w:ascii="Arial" w:hAnsi="Arial"/>
        </w:rPr>
        <w:t>• Anexo I – Flujo documental correcto: RT → Financiero → Coordinador → DIRCAV → Inspector → Coordinador → revisión final.</w:t>
      </w:r>
    </w:p>
    <w:p w:rsidR="00D83580" w:rsidRDefault="003E6ACA">
      <w:pPr>
        <w:spacing w:after="40"/>
        <w:ind w:left="283"/>
      </w:pPr>
      <w:r>
        <w:t>• Anexo II – Documento “Solicitud de Inspecciones” generado por INSPECCION_EXT y firmado por el RT.</w:t>
      </w:r>
    </w:p>
    <w:p w:rsidR="00D83580" w:rsidRDefault="003E6ACA">
      <w:pPr>
        <w:spacing w:after="40"/>
        <w:ind w:left="283"/>
      </w:pPr>
      <w:r>
        <w:t>• Anexo III – Matriz de estados y equivalencias para revisión documental, AOCR y firmas.</w:t>
      </w:r>
    </w:p>
    <w:p w:rsidR="00D83580" w:rsidRDefault="003E6ACA">
      <w:pPr>
        <w:spacing w:after="40"/>
        <w:ind w:left="283"/>
      </w:pPr>
      <w:r>
        <w:t>• Anexo IV – Propuesta de sidebar institucional con menús principales, submenús y acciones rápidas.</w:t>
      </w:r>
    </w:p>
    <w:p w:rsidR="00D83580" w:rsidRDefault="003E6ACA">
      <w:r>
        <w:rPr>
          <w:sz w:val="15"/>
        </w:rPr>
        <w:lastRenderedPageBreak/>
        <w:t>• Anexo V – Flujo del Informe Técnico: ruta satisfactoria, ruta insatisfactoria con inspección y ruta insatisfactoria sin inspección.</w:t>
      </w:r>
    </w:p>
    <w:p w:rsidR="00D83580" w:rsidRDefault="003E6ACA">
      <w:r>
        <w:rPr>
          <w:sz w:val="15"/>
        </w:rPr>
        <w:t>• Anexo VI – Matriz de estados, permisos, bloqueos y notificaciones para AOCR, Condiciones y NC.</w:t>
      </w:r>
    </w:p>
    <w:p w:rsidR="00D83580" w:rsidRDefault="003E6ACA">
      <w:r>
        <w:rPr>
          <w:sz w:val="15"/>
        </w:rPr>
        <w:t>• Anexo VII – Checklist de pruebas funcionales y seguridad backend/frontend del flujo de Informe Técnico.</w:t>
      </w:r>
    </w:p>
    <w:p w:rsidR="00D83580" w:rsidRDefault="003E6ACA">
      <w:pPr>
        <w:spacing w:after="40"/>
      </w:pPr>
      <w:r>
        <w:rPr>
          <w:b/>
          <w:sz w:val="20"/>
        </w:rPr>
        <w:t>APROBACIÓN DEL DOCUMENTO</w:t>
      </w:r>
    </w:p>
    <w:p w:rsidR="00D83580" w:rsidRDefault="003E6ACA">
      <w:pPr>
        <w:spacing w:after="40"/>
      </w:pPr>
      <w:r>
        <w:t>Suscriben el presente documento en tres ejemplares: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36"/>
        <w:gridCol w:w="3437"/>
        <w:gridCol w:w="3436"/>
      </w:tblGrid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Nombre / Cargo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2B69"/>
            <w:vAlign w:val="center"/>
          </w:tcPr>
          <w:p w:rsidR="00D83580" w:rsidRDefault="003E6ACA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Firma / Fecha</w:t>
            </w:r>
          </w:p>
        </w:tc>
        <w:trPr>
          <w:tblHeader/>
        </w:trPr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Elaborado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German Cajas</w:t>
            </w:r>
            <w:r>
              <w:rPr>
                <w:rFonts w:ascii="Arial" w:hAnsi="Arial"/>
                <w:sz w:val="16"/>
              </w:rPr>
              <w:br/>
              <w:t>Área de Desarrollo / DGAC</w:t>
            </w:r>
            <w:r>
              <w:rPr>
                <w:rFonts w:ascii="Arial" w:hAnsi="Arial"/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Revisado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Responsable funcional del área requirente / Coordinación AOCR</w:t>
            </w:r>
            <w:r>
              <w:rPr>
                <w:rFonts w:ascii="Arial" w:hAnsi="Arial"/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b/>
                <w:sz w:val="16"/>
              </w:rPr>
              <w:t>Aprobado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rFonts w:ascii="Arial" w:hAnsi="Arial"/>
                <w:sz w:val="16"/>
              </w:rPr>
              <w:t>Autoridad del área requirente / Dirección correspondiente</w:t>
            </w:r>
            <w:r>
              <w:rPr>
                <w:rFonts w:ascii="Arial" w:hAnsi="Arial"/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</w:tbl>
    <w:p w:rsidR="00354EC4" w:rsidRDefault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Default="00354EC4" w:rsidP="00354EC4"/>
    <w:p w:rsidR="003E6ACA" w:rsidRPr="00354EC4" w:rsidRDefault="00354EC4" w:rsidP="00354EC4">
      <w:pPr>
        <w:tabs>
          <w:tab w:val="left" w:pos="1605"/>
        </w:tabs>
      </w:pP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2" name="Imagen 2" descr="Image: 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D-4807 C326052615290_page-00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4" name="Imagen 4" descr="Image: 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D-4807 C326052615290_page-000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5" name="Imagen 5" descr="Image: 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D-4807 C326052615290_page-00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6" name="Imagen 6" descr="Image: 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D-4807 C326052615290_page-00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7" name="Imagen 7" descr="Image: 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D-4807 C326052615290_page-00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8" name="Imagen 8" descr="Image: 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D-4807 C326052615290_page-00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9" name="Imagen 9" descr="Image: 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D-4807 C326052615290_page-00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10" name="Imagen 10" descr="Image: imag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D-4807 C326052615290_page-00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CA" w:rsidRPr="00354EC4" w:rsidSect="00A81D39">
      <w:headerReference w:type="default" r:id="rId16"/>
      <w:footerReference w:type="default" r:id="rId17"/>
      <w:headerReference w:type="first" r:id="rId20"/>
      <w:headerReference w:type="even" r:id="rId21"/>
      <w:footerReference w:type="first" r:id="rId22"/>
      <w:footerReference w:type="even" r:id="rId23"/>
      <w:pgSz w:w="11907" w:h="16839" w:code="9"/>
      <w:pgMar w:top="907" w:right="794" w:bottom="794" w:left="794" w:header="1021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D82" w:rsidRDefault="003B1D82" w:rsidP="00F34259">
      <w:r>
        <w:separator/>
      </w:r>
    </w:p>
  </w:endnote>
  <w:endnote w:type="continuationSeparator" w:id="0">
    <w:p w:rsidR="003B1D82" w:rsidRDefault="003B1D82" w:rsidP="00F3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D82" w:rsidRDefault="003B1D82" w:rsidP="00F34259">
      <w:r>
        <w:separator/>
      </w:r>
    </w:p>
  </w:footnote>
  <w:footnote w:type="continuationSeparator" w:id="0">
    <w:p w:rsidR="003B1D82" w:rsidRDefault="003B1D82" w:rsidP="00F342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tyle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E6ABA"/>
    <w:multiLevelType w:val="hybridMultilevel"/>
    <w:tmpl w:val="F766A7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D06BE"/>
    <w:multiLevelType w:val="multilevel"/>
    <w:tmpl w:val="90626C2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Eurostile Bold" w:hAnsi="Eurostile Bold" w:hint="default"/>
        <w:b/>
        <w:i w:val="0"/>
        <w:color w:val="333399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Eurostile Bold" w:hAnsi="Eurostile Bold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3FB378DF"/>
    <w:multiLevelType w:val="hybridMultilevel"/>
    <w:tmpl w:val="C27E1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D70667"/>
    <w:multiLevelType w:val="hybridMultilevel"/>
    <w:tmpl w:val="952AFF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A100D9"/>
    <w:multiLevelType w:val="hybridMultilevel"/>
    <w:tmpl w:val="88FA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E31AA"/>
    <w:multiLevelType w:val="hybridMultilevel"/>
    <w:tmpl w:val="411A054A"/>
    <w:lvl w:ilvl="0" w:tplc="17A8005C">
      <w:start w:val="17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D1652"/>
    <w:multiLevelType w:val="hybridMultilevel"/>
    <w:tmpl w:val="EF063A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925F6"/>
    <w:multiLevelType w:val="hybridMultilevel"/>
    <w:tmpl w:val="F15638DE"/>
    <w:lvl w:ilvl="0" w:tplc="BDCA7A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9B5DDF"/>
    <w:multiLevelType w:val="hybridMultilevel"/>
    <w:tmpl w:val="E8301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111F3"/>
    <w:multiLevelType w:val="hybridMultilevel"/>
    <w:tmpl w:val="B26452E4"/>
    <w:lvl w:ilvl="0" w:tplc="300A000F">
      <w:start w:val="1"/>
      <w:numFmt w:val="decimal"/>
      <w:lvlText w:val="%1."/>
      <w:lvlJc w:val="left"/>
      <w:pPr>
        <w:ind w:left="1374" w:hanging="360"/>
      </w:pPr>
    </w:lvl>
    <w:lvl w:ilvl="1" w:tplc="300A0019" w:tentative="1">
      <w:start w:val="1"/>
      <w:numFmt w:val="lowerLetter"/>
      <w:lvlText w:val="%2."/>
      <w:lvlJc w:val="left"/>
      <w:pPr>
        <w:ind w:left="2094" w:hanging="360"/>
      </w:pPr>
    </w:lvl>
    <w:lvl w:ilvl="2" w:tplc="300A001B" w:tentative="1">
      <w:start w:val="1"/>
      <w:numFmt w:val="lowerRoman"/>
      <w:lvlText w:val="%3."/>
      <w:lvlJc w:val="right"/>
      <w:pPr>
        <w:ind w:left="2814" w:hanging="180"/>
      </w:pPr>
    </w:lvl>
    <w:lvl w:ilvl="3" w:tplc="300A000F" w:tentative="1">
      <w:start w:val="1"/>
      <w:numFmt w:val="decimal"/>
      <w:lvlText w:val="%4."/>
      <w:lvlJc w:val="left"/>
      <w:pPr>
        <w:ind w:left="3534" w:hanging="360"/>
      </w:pPr>
    </w:lvl>
    <w:lvl w:ilvl="4" w:tplc="300A0019" w:tentative="1">
      <w:start w:val="1"/>
      <w:numFmt w:val="lowerLetter"/>
      <w:lvlText w:val="%5."/>
      <w:lvlJc w:val="left"/>
      <w:pPr>
        <w:ind w:left="4254" w:hanging="360"/>
      </w:pPr>
    </w:lvl>
    <w:lvl w:ilvl="5" w:tplc="300A001B" w:tentative="1">
      <w:start w:val="1"/>
      <w:numFmt w:val="lowerRoman"/>
      <w:lvlText w:val="%6."/>
      <w:lvlJc w:val="right"/>
      <w:pPr>
        <w:ind w:left="4974" w:hanging="180"/>
      </w:pPr>
    </w:lvl>
    <w:lvl w:ilvl="6" w:tplc="300A000F" w:tentative="1">
      <w:start w:val="1"/>
      <w:numFmt w:val="decimal"/>
      <w:lvlText w:val="%7."/>
      <w:lvlJc w:val="left"/>
      <w:pPr>
        <w:ind w:left="5694" w:hanging="360"/>
      </w:pPr>
    </w:lvl>
    <w:lvl w:ilvl="7" w:tplc="300A0019" w:tentative="1">
      <w:start w:val="1"/>
      <w:numFmt w:val="lowerLetter"/>
      <w:lvlText w:val="%8."/>
      <w:lvlJc w:val="left"/>
      <w:pPr>
        <w:ind w:left="6414" w:hanging="360"/>
      </w:pPr>
    </w:lvl>
    <w:lvl w:ilvl="8" w:tplc="300A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0" w15:restartNumberingAfterBreak="0">
    <w:nsid w:val="76C70E35"/>
    <w:multiLevelType w:val="hybridMultilevel"/>
    <w:tmpl w:val="9370B0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EDB"/>
    <w:rsid w:val="0000231D"/>
    <w:rsid w:val="00002715"/>
    <w:rsid w:val="000065A8"/>
    <w:rsid w:val="0002123B"/>
    <w:rsid w:val="0002395C"/>
    <w:rsid w:val="00043475"/>
    <w:rsid w:val="00052C37"/>
    <w:rsid w:val="00071B2A"/>
    <w:rsid w:val="00072283"/>
    <w:rsid w:val="00082275"/>
    <w:rsid w:val="00086368"/>
    <w:rsid w:val="00093543"/>
    <w:rsid w:val="0009461D"/>
    <w:rsid w:val="000A2976"/>
    <w:rsid w:val="000A3117"/>
    <w:rsid w:val="000B1D6F"/>
    <w:rsid w:val="000B20C0"/>
    <w:rsid w:val="000C11BA"/>
    <w:rsid w:val="000C573C"/>
    <w:rsid w:val="000C7918"/>
    <w:rsid w:val="000D5D71"/>
    <w:rsid w:val="000D60B7"/>
    <w:rsid w:val="000E00B1"/>
    <w:rsid w:val="000E75BE"/>
    <w:rsid w:val="000F12B4"/>
    <w:rsid w:val="000F1951"/>
    <w:rsid w:val="000F4D52"/>
    <w:rsid w:val="00104242"/>
    <w:rsid w:val="0011439E"/>
    <w:rsid w:val="0012659C"/>
    <w:rsid w:val="00127C09"/>
    <w:rsid w:val="00142518"/>
    <w:rsid w:val="00146356"/>
    <w:rsid w:val="001472E0"/>
    <w:rsid w:val="0015119C"/>
    <w:rsid w:val="001524A6"/>
    <w:rsid w:val="001536E6"/>
    <w:rsid w:val="00155BEA"/>
    <w:rsid w:val="00165567"/>
    <w:rsid w:val="00172A41"/>
    <w:rsid w:val="00174D88"/>
    <w:rsid w:val="00177ED1"/>
    <w:rsid w:val="00181611"/>
    <w:rsid w:val="0018213A"/>
    <w:rsid w:val="00184DBF"/>
    <w:rsid w:val="00195848"/>
    <w:rsid w:val="00195B0C"/>
    <w:rsid w:val="00197D6E"/>
    <w:rsid w:val="001A032E"/>
    <w:rsid w:val="001A3008"/>
    <w:rsid w:val="001B0E56"/>
    <w:rsid w:val="001B5A10"/>
    <w:rsid w:val="001B6A7D"/>
    <w:rsid w:val="001B7B99"/>
    <w:rsid w:val="001F4306"/>
    <w:rsid w:val="001F5C32"/>
    <w:rsid w:val="00201CB4"/>
    <w:rsid w:val="0020322D"/>
    <w:rsid w:val="00207E39"/>
    <w:rsid w:val="00210AF0"/>
    <w:rsid w:val="0021655F"/>
    <w:rsid w:val="00230BBF"/>
    <w:rsid w:val="00233BCB"/>
    <w:rsid w:val="00235421"/>
    <w:rsid w:val="0023665E"/>
    <w:rsid w:val="00247CD4"/>
    <w:rsid w:val="0025364F"/>
    <w:rsid w:val="00261AA8"/>
    <w:rsid w:val="00263D72"/>
    <w:rsid w:val="00267834"/>
    <w:rsid w:val="00281DA8"/>
    <w:rsid w:val="00287FD6"/>
    <w:rsid w:val="00291A1A"/>
    <w:rsid w:val="0029451D"/>
    <w:rsid w:val="00297B2B"/>
    <w:rsid w:val="002A16F6"/>
    <w:rsid w:val="002A189A"/>
    <w:rsid w:val="002A4E88"/>
    <w:rsid w:val="002C2070"/>
    <w:rsid w:val="002C3446"/>
    <w:rsid w:val="002C5C34"/>
    <w:rsid w:val="002D134C"/>
    <w:rsid w:val="002E008D"/>
    <w:rsid w:val="002E021D"/>
    <w:rsid w:val="002E7C2C"/>
    <w:rsid w:val="002E7EBA"/>
    <w:rsid w:val="00315F9A"/>
    <w:rsid w:val="003206D7"/>
    <w:rsid w:val="00323970"/>
    <w:rsid w:val="00324DC4"/>
    <w:rsid w:val="003309C6"/>
    <w:rsid w:val="00334784"/>
    <w:rsid w:val="003460F6"/>
    <w:rsid w:val="00347F93"/>
    <w:rsid w:val="00354EC4"/>
    <w:rsid w:val="00355AAA"/>
    <w:rsid w:val="00355AE5"/>
    <w:rsid w:val="0036369D"/>
    <w:rsid w:val="00370139"/>
    <w:rsid w:val="00372C19"/>
    <w:rsid w:val="00372DD2"/>
    <w:rsid w:val="00382056"/>
    <w:rsid w:val="0038413E"/>
    <w:rsid w:val="00384CCF"/>
    <w:rsid w:val="00385765"/>
    <w:rsid w:val="00390B0E"/>
    <w:rsid w:val="003914AD"/>
    <w:rsid w:val="00391EE3"/>
    <w:rsid w:val="003A3DF5"/>
    <w:rsid w:val="003B1D82"/>
    <w:rsid w:val="003B6DEB"/>
    <w:rsid w:val="003D2E71"/>
    <w:rsid w:val="003D6E89"/>
    <w:rsid w:val="003E4A9A"/>
    <w:rsid w:val="003E6ACA"/>
    <w:rsid w:val="003F393D"/>
    <w:rsid w:val="00401E77"/>
    <w:rsid w:val="004222EB"/>
    <w:rsid w:val="004306E4"/>
    <w:rsid w:val="00431499"/>
    <w:rsid w:val="0043433B"/>
    <w:rsid w:val="00434EAA"/>
    <w:rsid w:val="00440321"/>
    <w:rsid w:val="0045078C"/>
    <w:rsid w:val="00452B7A"/>
    <w:rsid w:val="0046706B"/>
    <w:rsid w:val="00467DBA"/>
    <w:rsid w:val="004814FF"/>
    <w:rsid w:val="00481A30"/>
    <w:rsid w:val="0048211B"/>
    <w:rsid w:val="00486272"/>
    <w:rsid w:val="00486F2F"/>
    <w:rsid w:val="004914F7"/>
    <w:rsid w:val="004B09FD"/>
    <w:rsid w:val="004B1151"/>
    <w:rsid w:val="004B3BAF"/>
    <w:rsid w:val="004B7C24"/>
    <w:rsid w:val="004C001E"/>
    <w:rsid w:val="004E6FCF"/>
    <w:rsid w:val="004F7D1A"/>
    <w:rsid w:val="00500DA1"/>
    <w:rsid w:val="00506A60"/>
    <w:rsid w:val="00512284"/>
    <w:rsid w:val="00512DA9"/>
    <w:rsid w:val="005412B3"/>
    <w:rsid w:val="00542B51"/>
    <w:rsid w:val="0054552E"/>
    <w:rsid w:val="00545790"/>
    <w:rsid w:val="00546D6E"/>
    <w:rsid w:val="005474FE"/>
    <w:rsid w:val="00556654"/>
    <w:rsid w:val="005670E8"/>
    <w:rsid w:val="0056717D"/>
    <w:rsid w:val="0058360C"/>
    <w:rsid w:val="00584444"/>
    <w:rsid w:val="005877EB"/>
    <w:rsid w:val="00587F44"/>
    <w:rsid w:val="005917ED"/>
    <w:rsid w:val="00591E4C"/>
    <w:rsid w:val="005945B2"/>
    <w:rsid w:val="00597477"/>
    <w:rsid w:val="005A5E81"/>
    <w:rsid w:val="005B2686"/>
    <w:rsid w:val="005C3537"/>
    <w:rsid w:val="005C6A4D"/>
    <w:rsid w:val="005C6AA9"/>
    <w:rsid w:val="005D00E0"/>
    <w:rsid w:val="005D0B05"/>
    <w:rsid w:val="005D3C33"/>
    <w:rsid w:val="005D449D"/>
    <w:rsid w:val="005D55C1"/>
    <w:rsid w:val="005E48B5"/>
    <w:rsid w:val="005F5089"/>
    <w:rsid w:val="006057E4"/>
    <w:rsid w:val="006078F2"/>
    <w:rsid w:val="006176C4"/>
    <w:rsid w:val="00620B4E"/>
    <w:rsid w:val="00630723"/>
    <w:rsid w:val="00633545"/>
    <w:rsid w:val="00661855"/>
    <w:rsid w:val="00664DBB"/>
    <w:rsid w:val="00664E2F"/>
    <w:rsid w:val="00675883"/>
    <w:rsid w:val="00676567"/>
    <w:rsid w:val="00683F42"/>
    <w:rsid w:val="006878B0"/>
    <w:rsid w:val="00691813"/>
    <w:rsid w:val="00693F71"/>
    <w:rsid w:val="006952C7"/>
    <w:rsid w:val="006975D6"/>
    <w:rsid w:val="00697FB9"/>
    <w:rsid w:val="006A1CCD"/>
    <w:rsid w:val="006B68BF"/>
    <w:rsid w:val="006C4318"/>
    <w:rsid w:val="006D00F2"/>
    <w:rsid w:val="006D259A"/>
    <w:rsid w:val="006D44A8"/>
    <w:rsid w:val="006E1840"/>
    <w:rsid w:val="006E58F0"/>
    <w:rsid w:val="006F0B64"/>
    <w:rsid w:val="006F1E55"/>
    <w:rsid w:val="007020EE"/>
    <w:rsid w:val="00704832"/>
    <w:rsid w:val="00711877"/>
    <w:rsid w:val="00713632"/>
    <w:rsid w:val="007143AE"/>
    <w:rsid w:val="00714EBC"/>
    <w:rsid w:val="00716434"/>
    <w:rsid w:val="007213B4"/>
    <w:rsid w:val="007321AA"/>
    <w:rsid w:val="007325CA"/>
    <w:rsid w:val="00737C5C"/>
    <w:rsid w:val="00744441"/>
    <w:rsid w:val="00756861"/>
    <w:rsid w:val="00757214"/>
    <w:rsid w:val="007616E4"/>
    <w:rsid w:val="00765C50"/>
    <w:rsid w:val="00776A34"/>
    <w:rsid w:val="00787E1B"/>
    <w:rsid w:val="00793CF8"/>
    <w:rsid w:val="007A0BC1"/>
    <w:rsid w:val="007C13FF"/>
    <w:rsid w:val="007C4340"/>
    <w:rsid w:val="007D05D3"/>
    <w:rsid w:val="007D2392"/>
    <w:rsid w:val="007D7F6B"/>
    <w:rsid w:val="007E3D4D"/>
    <w:rsid w:val="007E3F27"/>
    <w:rsid w:val="008035A3"/>
    <w:rsid w:val="00804A68"/>
    <w:rsid w:val="008072AD"/>
    <w:rsid w:val="008076D8"/>
    <w:rsid w:val="00811359"/>
    <w:rsid w:val="0081154B"/>
    <w:rsid w:val="00814DA0"/>
    <w:rsid w:val="008204AF"/>
    <w:rsid w:val="008209E1"/>
    <w:rsid w:val="008233DC"/>
    <w:rsid w:val="00835531"/>
    <w:rsid w:val="008469A4"/>
    <w:rsid w:val="00853F65"/>
    <w:rsid w:val="00861396"/>
    <w:rsid w:val="0086609F"/>
    <w:rsid w:val="00867F7C"/>
    <w:rsid w:val="00872056"/>
    <w:rsid w:val="00872E1D"/>
    <w:rsid w:val="00885C21"/>
    <w:rsid w:val="008A2BBD"/>
    <w:rsid w:val="008B1904"/>
    <w:rsid w:val="008B3165"/>
    <w:rsid w:val="008C4F65"/>
    <w:rsid w:val="008C6636"/>
    <w:rsid w:val="008D2FA6"/>
    <w:rsid w:val="008D430E"/>
    <w:rsid w:val="008E75D0"/>
    <w:rsid w:val="00900304"/>
    <w:rsid w:val="009033D3"/>
    <w:rsid w:val="00907A48"/>
    <w:rsid w:val="009216A1"/>
    <w:rsid w:val="00921870"/>
    <w:rsid w:val="00922935"/>
    <w:rsid w:val="00926891"/>
    <w:rsid w:val="00932B80"/>
    <w:rsid w:val="00935306"/>
    <w:rsid w:val="00944FB1"/>
    <w:rsid w:val="00953341"/>
    <w:rsid w:val="00961257"/>
    <w:rsid w:val="00963DCF"/>
    <w:rsid w:val="00967FAC"/>
    <w:rsid w:val="0097783B"/>
    <w:rsid w:val="00980445"/>
    <w:rsid w:val="00986FFC"/>
    <w:rsid w:val="0099034A"/>
    <w:rsid w:val="0099167C"/>
    <w:rsid w:val="00993F0F"/>
    <w:rsid w:val="009B0357"/>
    <w:rsid w:val="009B5613"/>
    <w:rsid w:val="009B5C97"/>
    <w:rsid w:val="009C017A"/>
    <w:rsid w:val="009C1FB3"/>
    <w:rsid w:val="009D0813"/>
    <w:rsid w:val="009D5A89"/>
    <w:rsid w:val="009E21C2"/>
    <w:rsid w:val="009E2D79"/>
    <w:rsid w:val="009F04CD"/>
    <w:rsid w:val="009F2ADF"/>
    <w:rsid w:val="009F33BA"/>
    <w:rsid w:val="009F48AA"/>
    <w:rsid w:val="009F6071"/>
    <w:rsid w:val="00A01D09"/>
    <w:rsid w:val="00A02B36"/>
    <w:rsid w:val="00A16CB1"/>
    <w:rsid w:val="00A20173"/>
    <w:rsid w:val="00A2379F"/>
    <w:rsid w:val="00A32236"/>
    <w:rsid w:val="00A340BE"/>
    <w:rsid w:val="00A425A5"/>
    <w:rsid w:val="00A471F1"/>
    <w:rsid w:val="00A474B0"/>
    <w:rsid w:val="00A54DCB"/>
    <w:rsid w:val="00A55799"/>
    <w:rsid w:val="00A557DD"/>
    <w:rsid w:val="00A56B96"/>
    <w:rsid w:val="00A640B9"/>
    <w:rsid w:val="00A77F9C"/>
    <w:rsid w:val="00A81D39"/>
    <w:rsid w:val="00A81F06"/>
    <w:rsid w:val="00A85164"/>
    <w:rsid w:val="00A86448"/>
    <w:rsid w:val="00A949AD"/>
    <w:rsid w:val="00AA7C4E"/>
    <w:rsid w:val="00AC047D"/>
    <w:rsid w:val="00AC057F"/>
    <w:rsid w:val="00AC1897"/>
    <w:rsid w:val="00AC227B"/>
    <w:rsid w:val="00AC2691"/>
    <w:rsid w:val="00AC51AE"/>
    <w:rsid w:val="00AD650F"/>
    <w:rsid w:val="00AD78DB"/>
    <w:rsid w:val="00AE07BE"/>
    <w:rsid w:val="00AE4BD9"/>
    <w:rsid w:val="00AF26A2"/>
    <w:rsid w:val="00AF3102"/>
    <w:rsid w:val="00AF5E65"/>
    <w:rsid w:val="00AF7F37"/>
    <w:rsid w:val="00B018C7"/>
    <w:rsid w:val="00B048B7"/>
    <w:rsid w:val="00B12064"/>
    <w:rsid w:val="00B14F3C"/>
    <w:rsid w:val="00B16C65"/>
    <w:rsid w:val="00B176B2"/>
    <w:rsid w:val="00B25744"/>
    <w:rsid w:val="00B26D02"/>
    <w:rsid w:val="00B33B79"/>
    <w:rsid w:val="00B37D54"/>
    <w:rsid w:val="00B50C34"/>
    <w:rsid w:val="00B50E59"/>
    <w:rsid w:val="00B5355C"/>
    <w:rsid w:val="00B5382E"/>
    <w:rsid w:val="00B53B12"/>
    <w:rsid w:val="00B53CE0"/>
    <w:rsid w:val="00B6016C"/>
    <w:rsid w:val="00B62708"/>
    <w:rsid w:val="00B64A42"/>
    <w:rsid w:val="00B7258F"/>
    <w:rsid w:val="00B75F44"/>
    <w:rsid w:val="00B852B3"/>
    <w:rsid w:val="00B92B53"/>
    <w:rsid w:val="00BA0513"/>
    <w:rsid w:val="00BB13BF"/>
    <w:rsid w:val="00BB22D2"/>
    <w:rsid w:val="00BC06B4"/>
    <w:rsid w:val="00BC0F1E"/>
    <w:rsid w:val="00BC1B3D"/>
    <w:rsid w:val="00BC62FF"/>
    <w:rsid w:val="00BD3A94"/>
    <w:rsid w:val="00BD4263"/>
    <w:rsid w:val="00BE29BB"/>
    <w:rsid w:val="00BE3BF8"/>
    <w:rsid w:val="00BE40AD"/>
    <w:rsid w:val="00BF2236"/>
    <w:rsid w:val="00BF41C6"/>
    <w:rsid w:val="00BF6F54"/>
    <w:rsid w:val="00C00CF1"/>
    <w:rsid w:val="00C04D78"/>
    <w:rsid w:val="00C07212"/>
    <w:rsid w:val="00C11306"/>
    <w:rsid w:val="00C11C55"/>
    <w:rsid w:val="00C22004"/>
    <w:rsid w:val="00C30B15"/>
    <w:rsid w:val="00C310AA"/>
    <w:rsid w:val="00C34252"/>
    <w:rsid w:val="00C34B18"/>
    <w:rsid w:val="00C41D7F"/>
    <w:rsid w:val="00C45D04"/>
    <w:rsid w:val="00C53E74"/>
    <w:rsid w:val="00C551BE"/>
    <w:rsid w:val="00C5784F"/>
    <w:rsid w:val="00C624EF"/>
    <w:rsid w:val="00C65433"/>
    <w:rsid w:val="00C73905"/>
    <w:rsid w:val="00C73A1E"/>
    <w:rsid w:val="00C74942"/>
    <w:rsid w:val="00C75AE4"/>
    <w:rsid w:val="00C82610"/>
    <w:rsid w:val="00C902C9"/>
    <w:rsid w:val="00C916AE"/>
    <w:rsid w:val="00C940F8"/>
    <w:rsid w:val="00C94BA7"/>
    <w:rsid w:val="00CA2A9C"/>
    <w:rsid w:val="00CB42B1"/>
    <w:rsid w:val="00CC41FB"/>
    <w:rsid w:val="00CC5A2C"/>
    <w:rsid w:val="00CD06ED"/>
    <w:rsid w:val="00CD3A6C"/>
    <w:rsid w:val="00CE1705"/>
    <w:rsid w:val="00CE324E"/>
    <w:rsid w:val="00CE666F"/>
    <w:rsid w:val="00CF4CA2"/>
    <w:rsid w:val="00CF624A"/>
    <w:rsid w:val="00D00C9D"/>
    <w:rsid w:val="00D0453C"/>
    <w:rsid w:val="00D109CF"/>
    <w:rsid w:val="00D11B65"/>
    <w:rsid w:val="00D130A5"/>
    <w:rsid w:val="00D16D9E"/>
    <w:rsid w:val="00D22C74"/>
    <w:rsid w:val="00D22F4D"/>
    <w:rsid w:val="00D24E64"/>
    <w:rsid w:val="00D27A2B"/>
    <w:rsid w:val="00D3654C"/>
    <w:rsid w:val="00D425AC"/>
    <w:rsid w:val="00D55284"/>
    <w:rsid w:val="00D56C21"/>
    <w:rsid w:val="00D56DA2"/>
    <w:rsid w:val="00D60773"/>
    <w:rsid w:val="00D66CE0"/>
    <w:rsid w:val="00D8344E"/>
    <w:rsid w:val="00D83580"/>
    <w:rsid w:val="00D875ED"/>
    <w:rsid w:val="00D9289C"/>
    <w:rsid w:val="00D9668E"/>
    <w:rsid w:val="00DB3E0B"/>
    <w:rsid w:val="00DC37F8"/>
    <w:rsid w:val="00DE05DB"/>
    <w:rsid w:val="00DE7332"/>
    <w:rsid w:val="00DF0213"/>
    <w:rsid w:val="00DF61E8"/>
    <w:rsid w:val="00E00BA7"/>
    <w:rsid w:val="00E00EC1"/>
    <w:rsid w:val="00E0330F"/>
    <w:rsid w:val="00E0590B"/>
    <w:rsid w:val="00E06341"/>
    <w:rsid w:val="00E10CAB"/>
    <w:rsid w:val="00E14483"/>
    <w:rsid w:val="00E21D95"/>
    <w:rsid w:val="00E25B18"/>
    <w:rsid w:val="00E36D80"/>
    <w:rsid w:val="00E40ECF"/>
    <w:rsid w:val="00E44606"/>
    <w:rsid w:val="00E45392"/>
    <w:rsid w:val="00E462BD"/>
    <w:rsid w:val="00E545BA"/>
    <w:rsid w:val="00E54B78"/>
    <w:rsid w:val="00E55A00"/>
    <w:rsid w:val="00E57F85"/>
    <w:rsid w:val="00E6143A"/>
    <w:rsid w:val="00E63E44"/>
    <w:rsid w:val="00E75B7E"/>
    <w:rsid w:val="00E80A88"/>
    <w:rsid w:val="00E856FE"/>
    <w:rsid w:val="00E957A0"/>
    <w:rsid w:val="00E978CF"/>
    <w:rsid w:val="00EA1DA2"/>
    <w:rsid w:val="00EA2B75"/>
    <w:rsid w:val="00EA3BF4"/>
    <w:rsid w:val="00EB510E"/>
    <w:rsid w:val="00EB6812"/>
    <w:rsid w:val="00EB71FB"/>
    <w:rsid w:val="00EC2B86"/>
    <w:rsid w:val="00EC4B9B"/>
    <w:rsid w:val="00ED045C"/>
    <w:rsid w:val="00EF06FF"/>
    <w:rsid w:val="00EF6DCD"/>
    <w:rsid w:val="00F05047"/>
    <w:rsid w:val="00F176E1"/>
    <w:rsid w:val="00F2356E"/>
    <w:rsid w:val="00F267B9"/>
    <w:rsid w:val="00F31C4A"/>
    <w:rsid w:val="00F34259"/>
    <w:rsid w:val="00F51038"/>
    <w:rsid w:val="00F5200E"/>
    <w:rsid w:val="00F5515A"/>
    <w:rsid w:val="00F615C7"/>
    <w:rsid w:val="00F62D4F"/>
    <w:rsid w:val="00F75F7D"/>
    <w:rsid w:val="00F83DA5"/>
    <w:rsid w:val="00F845D9"/>
    <w:rsid w:val="00F8508B"/>
    <w:rsid w:val="00F913DA"/>
    <w:rsid w:val="00F9208C"/>
    <w:rsid w:val="00FA1119"/>
    <w:rsid w:val="00FA323A"/>
    <w:rsid w:val="00FA68DF"/>
    <w:rsid w:val="00FB2A90"/>
    <w:rsid w:val="00FB6A25"/>
    <w:rsid w:val="00FC1EDB"/>
    <w:rsid w:val="00FC5B6C"/>
    <w:rsid w:val="00FD056F"/>
    <w:rsid w:val="00FD123D"/>
    <w:rsid w:val="00FD5DE3"/>
    <w:rsid w:val="00FD62D8"/>
    <w:rsid w:val="00FD72BF"/>
    <w:rsid w:val="00FE1E63"/>
    <w:rsid w:val="00FE5C65"/>
    <w:rsid w:val="00FE691A"/>
    <w:rsid w:val="00FF5CB2"/>
    <w:rsid w:val="00FF7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967113-160D-42B5-AC92-11CC1374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E77"/>
    <w:pPr>
      <w:spacing w:after="0" w:line="240" w:lineRule="auto"/>
      <w:jc w:val="both"/>
    </w:pPr>
    <w:rPr>
      <w:rFonts w:ascii="Arial" w:eastAsia="Arial" w:hAnsi="Arial" w:cs="Times New Roman"/>
      <w:sz w:val="18"/>
      <w:szCs w:val="20"/>
      <w:lang w:val="es-EC"/>
    </w:rPr>
  </w:style>
  <w:style w:type="paragraph" w:styleId="Ttulo1">
    <w:name w:val="heading 1"/>
    <w:basedOn w:val="Normal"/>
    <w:next w:val="Normal"/>
    <w:link w:val="Ttulo1Car"/>
    <w:qFormat/>
    <w:rsid w:val="00FC1EDB"/>
    <w:pPr>
      <w:numPr>
        <w:numId w:val="1"/>
      </w:numPr>
      <w:outlineLvl w:val="0"/>
    </w:pPr>
    <w:rPr>
      <w:b/>
      <w:color w:val="000000"/>
      <w:sz w:val="24"/>
      <w:szCs w:val="24"/>
    </w:rPr>
  </w:style>
  <w:style w:type="paragraph" w:styleId="Ttulo2">
    <w:name w:val="heading 2"/>
    <w:aliases w:val="Heading 2 Char Char Char"/>
    <w:basedOn w:val="Normal"/>
    <w:next w:val="Normal"/>
    <w:link w:val="Ttulo2Car"/>
    <w:qFormat/>
    <w:rsid w:val="00FC1EDB"/>
    <w:pPr>
      <w:keepNext/>
      <w:outlineLvl w:val="1"/>
    </w:pPr>
    <w:rPr>
      <w:b/>
      <w:color w:val="80808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C1EDB"/>
    <w:rPr>
      <w:rFonts w:ascii="Candara" w:eastAsia="Batang" w:hAnsi="Candara" w:cs="Times New Roman"/>
      <w:b/>
      <w:color w:val="000000"/>
      <w:sz w:val="24"/>
      <w:szCs w:val="24"/>
    </w:rPr>
  </w:style>
  <w:style w:type="character" w:customStyle="1" w:styleId="Ttulo2Car">
    <w:name w:val="Título 2 Car"/>
    <w:aliases w:val="Heading 2 Char Char Char Car"/>
    <w:basedOn w:val="Fuentedeprrafopredeter"/>
    <w:link w:val="Ttulo2"/>
    <w:rsid w:val="00FC1EDB"/>
    <w:rPr>
      <w:rFonts w:ascii="Arial Black" w:eastAsia="Batang" w:hAnsi="Arial Black" w:cs="Times New Roman"/>
      <w:b/>
      <w:color w:val="808080"/>
      <w:sz w:val="24"/>
      <w:szCs w:val="20"/>
      <w:lang w:val="es-EC"/>
    </w:rPr>
  </w:style>
  <w:style w:type="paragraph" w:customStyle="1" w:styleId="TituloPortada">
    <w:name w:val="Titulo Portada"/>
    <w:basedOn w:val="Normal"/>
    <w:rsid w:val="00FC1EDB"/>
    <w:pPr>
      <w:spacing w:before="960" w:after="960"/>
      <w:jc w:val="center"/>
    </w:pPr>
    <w:rPr>
      <w:rFonts w:ascii="Verdana" w:hAnsi="Verdana"/>
      <w:b/>
      <w:sz w:val="96"/>
    </w:rPr>
  </w:style>
  <w:style w:type="paragraph" w:styleId="Piedepgina">
    <w:name w:val="footer"/>
    <w:basedOn w:val="Normal"/>
    <w:link w:val="PiedepginaCar"/>
    <w:uiPriority w:val="99"/>
    <w:rsid w:val="00FC1EDB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1EDB"/>
    <w:rPr>
      <w:rFonts w:ascii="Arial" w:eastAsia="Batang" w:hAnsi="Arial" w:cs="Times New Roman"/>
      <w:sz w:val="20"/>
      <w:szCs w:val="20"/>
      <w:lang w:val="es-ES"/>
    </w:rPr>
  </w:style>
  <w:style w:type="paragraph" w:styleId="Prrafodelista">
    <w:name w:val="List Paragraph"/>
    <w:aliases w:val="TIT 2 IND,Párrafo de Viñeta,tEXTO,Titulo parrafo,Texto,List Paragraph1,Capítulo,Titulo 1"/>
    <w:basedOn w:val="Normal"/>
    <w:link w:val="PrrafodelistaCar"/>
    <w:uiPriority w:val="34"/>
    <w:qFormat/>
    <w:rsid w:val="00FC1EDB"/>
    <w:pPr>
      <w:ind w:left="720"/>
      <w:jc w:val="left"/>
    </w:pPr>
    <w:rPr>
      <w:rFonts w:ascii="Calibri" w:eastAsia="Calibri" w:hAnsi="Calibri"/>
      <w:sz w:val="22"/>
      <w:szCs w:val="22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E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EDB"/>
    <w:rPr>
      <w:rFonts w:ascii="Tahoma" w:eastAsia="Batang" w:hAnsi="Tahoma" w:cs="Tahoma"/>
      <w:sz w:val="16"/>
      <w:szCs w:val="16"/>
      <w:lang w:val="es-EC"/>
    </w:rPr>
  </w:style>
  <w:style w:type="paragraph" w:styleId="Textocomentario">
    <w:name w:val="annotation text"/>
    <w:basedOn w:val="Normal"/>
    <w:link w:val="TextocomentarioCar"/>
    <w:semiHidden/>
    <w:unhideWhenUsed/>
    <w:rsid w:val="002D134C"/>
    <w:pPr>
      <w:jc w:val="left"/>
    </w:pPr>
    <w:rPr>
      <w:rFonts w:ascii="Times New Roman" w:eastAsia="Times New Roman" w:hAnsi="Times New Roman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D134C"/>
    <w:rPr>
      <w:rFonts w:ascii="Times New Roman" w:eastAsia="Times New Roman" w:hAnsi="Times New Roman" w:cs="Times New Roman"/>
      <w:sz w:val="20"/>
      <w:szCs w:val="20"/>
      <w:lang w:val="es-EC"/>
    </w:rPr>
  </w:style>
  <w:style w:type="character" w:styleId="Refdecomentario">
    <w:name w:val="annotation reference"/>
    <w:basedOn w:val="Fuentedeprrafopredeter"/>
    <w:semiHidden/>
    <w:unhideWhenUsed/>
    <w:rsid w:val="002D134C"/>
    <w:rPr>
      <w:sz w:val="16"/>
      <w:szCs w:val="16"/>
    </w:rPr>
  </w:style>
  <w:style w:type="paragraph" w:styleId="Encabezado">
    <w:name w:val="header"/>
    <w:basedOn w:val="Normal"/>
    <w:link w:val="EncabezadoCar"/>
    <w:unhideWhenUsed/>
    <w:rsid w:val="002D13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D134C"/>
    <w:rPr>
      <w:rFonts w:ascii="Arial" w:eastAsia="Batang" w:hAnsi="Arial" w:cs="Times New Roman"/>
      <w:sz w:val="20"/>
      <w:szCs w:val="20"/>
      <w:lang w:val="es-EC"/>
    </w:rPr>
  </w:style>
  <w:style w:type="table" w:styleId="Tablaconcuadrcula">
    <w:name w:val="Table Grid"/>
    <w:basedOn w:val="Tablanormal"/>
    <w:uiPriority w:val="59"/>
    <w:rsid w:val="0024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4BA7"/>
    <w:pPr>
      <w:spacing w:before="100" w:beforeAutospacing="1" w:after="119"/>
      <w:jc w:val="left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Standard">
    <w:name w:val="Standard"/>
    <w:rsid w:val="00AE4BD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  <w:style w:type="character" w:customStyle="1" w:styleId="PrrafodelistaCar">
    <w:name w:val="Párrafo de lista Car"/>
    <w:aliases w:val="TIT 2 IND Car,Párrafo de Viñeta Car,tEXTO Car,Titulo parrafo Car,Texto Car,List Paragraph1 Car,Capítulo Car,Titulo 1 Car"/>
    <w:link w:val="Prrafodelista"/>
    <w:uiPriority w:val="34"/>
    <w:rsid w:val="00980445"/>
    <w:rPr>
      <w:rFonts w:ascii="Calibri" w:eastAsia="Calibri" w:hAnsi="Calibri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3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08A46-B963-4D9C-B027-03CADCA54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4228</Words>
  <Characters>23254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Dirección de Tecnologías de Información y Comunicación</dc:creator>
  <cp:lastModifiedBy>Dirección de Tecnologías de Información y Comunicación</cp:lastModifiedBy>
  <cp:revision>2</cp:revision>
  <cp:lastPrinted>2021-06-06T18:54:00Z</cp:lastPrinted>
  <dcterms:created xsi:type="dcterms:W3CDTF">2026-10-26T20:16:00Z</dcterms:created>
  <dcterms:modified xsi:type="dcterms:W3CDTF">2026-10-26T20:16:00Z</dcterms:modified>
  <dc:subject>Sistema AOCR – Dirección General de Aviación Civil</dc:subject>
  <dc:title>Requerimiento Funcional Detallado del Sistema AOCR</dc:title>
</cp:coreProperties>
</file>