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1E36E3" w14:textId="77777777" w:rsidR="00C31B2B" w:rsidRPr="00F41CC1" w:rsidRDefault="00C31B2B" w:rsidP="005F2CB8">
      <w:pPr>
        <w:spacing w:line="276" w:lineRule="auto"/>
        <w:jc w:val="center"/>
        <w:rPr>
          <w:rFonts w:asciiTheme="minorHAnsi" w:hAnsiTheme="minorHAnsi" w:cstheme="minorHAnsi"/>
          <w:b/>
          <w:color w:val="000000" w:themeColor="text1"/>
          <w:sz w:val="20"/>
          <w:szCs w:val="20"/>
        </w:rPr>
      </w:pPr>
    </w:p>
    <w:tbl>
      <w:tblPr>
        <w:tblStyle w:val="Tablaconcuadrcula"/>
        <w:tblW w:w="9243" w:type="dxa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2722"/>
        <w:gridCol w:w="955"/>
        <w:gridCol w:w="2447"/>
      </w:tblGrid>
      <w:tr w:rsidR="00C31B2B" w:rsidRPr="00963D4F" w14:paraId="72BA6038" w14:textId="77777777" w:rsidTr="00334E44">
        <w:trPr>
          <w:trHeight w:val="291"/>
          <w:tblHeader w:val="true"/>
        </w:trPr>
        <w:tc>
          <w:tcPr>
            <w:tcW w:w="3119" w:type="dxa"/>
            <w:shd w:val="clear" w:color="auto" w:fill="172B69" w:themeFill="background1" w:themeFillShade="D9"/>
            <w:vAlign w:val="center"/>
          </w:tcPr>
          <w:p w14:paraId="702C5DA8" w14:textId="77777777" w:rsidR="00C31B2B" w:rsidRPr="00F41CC1" w:rsidRDefault="00C31B2B" w:rsidP="005F2CB8">
            <w:pPr>
              <w:spacing w:line="276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FECHA:</w:t>
            </w:r>
          </w:p>
        </w:tc>
        <w:tc>
          <w:tcPr>
            <w:tcW w:w="2722" w:type="dxa"/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955" w:type="dxa"/>
            <w:shd w:val="clear" w:color="auto" w:fill="172B69" w:themeFill="background1" w:themeFillShade="D9"/>
            <w:vAlign w:val="center"/>
          </w:tcPr>
          <w:p w14:paraId="563A8EE9" w14:textId="77777777" w:rsidR="00C31B2B" w:rsidRPr="00F41CC1" w:rsidRDefault="00997569" w:rsidP="005F2CB8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CÓDIGO:</w:t>
            </w:r>
          </w:p>
        </w:tc>
        <w:tc>
          <w:tcPr>
            <w:tcW w:w="2447" w:type="dxa"/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DGAC-DTIC-AOCR-2026-IV-001 (propuesto)</w:t>
            </w:r>
          </w:p>
        </w:tc>
      </w:tr>
      <w:tr w:rsidR="005F34C5" w:rsidRPr="00F41CC1" w14:paraId="4FF1267A" w14:textId="77777777" w:rsidTr="00334E44">
        <w:trPr>
          <w:trHeight w:val="322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730A2692" w14:textId="5B687D06" w:rsidR="005F34C5" w:rsidRPr="00F41CC1" w:rsidRDefault="00C20CD1" w:rsidP="005F34C5">
            <w:pPr>
              <w:spacing w:line="276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SISTEMA o COMPONENTE INFORMATICO / ACRONIMO</w:t>
            </w:r>
            <w:r w:rsidR="005F34C5" w:rsidRPr="00F41CC1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124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Sistema Web para la Gestión y Emisión del Certificado AOCR (AOCR)</w:t>
            </w:r>
          </w:p>
        </w:tc>
      </w:tr>
      <w:tr w:rsidR="005F34C5" w:rsidRPr="00963D4F" w14:paraId="724BAEB1" w14:textId="77777777" w:rsidTr="00334E44">
        <w:trPr>
          <w:trHeight w:val="322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ADF3647" w14:textId="77777777" w:rsidR="005F34C5" w:rsidRPr="00F41CC1" w:rsidRDefault="005F34C5" w:rsidP="005F34C5">
            <w:pPr>
              <w:spacing w:line="276" w:lineRule="au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REQUERIMIENTO ASOCIADO:</w:t>
            </w:r>
          </w:p>
        </w:tc>
        <w:tc>
          <w:tcPr>
            <w:tcW w:w="6124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DGAC-DTIC-AOCR-2026-RF-001 (código propuesto; sujeto a asignación institucional)</w:t>
            </w:r>
          </w:p>
        </w:tc>
      </w:tr>
    </w:tbl>
    <w:p w14:paraId="5C79B8D5" w14:textId="77777777" w:rsidR="00CD66F6" w:rsidRPr="00963D4F" w:rsidRDefault="00CD66F6" w:rsidP="00CD66F6">
      <w:pPr>
        <w:pStyle w:val="Ttulo1"/>
        <w:keepLines/>
        <w:spacing w:before="0" w:after="0"/>
        <w:ind w:left="-142"/>
        <w:rPr>
          <w:rFonts w:asciiTheme="minorHAnsi" w:eastAsiaTheme="majorEastAsia" w:hAnsiTheme="minorHAnsi" w:cstheme="minorHAnsi"/>
          <w:bCs/>
          <w:color w:val="000000" w:themeColor="text1"/>
          <w:sz w:val="20"/>
        </w:rPr>
      </w:pPr>
    </w:p>
    <w:p w14:paraId="44B49906" w14:textId="77777777" w:rsidR="005F2CB8" w:rsidRDefault="005F2CB8" w:rsidP="00CD66F6">
      <w:pPr>
        <w:pStyle w:val="Ttulo1"/>
        <w:keepLines/>
        <w:numPr>
          <w:ilvl w:val="0"/>
          <w:numId w:val="2"/>
        </w:numPr>
        <w:spacing w:before="0" w:after="0"/>
        <w:ind w:left="-142" w:hanging="142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 w:rsidRPr="00F41CC1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PROPÓSITO DEL DOCUMENTO</w:t>
      </w:r>
      <w:r w:rsidR="00850699" w:rsidRPr="00F41CC1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 </w:t>
      </w:r>
    </w:p>
    <w:p w14:paraId="5F5F4642" w14:textId="77777777" w:rsidR="00CD66F6" w:rsidRPr="007C2574" w:rsidRDefault="00CD66F6" w:rsidP="00CD66F6">
      <w:pPr>
        <w:rPr>
          <w:rFonts w:asciiTheme="minorHAnsi" w:hAnsiTheme="minorHAnsi" w:cstheme="minorHAnsi"/>
          <w:i/>
          <w:iCs/>
          <w:color w:val="000000"/>
          <w:sz w:val="20"/>
          <w:szCs w:val="20"/>
          <w:lang w:val="es-EC"/>
        </w:rPr>
      </w:pPr>
      <w:r>
        <w:rPr>
          <w:rFonts w:ascii="Arial" w:hAnsi="Arial"/>
          <w:sz w:val="22"/>
        </w:rPr>
        <w:t>Registrar los riesgos de seguridad identificados en la revisión del código y de la configuración de AOCR, así como las acciones necesarias antes del pase a producción.</w:t>
      </w:r>
    </w:p>
    <w:p w14:paraId="65172BF7" w14:textId="77777777" w:rsidR="00CD66F6" w:rsidRPr="00CD66F6" w:rsidRDefault="00CD66F6" w:rsidP="00CD66F6">
      <w:pPr>
        <w:rPr>
          <w:rFonts w:eastAsiaTheme="majorEastAsia"/>
          <w:lang w:val="es-EC" w:eastAsia="en-US"/>
        </w:rPr>
      </w:pPr>
    </w:p>
    <w:p w14:paraId="44FE8257" w14:textId="77777777" w:rsidR="005F2CB8" w:rsidRDefault="005F2CB8" w:rsidP="00CD66F6">
      <w:pPr>
        <w:pStyle w:val="Ttulo1"/>
        <w:keepLines/>
        <w:numPr>
          <w:ilvl w:val="0"/>
          <w:numId w:val="2"/>
        </w:numPr>
        <w:spacing w:before="0" w:after="0"/>
        <w:ind w:left="-142" w:hanging="142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 w:rsidRPr="00F41CC1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ANTECEDENTES</w:t>
      </w:r>
      <w:bookmarkStart w:id="0" w:name="_GoBack"/>
      <w:bookmarkEnd w:id="0"/>
    </w:p>
    <w:p w14:paraId="72DB14C0" w14:textId="6BACBCD7" w:rsidR="00CD66F6" w:rsidRPr="007C2574" w:rsidRDefault="007C2574" w:rsidP="00CD66F6">
      <w:pPr>
        <w:rPr>
          <w:rFonts w:asciiTheme="minorHAnsi" w:hAnsiTheme="minorHAnsi" w:cstheme="minorHAnsi"/>
          <w:i/>
          <w:iCs/>
          <w:color w:val="000000"/>
          <w:sz w:val="20"/>
          <w:szCs w:val="20"/>
          <w:lang w:val="es-EC"/>
        </w:rPr>
      </w:pPr>
      <w:r>
        <w:rPr>
          <w:rFonts w:ascii="Arial" w:hAnsi="Arial"/>
          <w:sz w:val="22"/>
        </w:rPr>
        <w:t>Se revisó la línea base fix/cierre-flujo-aocr / bd24c082, que incorpora el flujo institucional, RBAC, documentos PDF, firmas, cola de correos, PostgreSQL y AS400/DB2. Este documento corresponde a revisión técnica estática y de diseño; el escaneo DAST y la prueba de penetración en preproducción quedan pendientes.</w:t>
      </w:r>
    </w:p>
    <w:p w14:paraId="59B7FF16" w14:textId="77777777" w:rsidR="00CD66F6" w:rsidRPr="00CD66F6" w:rsidRDefault="00CD66F6" w:rsidP="00CD66F6">
      <w:pPr>
        <w:rPr>
          <w:rFonts w:eastAsiaTheme="majorEastAsia"/>
          <w:lang w:val="es-EC" w:eastAsia="en-US"/>
        </w:rPr>
      </w:pPr>
    </w:p>
    <w:p w14:paraId="02C1DA38" w14:textId="192763A7" w:rsidR="00E20BF6" w:rsidRDefault="00C20CD1" w:rsidP="00CD66F6">
      <w:pPr>
        <w:pStyle w:val="Ttulo1"/>
        <w:keepLines/>
        <w:numPr>
          <w:ilvl w:val="0"/>
          <w:numId w:val="2"/>
        </w:numPr>
        <w:spacing w:before="0" w:after="0"/>
        <w:ind w:left="-142" w:hanging="142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>
        <w:rPr>
          <w:rFonts w:ascii="Arial" w:hAnsi="Arial"/>
          <w:sz w:val="22"/>
        </w:rPr>
        <w:t>DESCRIPCIÓN DE VULNERABILIDADES DETERMINADAS</w:t>
      </w:r>
    </w:p>
    <w:p w14:paraId="61DD470C" w14:textId="38FD20B8" w:rsidR="00295578" w:rsidRPr="00295578" w:rsidRDefault="00295578" w:rsidP="00295578">
      <w:pPr>
        <w:rPr>
          <w:rFonts w:asciiTheme="minorHAnsi" w:hAnsiTheme="minorHAnsi" w:cstheme="minorHAnsi"/>
          <w:i/>
          <w:iCs/>
          <w:color w:val="000000"/>
          <w:sz w:val="20"/>
          <w:szCs w:val="20"/>
          <w:lang w:val="es-EC"/>
        </w:rPr>
      </w:pPr>
      <w:r>
        <w:rPr>
          <w:rFonts w:ascii="Arial" w:hAnsi="Arial"/>
          <w:sz w:val="22"/>
        </w:rPr>
        <w:t>Marco de referencia: OWASP Top 10 y buenas prácticas ASP.NET MVC. Fecha de corte: 26 de octubre de 2026. Método: inspección de controladores, servicios, acceso a datos, configuración y rutas. Herramientas dinámicas, URL e IP: pendientes de asignación en preproducción.</w:t>
      </w:r>
    </w:p>
    <w:p w14:paraId="499455CE" w14:textId="77777777" w:rsidR="00CD66F6" w:rsidRPr="00CD66F6" w:rsidRDefault="00CD66F6" w:rsidP="00CD66F6">
      <w:pPr>
        <w:rPr>
          <w:rFonts w:eastAsiaTheme="majorEastAsia"/>
          <w:lang w:val="es-EC" w:eastAsia="en-US"/>
        </w:rPr>
      </w:pPr>
    </w:p>
    <w:p w14:paraId="5AAC9D7F" w14:textId="08B2553B" w:rsidR="00A40FBD" w:rsidRPr="00F41CC1" w:rsidRDefault="004F0BB4" w:rsidP="00CD66F6">
      <w:pPr>
        <w:pStyle w:val="Ttulo1"/>
        <w:keepLines/>
        <w:numPr>
          <w:ilvl w:val="0"/>
          <w:numId w:val="2"/>
        </w:numPr>
        <w:spacing w:before="0" w:after="0"/>
        <w:ind w:left="-142" w:hanging="142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ANALISIS </w:t>
      </w:r>
      <w:r w:rsidR="005F2CB8" w:rsidRPr="00F41CC1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DE RIESGOS</w:t>
      </w:r>
      <w:r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 Y ACCIONES  de MITIGACION</w:t>
      </w:r>
    </w:p>
    <w:p w14:paraId="2B22F864" w14:textId="77777777" w:rsidR="00B14547" w:rsidRPr="00F41CC1" w:rsidRDefault="00B14547" w:rsidP="00CD66F6">
      <w:pPr>
        <w:ind w:right="90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tbl>
      <w:tblPr>
        <w:tblW w:w="9281" w:type="dxa"/>
        <w:tblInd w:w="-21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8"/>
        <w:gridCol w:w="1908"/>
        <w:gridCol w:w="1701"/>
        <w:gridCol w:w="1561"/>
        <w:gridCol w:w="1416"/>
        <w:gridCol w:w="2127"/>
      </w:tblGrid>
      <w:tr w:rsidR="00216D87" w:rsidRPr="00F41CC1" w14:paraId="27D936C8" w14:textId="77777777" w:rsidTr="00334E44">
        <w:trPr>
          <w:trHeight w:val="288"/>
          <w:tblHeader w:val="true"/>
        </w:trPr>
        <w:tc>
          <w:tcPr>
            <w:tcW w:w="568" w:type="dxa"/>
            <w:shd w:val="clear" w:color="auto" w:fill="172B69" w:themeFill="background1" w:themeFillShade="D9"/>
            <w:noWrap/>
            <w:vAlign w:val="center"/>
            <w:hideMark/>
          </w:tcPr>
          <w:p w14:paraId="779FD357" w14:textId="77777777" w:rsidR="00A40FBD" w:rsidRPr="00F41CC1" w:rsidRDefault="00850699" w:rsidP="005F2CB8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 </w:t>
            </w:r>
          </w:p>
        </w:tc>
        <w:tc>
          <w:tcPr>
            <w:tcW w:w="8713" w:type="dxa"/>
            <w:gridSpan w:val="5"/>
            <w:shd w:val="clear" w:color="auto" w:fill="172B69" w:themeFill="background1" w:themeFillShade="D9"/>
            <w:vAlign w:val="center"/>
            <w:hideMark/>
          </w:tcPr>
          <w:p w14:paraId="497BA797" w14:textId="77777777" w:rsidR="00A40FBD" w:rsidRPr="00F41CC1" w:rsidRDefault="00850699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bCs/>
                <w:color w:val="FFFFFF"/>
                <w:sz w:val="20"/>
                <w:szCs w:val="20"/>
              </w:rPr>
              <w:t xml:space="preserve">RIESGOS DEL PROYECTO/TAREA/ACTIVIDAD </w:t>
            </w:r>
          </w:p>
        </w:tc>
      </w:tr>
      <w:tr w:rsidR="00216D87" w:rsidRPr="00F41CC1" w14:paraId="56583579" w14:textId="77777777" w:rsidTr="00334E44">
        <w:trPr>
          <w:trHeight w:val="288"/>
        </w:trPr>
        <w:tc>
          <w:tcPr>
            <w:tcW w:w="568" w:type="dxa"/>
            <w:shd w:val="clear" w:color="auto" w:fill="D9D9D9" w:themeFill="background1" w:themeFillShade="D9"/>
            <w:noWrap/>
            <w:vAlign w:val="center"/>
            <w:hideMark/>
          </w:tcPr>
          <w:p w14:paraId="531751D9" w14:textId="77777777" w:rsidR="00A40FBD" w:rsidRPr="00F41CC1" w:rsidRDefault="00A40FBD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N</w:t>
            </w:r>
            <w:r w:rsidR="00850699"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o</w:t>
            </w:r>
            <w:r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908" w:type="dxa"/>
            <w:shd w:val="clear" w:color="auto" w:fill="D9D9D9" w:themeFill="background1" w:themeFillShade="D9"/>
            <w:vAlign w:val="center"/>
            <w:hideMark/>
          </w:tcPr>
          <w:p w14:paraId="40ABDEB4" w14:textId="77777777" w:rsidR="00A40FBD" w:rsidRPr="00F41CC1" w:rsidRDefault="00A40FBD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Riesgo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  <w:hideMark/>
          </w:tcPr>
          <w:p w14:paraId="1C8B764F" w14:textId="77777777" w:rsidR="00A40FBD" w:rsidRPr="00F41CC1" w:rsidRDefault="00E20BF6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Tipo de Riesgo</w:t>
            </w:r>
          </w:p>
        </w:tc>
        <w:tc>
          <w:tcPr>
            <w:tcW w:w="1561" w:type="dxa"/>
            <w:shd w:val="clear" w:color="auto" w:fill="D9D9D9" w:themeFill="background1" w:themeFillShade="D9"/>
            <w:vAlign w:val="center"/>
            <w:hideMark/>
          </w:tcPr>
          <w:p w14:paraId="2D468327" w14:textId="77777777" w:rsidR="00A40FBD" w:rsidRPr="00F41CC1" w:rsidRDefault="00A40FBD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Impacto</w:t>
            </w:r>
          </w:p>
        </w:tc>
        <w:tc>
          <w:tcPr>
            <w:tcW w:w="1416" w:type="dxa"/>
            <w:shd w:val="clear" w:color="auto" w:fill="D9D9D9" w:themeFill="background1" w:themeFillShade="D9"/>
            <w:vAlign w:val="center"/>
            <w:hideMark/>
          </w:tcPr>
          <w:p w14:paraId="05222977" w14:textId="77777777" w:rsidR="00A40FBD" w:rsidRPr="00F41CC1" w:rsidRDefault="00A40FBD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Observación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  <w:hideMark/>
          </w:tcPr>
          <w:p w14:paraId="0A9D79D9" w14:textId="24A5922B" w:rsidR="00A40FBD" w:rsidRPr="00F41CC1" w:rsidRDefault="00A40FBD" w:rsidP="005F2CB8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Acci</w:t>
            </w:r>
            <w:r w:rsidR="004F0BB4">
              <w:rPr>
                <w:rFonts w:asciiTheme="minorHAnsi" w:hAnsiTheme="minorHAnsi" w:cstheme="minorHAnsi" w:ascii="Arial" w:hAnsi="Arial"/>
                <w:b/>
                <w:bCs/>
                <w:color w:val="000000" w:themeColor="text1"/>
                <w:sz w:val="20"/>
                <w:szCs w:val="20"/>
              </w:rPr>
              <w:t>ón(es) de Mitigación</w:t>
            </w:r>
          </w:p>
        </w:tc>
      </w:tr>
      <w:tr w:rsidR="00216D87" w:rsidRPr="00F41CC1" w14:paraId="6953E681" w14:textId="77777777" w:rsidTr="00334E44">
        <w:trPr>
          <w:trHeight w:val="1200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1908" w:type="dxa"/>
            <w:shd w:val="clear" w:color="auto" w:fill="auto"/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Exposición de secretos o configuración sensible</w:t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Configuración</w:t>
            </w:r>
          </w:p>
        </w:tc>
        <w:tc>
          <w:tcPr>
            <w:tcW w:w="1561" w:type="dxa"/>
            <w:shd w:val="clear" w:color="auto" w:fill="auto"/>
            <w:vAlign w:val="center"/>
            <w:hideMark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w="1416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Las cadenas, SMTP, AS400, certificados y claves no deben permanecer en el repositorio ni en archivos de publicación.</w:t>
            </w:r>
          </w:p>
        </w:tc>
        <w:tc>
          <w:tcPr>
            <w:tcW w:w="2127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Externalizar secretos, rotar credenciales y revisar Web.Release.config antes del despliegue.</w:t>
            </w:r>
          </w:p>
        </w:tc>
      </w:tr>
      <w:tr w:rsidR="00216D87" w:rsidRPr="00F41CC1" w14:paraId="17C62370" w14:textId="77777777" w:rsidTr="00334E44">
        <w:trPr>
          <w:trHeight w:val="1274"/>
        </w:trPr>
        <w:tc>
          <w:tcPr>
            <w:tcW w:w="568" w:type="dxa"/>
            <w:shd w:val="clear" w:color="auto" w:fill="auto"/>
            <w:noWrap/>
            <w:vAlign w:val="center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1908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Autorización inconsistente entre menú y backend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Control de acceso</w:t>
            </w:r>
          </w:p>
        </w:tc>
        <w:tc>
          <w:tcPr>
            <w:tcW w:w="1561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w="1416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La separación DIRCAV/DIRDAC y los permisos por rol deben validarse en cada acción, no solo en la interfaz.</w:t>
            </w:r>
          </w:p>
        </w:tc>
        <w:tc>
          <w:tcPr>
            <w:tcW w:w="2127" w:type="dxa"/>
            <w:shd w:val="clear" w:color="auto" w:fill="auto"/>
            <w:vAlign w:val="center"/>
          </w:tcPr>
          <w:p>
            <w:r>
              <w:rPr>
                <w:rFonts w:ascii="Arial" w:hAnsi="Arial"/>
                <w:sz w:val="18"/>
              </w:rPr>
              <w:t>Aplicar autorización backend, pruebas 401/403 y revisión de acceso directo.</w:t>
            </w:r>
          </w:p>
        </w:tc>
      </w:tr>
      <w:tr>
        <w:tc>
          <w:tcPr>
            <w:tcW w:type="dxa" w:w="568"/>
            <w:vAlign w:val="center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908"/>
            <w:vAlign w:val="center"/>
          </w:tcPr>
          <w:p>
            <w:r>
              <w:rPr>
                <w:rFonts w:ascii="Arial" w:hAnsi="Arial"/>
                <w:sz w:val="18"/>
              </w:rPr>
              <w:t>Carga o descarga insegura de documentos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/>
                <w:sz w:val="18"/>
              </w:rPr>
              <w:t>Archivos</w:t>
            </w:r>
          </w:p>
        </w:tc>
        <w:tc>
          <w:tcPr>
            <w:tcW w:type="dxa" w:w="1561"/>
            <w:vAlign w:val="center"/>
          </w:tcPr>
          <w:p>
            <w:r>
              <w:rPr>
                <w:rFonts w:ascii="Arial" w:hAnsi="Arial"/>
                <w:sz w:val="18"/>
              </w:rPr>
              <w:t>Alto</w:t>
            </w:r>
          </w:p>
        </w:tc>
        <w:tc>
          <w:tcPr>
            <w:tcW w:type="dxa" w:w="1416"/>
            <w:vAlign w:val="center"/>
          </w:tcPr>
          <w:p>
            <w:r>
              <w:rPr>
                <w:rFonts w:ascii="Arial" w:hAnsi="Arial"/>
                <w:sz w:val="18"/>
              </w:rPr>
              <w:t>PDF y anexos pueden exponer rutas o aceptar contenido no permitido.</w:t>
            </w:r>
          </w:p>
        </w:tc>
        <w:tc>
          <w:tcPr>
            <w:tcW w:type="dxa" w:w="2127"/>
            <w:vAlign w:val="center"/>
          </w:tcPr>
          <w:p>
            <w:r>
              <w:rPr>
                <w:rFonts w:ascii="Arial" w:hAnsi="Arial"/>
                <w:sz w:val="18"/>
              </w:rPr>
              <w:t>Validar extensión, MIME, tamaño y firma; almacenar fuera de rutas públicas y autorizar cada descarga.</w:t>
            </w:r>
          </w:p>
        </w:tc>
      </w:tr>
      <w:tr>
        <w:tc>
          <w:tcPr>
            <w:tcW w:type="dxa" w:w="568"/>
            <w:vAlign w:val="center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908"/>
            <w:vAlign w:val="center"/>
          </w:tcPr>
          <w:p>
            <w:r>
              <w:rPr>
                <w:rFonts w:ascii="Arial" w:hAnsi="Arial"/>
                <w:sz w:val="18"/>
              </w:rPr>
              <w:t>Doble envío o transición repetida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/>
                <w:sz w:val="18"/>
              </w:rPr>
              <w:t>Integridad</w:t>
            </w:r>
          </w:p>
        </w:tc>
        <w:tc>
          <w:tcPr>
            <w:tcW w:type="dxa" w:w="1561"/>
            <w:vAlign w:val="center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  <w:tc>
          <w:tcPr>
            <w:tcW w:type="dxa" w:w="1416"/>
            <w:vAlign w:val="center"/>
          </w:tcPr>
          <w:p>
            <w:r>
              <w:rPr>
                <w:rFonts w:ascii="Arial" w:hAnsi="Arial"/>
                <w:sz w:val="18"/>
              </w:rPr>
              <w:t>Órdenes, correos, firmas o cambios de estado podrían duplicarse ante reintentos.</w:t>
            </w:r>
          </w:p>
        </w:tc>
        <w:tc>
          <w:tcPr>
            <w:tcW w:type="dxa" w:w="2127"/>
            <w:vAlign w:val="center"/>
          </w:tcPr>
          <w:p>
            <w:r>
              <w:rPr>
                <w:rFonts w:ascii="Arial" w:hAnsi="Arial"/>
                <w:sz w:val="18"/>
              </w:rPr>
              <w:t>Mantener transacciones, restricciones únicas, claves de idempotencia y control de versión.</w:t>
            </w:r>
          </w:p>
        </w:tc>
      </w:tr>
      <w:tr>
        <w:tc>
          <w:tcPr>
            <w:tcW w:type="dxa" w:w="568"/>
            <w:vAlign w:val="center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908"/>
            <w:vAlign w:val="center"/>
          </w:tcPr>
          <w:p>
            <w:r>
              <w:rPr>
                <w:rFonts w:ascii="Arial" w:hAnsi="Arial"/>
                <w:sz w:val="18"/>
              </w:rPr>
              <w:t>Dependencias y componentes heredados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/>
                <w:sz w:val="18"/>
              </w:rPr>
              <w:t>Dependencias</w:t>
            </w:r>
          </w:p>
        </w:tc>
        <w:tc>
          <w:tcPr>
            <w:tcW w:type="dxa" w:w="1561"/>
            <w:vAlign w:val="center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  <w:tc>
          <w:tcPr>
            <w:tcW w:type="dxa" w:w="1416"/>
            <w:vAlign w:val="center"/>
          </w:tcPr>
          <w:p>
            <w:r>
              <w:rPr>
                <w:rFonts w:ascii="Arial" w:hAnsi="Arial"/>
                <w:sz w:val="18"/>
              </w:rPr>
              <w:t>MVC5/.NET Framework y librerías de PDF requieren inventario y parches.</w:t>
            </w:r>
          </w:p>
        </w:tc>
        <w:tc>
          <w:tcPr>
            <w:tcW w:type="dxa" w:w="2127"/>
            <w:vAlign w:val="center"/>
          </w:tcPr>
          <w:p>
            <w:r>
              <w:rPr>
                <w:rFonts w:ascii="Arial" w:hAnsi="Arial"/>
                <w:sz w:val="18"/>
              </w:rPr>
              <w:t>Ejecutar análisis SCA, homologar versiones y documentar excepciones antes de producción.</w:t>
            </w:r>
          </w:p>
        </w:tc>
      </w:tr>
      <w:tr>
        <w:tc>
          <w:tcPr>
            <w:tcW w:type="dxa" w:w="568"/>
            <w:vAlign w:val="center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908"/>
            <w:vAlign w:val="center"/>
          </w:tcPr>
          <w:p>
            <w:r>
              <w:rPr>
                <w:rFonts w:ascii="Arial" w:hAnsi="Arial"/>
                <w:sz w:val="18"/>
              </w:rPr>
              <w:t>Mensajes de error con datos internos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Arial" w:hAnsi="Arial"/>
                <w:sz w:val="18"/>
              </w:rPr>
              <w:t>Información</w:t>
            </w:r>
          </w:p>
        </w:tc>
        <w:tc>
          <w:tcPr>
            <w:tcW w:type="dxa" w:w="1561"/>
            <w:vAlign w:val="center"/>
          </w:tcPr>
          <w:p>
            <w:r>
              <w:rPr>
                <w:rFonts w:ascii="Arial" w:hAnsi="Arial"/>
                <w:sz w:val="18"/>
              </w:rPr>
              <w:t>Medio</w:t>
            </w:r>
          </w:p>
        </w:tc>
        <w:tc>
          <w:tcPr>
            <w:tcW w:type="dxa" w:w="1416"/>
            <w:vAlign w:val="center"/>
          </w:tcPr>
          <w:p>
            <w:r>
              <w:rPr>
                <w:rFonts w:ascii="Arial" w:hAnsi="Arial"/>
                <w:sz w:val="18"/>
              </w:rPr>
              <w:t>Una excepción puede revelar SQL, rutas o configuración.</w:t>
            </w:r>
          </w:p>
        </w:tc>
        <w:tc>
          <w:tcPr>
            <w:tcW w:type="dxa" w:w="2127"/>
            <w:vAlign w:val="center"/>
          </w:tcPr>
          <w:p>
            <w:r>
              <w:rPr>
                <w:rFonts w:ascii="Arial" w:hAnsi="Arial"/>
                <w:sz w:val="18"/>
              </w:rPr>
              <w:t>Usar mensajes controlados, correlationId y logs restringidos sin credenciales.</w:t>
            </w:r>
          </w:p>
        </w:tc>
      </w:tr>
    </w:tbl>
    <w:p w14:paraId="274A2D3F" w14:textId="77777777" w:rsidR="006D4D31" w:rsidRPr="00F41CC1" w:rsidRDefault="006D4D31" w:rsidP="00C40989">
      <w:pPr>
        <w:pStyle w:val="Ttulo1"/>
        <w:keepLines/>
        <w:numPr>
          <w:ilvl w:val="0"/>
          <w:numId w:val="2"/>
        </w:numPr>
        <w:spacing w:before="480" w:after="0" w:line="276" w:lineRule="auto"/>
        <w:ind w:left="-142" w:hanging="142"/>
        <w:rPr>
          <w:rFonts w:asciiTheme="minorHAnsi" w:hAnsiTheme="minorHAnsi" w:cstheme="minorHAnsi"/>
          <w:color w:val="000000" w:themeColor="text1"/>
          <w:sz w:val="20"/>
        </w:rPr>
      </w:pPr>
      <w:bookmarkStart w:id="1" w:name="_Toc491687020"/>
      <w:bookmarkStart w:id="2" w:name="_Toc491707382"/>
      <w:bookmarkStart w:id="3" w:name="_Toc498520642"/>
      <w:r w:rsidRPr="00F41CC1">
        <w:rPr>
          <w:rFonts w:asciiTheme="minorHAnsi" w:hAnsiTheme="minorHAnsi" w:cstheme="minorHAnsi"/>
          <w:color w:val="000000" w:themeColor="text1"/>
          <w:sz w:val="20"/>
        </w:rPr>
        <w:t>APROBACIÓN DEL DOCUMENTO</w:t>
      </w:r>
      <w:bookmarkEnd w:id="1"/>
      <w:bookmarkEnd w:id="2"/>
      <w:bookmarkEnd w:id="3"/>
    </w:p>
    <w:p w14:paraId="63B68E25" w14:textId="77777777" w:rsidR="006D4D31" w:rsidRPr="00F41CC1" w:rsidRDefault="006D4D31" w:rsidP="006D4D31">
      <w:pPr>
        <w:rPr>
          <w:rFonts w:asciiTheme="minorHAnsi" w:hAnsiTheme="minorHAnsi"/>
          <w:sz w:val="20"/>
          <w:szCs w:val="20"/>
          <w:lang w:val="en-US" w:eastAsia="en-US"/>
        </w:rPr>
      </w:pPr>
    </w:p>
    <w:tbl>
      <w:tblPr>
        <w:tblW w:w="5441" w:type="pct"/>
        <w:tblInd w:w="-17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006"/>
        <w:gridCol w:w="6237"/>
      </w:tblGrid>
      <w:tr w:rsidR="00334E44" w:rsidRPr="00F41CC1" w14:paraId="6D1B83E9" w14:textId="77777777" w:rsidTr="00334E44">
        <w:trPr>
          <w:trHeight w:val="293"/>
          <w:tblHeader w:val="true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72B69" w:themeFill="background1" w:themeFillShade="D9"/>
            <w:vAlign w:val="center"/>
            <w:hideMark/>
          </w:tcPr>
          <w:p w14:paraId="6D780D7C" w14:textId="4CA8DEDD" w:rsidR="00334E44" w:rsidRPr="00F41CC1" w:rsidRDefault="00334E44" w:rsidP="00F96D3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Elaboración y A</w:t>
            </w:r>
            <w:r w:rsidR="00F96D37">
              <w:rPr>
                <w:rFonts w:asciiTheme="minorHAnsi" w:hAnsiTheme="minorHAnsi" w:cstheme="minorHAnsi" w:ascii="Arial" w:hAnsi="Arial"/>
                <w:b/>
                <w:color w:val="FFFFFF"/>
                <w:sz w:val="20"/>
                <w:szCs w:val="20"/>
              </w:rPr>
              <w:t>probación</w:t>
            </w:r>
          </w:p>
        </w:tc>
      </w:tr>
      <w:tr w:rsidR="00334E44" w:rsidRPr="00F41CC1" w14:paraId="31CF6DBC" w14:textId="77777777" w:rsidTr="00334E44">
        <w:trPr>
          <w:trHeight w:val="801"/>
        </w:trPr>
        <w:tc>
          <w:tcPr>
            <w:tcW w:w="1626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53A06526" w14:textId="77777777" w:rsidR="00334E44" w:rsidRPr="00F41CC1" w:rsidRDefault="00334E44" w:rsidP="00F41CC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Elaborado por:</w:t>
            </w:r>
          </w:p>
          <w:p w14:paraId="4B554509" w14:textId="77777777" w:rsidR="00334E44" w:rsidRPr="00F41CC1" w:rsidRDefault="00334E44" w:rsidP="00744CA1">
            <w:pPr>
              <w:ind w:right="90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37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21464922" w14:textId="77777777" w:rsidR="00334E44" w:rsidRPr="00F41CC1" w:rsidRDefault="00334E44" w:rsidP="00744CA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334E44" w:rsidRPr="00F41CC1" w14:paraId="0505C862" w14:textId="77777777" w:rsidTr="00334E44">
        <w:trPr>
          <w:trHeight w:val="255"/>
        </w:trPr>
        <w:tc>
          <w:tcPr>
            <w:tcW w:w="1626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14:paraId="7DB18B47" w14:textId="77777777" w:rsidR="00334E44" w:rsidRPr="00F41CC1" w:rsidRDefault="00334E44" w:rsidP="00744CA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37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3915A9" w14:textId="77777777" w:rsidR="00334E44" w:rsidRPr="00F41CC1" w:rsidRDefault="00334E44" w:rsidP="00744CA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</w:rPr>
              <w:t>Nombre Funcionario (Analista DTIC)</w:t>
            </w:r>
          </w:p>
          <w:p w14:paraId="6C00B967" w14:textId="77777777" w:rsidR="00334E44" w:rsidRPr="00F41CC1" w:rsidRDefault="00334E44" w:rsidP="00744CA1">
            <w:pPr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334E44" w:rsidRPr="00F41CC1" w14:paraId="33438AF2" w14:textId="77777777" w:rsidTr="00334E44">
        <w:trPr>
          <w:trHeight w:val="762"/>
        </w:trPr>
        <w:tc>
          <w:tcPr>
            <w:tcW w:w="1626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9E50A7A" w14:textId="47668487" w:rsidR="00334E44" w:rsidRPr="00F41CC1" w:rsidRDefault="00334E44" w:rsidP="00F41CC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 xml:space="preserve">Revisado </w:t>
            </w:r>
            <w:r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 xml:space="preserve">y Aprobado </w:t>
            </w:r>
            <w:r w:rsidRPr="00F41CC1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por:</w:t>
            </w:r>
          </w:p>
        </w:tc>
        <w:tc>
          <w:tcPr>
            <w:tcW w:w="337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2CFD0F8" w14:textId="77777777" w:rsidR="00334E44" w:rsidRPr="00F41CC1" w:rsidRDefault="00334E44" w:rsidP="00744CA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334E44" w:rsidRPr="00F41CC1" w14:paraId="5A9AF9CB" w14:textId="77777777" w:rsidTr="00334E44">
        <w:trPr>
          <w:trHeight w:val="526"/>
        </w:trPr>
        <w:tc>
          <w:tcPr>
            <w:tcW w:w="1626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1363929" w14:textId="77777777" w:rsidR="00334E44" w:rsidRPr="00F41CC1" w:rsidRDefault="00334E44" w:rsidP="00744CA1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37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83BAC2A" w14:textId="77777777" w:rsidR="00334E44" w:rsidRPr="00F41CC1" w:rsidRDefault="00334E44" w:rsidP="00744CA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>Nombre Funcionario</w:t>
            </w:r>
            <w:r>
              <w:rPr>
                <w:rFonts w:asciiTheme="minorHAnsi" w:hAnsiTheme="minorHAnsi" w:cstheme="minorHAnsi" w:ascii="Arial" w:hAnsi="Arial"/>
                <w:color w:val="000000" w:themeColor="text1"/>
                <w:sz w:val="20"/>
                <w:szCs w:val="20"/>
              </w:rPr>
              <w:t xml:space="preserve"> (Director DPTI)</w:t>
            </w:r>
          </w:p>
          <w:p w14:paraId="0448B209" w14:textId="77777777" w:rsidR="00334E44" w:rsidRPr="00F41CC1" w:rsidRDefault="00334E44" w:rsidP="00744CA1">
            <w:pPr>
              <w:ind w:right="35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1CC1">
              <w:rPr>
                <w:rFonts w:asciiTheme="minorHAnsi" w:hAnsiTheme="minorHAnsi"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</w:tbl>
    <w:p w14:paraId="066DB6FE" w14:textId="77777777" w:rsidR="00E20BF6" w:rsidRPr="00F41CC1" w:rsidRDefault="00E20BF6" w:rsidP="00FC44DB">
      <w:pPr>
        <w:rPr>
          <w:rFonts w:asciiTheme="minorHAnsi" w:hAnsiTheme="minorHAnsi"/>
          <w:sz w:val="20"/>
          <w:szCs w:val="20"/>
          <w:lang w:val="en-US" w:eastAsia="en-US"/>
        </w:rPr>
      </w:pPr>
    </w:p>
    <w:sectPr w:rsidR="00E20BF6" w:rsidRPr="00F41CC1" w:rsidSect="00721DE6">
      <w:headerReference w:type="default" r:id="rId8"/>
      <w:footerReference w:type="default" r:id="rId9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418" w:right="1701" w:bottom="1134" w:left="1701" w:header="709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4C79DD" w14:textId="77777777" w:rsidR="00363271" w:rsidRDefault="00363271" w:rsidP="00A40FBD">
      <w:r>
        <w:separator/>
      </w:r>
    </w:p>
  </w:endnote>
  <w:endnote w:type="continuationSeparator" w:id="0">
    <w:p w14:paraId="09A770D0" w14:textId="77777777" w:rsidR="00363271" w:rsidRDefault="00363271" w:rsidP="00A40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k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ource Han Sans CN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03C211" w14:textId="77777777" w:rsidR="00363271" w:rsidRDefault="00363271" w:rsidP="00A40FBD">
      <w:r>
        <w:separator/>
      </w:r>
    </w:p>
  </w:footnote>
  <w:footnote w:type="continuationSeparator" w:id="0">
    <w:p w14:paraId="20F3EB42" w14:textId="77777777" w:rsidR="00363271" w:rsidRDefault="00363271" w:rsidP="00A40F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styles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B3E56"/>
    <w:multiLevelType w:val="multilevel"/>
    <w:tmpl w:val="684ED2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</w:rPr>
    </w:lvl>
  </w:abstractNum>
  <w:abstractNum w:abstractNumId="1" w15:restartNumberingAfterBreak="0">
    <w:nsid w:val="629111F3"/>
    <w:multiLevelType w:val="hybridMultilevel"/>
    <w:tmpl w:val="B26452E4"/>
    <w:lvl w:ilvl="0" w:tplc="300A000F">
      <w:start w:val="1"/>
      <w:numFmt w:val="decimal"/>
      <w:lvlText w:val="%1."/>
      <w:lvlJc w:val="left"/>
      <w:pPr>
        <w:ind w:left="1374" w:hanging="360"/>
      </w:pPr>
    </w:lvl>
    <w:lvl w:ilvl="1" w:tplc="300A0019" w:tentative="1">
      <w:start w:val="1"/>
      <w:numFmt w:val="lowerLetter"/>
      <w:lvlText w:val="%2."/>
      <w:lvlJc w:val="left"/>
      <w:pPr>
        <w:ind w:left="2094" w:hanging="360"/>
      </w:pPr>
    </w:lvl>
    <w:lvl w:ilvl="2" w:tplc="300A001B" w:tentative="1">
      <w:start w:val="1"/>
      <w:numFmt w:val="lowerRoman"/>
      <w:lvlText w:val="%3."/>
      <w:lvlJc w:val="right"/>
      <w:pPr>
        <w:ind w:left="2814" w:hanging="180"/>
      </w:pPr>
    </w:lvl>
    <w:lvl w:ilvl="3" w:tplc="300A000F" w:tentative="1">
      <w:start w:val="1"/>
      <w:numFmt w:val="decimal"/>
      <w:lvlText w:val="%4."/>
      <w:lvlJc w:val="left"/>
      <w:pPr>
        <w:ind w:left="3534" w:hanging="360"/>
      </w:pPr>
    </w:lvl>
    <w:lvl w:ilvl="4" w:tplc="300A0019" w:tentative="1">
      <w:start w:val="1"/>
      <w:numFmt w:val="lowerLetter"/>
      <w:lvlText w:val="%5."/>
      <w:lvlJc w:val="left"/>
      <w:pPr>
        <w:ind w:left="4254" w:hanging="360"/>
      </w:pPr>
    </w:lvl>
    <w:lvl w:ilvl="5" w:tplc="300A001B" w:tentative="1">
      <w:start w:val="1"/>
      <w:numFmt w:val="lowerRoman"/>
      <w:lvlText w:val="%6."/>
      <w:lvlJc w:val="right"/>
      <w:pPr>
        <w:ind w:left="4974" w:hanging="180"/>
      </w:pPr>
    </w:lvl>
    <w:lvl w:ilvl="6" w:tplc="300A000F" w:tentative="1">
      <w:start w:val="1"/>
      <w:numFmt w:val="decimal"/>
      <w:lvlText w:val="%7."/>
      <w:lvlJc w:val="left"/>
      <w:pPr>
        <w:ind w:left="5694" w:hanging="360"/>
      </w:pPr>
    </w:lvl>
    <w:lvl w:ilvl="7" w:tplc="300A0019" w:tentative="1">
      <w:start w:val="1"/>
      <w:numFmt w:val="lowerLetter"/>
      <w:lvlText w:val="%8."/>
      <w:lvlJc w:val="left"/>
      <w:pPr>
        <w:ind w:left="6414" w:hanging="360"/>
      </w:pPr>
    </w:lvl>
    <w:lvl w:ilvl="8" w:tplc="300A001B" w:tentative="1">
      <w:start w:val="1"/>
      <w:numFmt w:val="lowerRoman"/>
      <w:lvlText w:val="%9."/>
      <w:lvlJc w:val="right"/>
      <w:pPr>
        <w:ind w:left="7134" w:hanging="180"/>
      </w:pPr>
    </w:lvl>
  </w:abstractNum>
  <w:abstractNum w:abstractNumId="2" w15:restartNumberingAfterBreak="0">
    <w:nsid w:val="6AEB0465"/>
    <w:multiLevelType w:val="hybridMultilevel"/>
    <w:tmpl w:val="7BD0432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FBD"/>
    <w:rsid w:val="0001224E"/>
    <w:rsid w:val="00012C54"/>
    <w:rsid w:val="0005776A"/>
    <w:rsid w:val="000605C3"/>
    <w:rsid w:val="00094358"/>
    <w:rsid w:val="00125342"/>
    <w:rsid w:val="00150B5A"/>
    <w:rsid w:val="001577D1"/>
    <w:rsid w:val="00164FF5"/>
    <w:rsid w:val="00167588"/>
    <w:rsid w:val="001B0814"/>
    <w:rsid w:val="00211B3C"/>
    <w:rsid w:val="00216D87"/>
    <w:rsid w:val="00233D37"/>
    <w:rsid w:val="0026513A"/>
    <w:rsid w:val="00295578"/>
    <w:rsid w:val="002B1FDD"/>
    <w:rsid w:val="002B6E83"/>
    <w:rsid w:val="002C139C"/>
    <w:rsid w:val="002D79C6"/>
    <w:rsid w:val="003024DE"/>
    <w:rsid w:val="00317F87"/>
    <w:rsid w:val="003310BE"/>
    <w:rsid w:val="00334E44"/>
    <w:rsid w:val="00341EC9"/>
    <w:rsid w:val="00352641"/>
    <w:rsid w:val="00363271"/>
    <w:rsid w:val="003718FC"/>
    <w:rsid w:val="0037411D"/>
    <w:rsid w:val="003A2531"/>
    <w:rsid w:val="003E4E3F"/>
    <w:rsid w:val="003F379E"/>
    <w:rsid w:val="00413628"/>
    <w:rsid w:val="0041514D"/>
    <w:rsid w:val="00444E6C"/>
    <w:rsid w:val="00446D0B"/>
    <w:rsid w:val="004F082E"/>
    <w:rsid w:val="004F0BB4"/>
    <w:rsid w:val="004F2A5F"/>
    <w:rsid w:val="00504618"/>
    <w:rsid w:val="00520B1A"/>
    <w:rsid w:val="00527CA7"/>
    <w:rsid w:val="005929D5"/>
    <w:rsid w:val="005E3995"/>
    <w:rsid w:val="005F2CB8"/>
    <w:rsid w:val="005F34C5"/>
    <w:rsid w:val="006152DB"/>
    <w:rsid w:val="00615C06"/>
    <w:rsid w:val="0064397A"/>
    <w:rsid w:val="00675330"/>
    <w:rsid w:val="00676DEE"/>
    <w:rsid w:val="006B0CC7"/>
    <w:rsid w:val="006C23D3"/>
    <w:rsid w:val="006C6CAF"/>
    <w:rsid w:val="006D4D31"/>
    <w:rsid w:val="007053CA"/>
    <w:rsid w:val="00721DE6"/>
    <w:rsid w:val="00746ECE"/>
    <w:rsid w:val="00777124"/>
    <w:rsid w:val="00793C36"/>
    <w:rsid w:val="007C2574"/>
    <w:rsid w:val="007D00B4"/>
    <w:rsid w:val="008357F3"/>
    <w:rsid w:val="00840DE1"/>
    <w:rsid w:val="00850699"/>
    <w:rsid w:val="008B73CA"/>
    <w:rsid w:val="008F2285"/>
    <w:rsid w:val="00915E1A"/>
    <w:rsid w:val="00961B08"/>
    <w:rsid w:val="00963D4F"/>
    <w:rsid w:val="00997569"/>
    <w:rsid w:val="009B4B9D"/>
    <w:rsid w:val="009D2564"/>
    <w:rsid w:val="009E570E"/>
    <w:rsid w:val="00A40FBD"/>
    <w:rsid w:val="00A504AC"/>
    <w:rsid w:val="00A75748"/>
    <w:rsid w:val="00AB1576"/>
    <w:rsid w:val="00AB5AA2"/>
    <w:rsid w:val="00AD6463"/>
    <w:rsid w:val="00AE0691"/>
    <w:rsid w:val="00B06FF9"/>
    <w:rsid w:val="00B14547"/>
    <w:rsid w:val="00B21E3F"/>
    <w:rsid w:val="00B234EA"/>
    <w:rsid w:val="00BC687C"/>
    <w:rsid w:val="00C057E2"/>
    <w:rsid w:val="00C20CD1"/>
    <w:rsid w:val="00C21D36"/>
    <w:rsid w:val="00C31876"/>
    <w:rsid w:val="00C31B2B"/>
    <w:rsid w:val="00C3785A"/>
    <w:rsid w:val="00C40989"/>
    <w:rsid w:val="00C44A1B"/>
    <w:rsid w:val="00C80031"/>
    <w:rsid w:val="00CB0175"/>
    <w:rsid w:val="00CB63FE"/>
    <w:rsid w:val="00CC490F"/>
    <w:rsid w:val="00CD66F6"/>
    <w:rsid w:val="00CE2A85"/>
    <w:rsid w:val="00D142DE"/>
    <w:rsid w:val="00D36417"/>
    <w:rsid w:val="00D52EE9"/>
    <w:rsid w:val="00D63B12"/>
    <w:rsid w:val="00D652E0"/>
    <w:rsid w:val="00DB36A4"/>
    <w:rsid w:val="00DF4C4A"/>
    <w:rsid w:val="00DF7F1F"/>
    <w:rsid w:val="00E0220D"/>
    <w:rsid w:val="00E20BF6"/>
    <w:rsid w:val="00E57042"/>
    <w:rsid w:val="00E72E1A"/>
    <w:rsid w:val="00E975C1"/>
    <w:rsid w:val="00EC399C"/>
    <w:rsid w:val="00F36A26"/>
    <w:rsid w:val="00F41CC1"/>
    <w:rsid w:val="00F56FED"/>
    <w:rsid w:val="00F96D37"/>
    <w:rsid w:val="00FC4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C2E7D0"/>
  <w15:docId w15:val="{4CBB9D02-FD0A-4C0B-A8CB-74B5EA97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55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F2CB8"/>
    <w:pPr>
      <w:keepNext/>
      <w:spacing w:before="240" w:after="60"/>
      <w:outlineLvl w:val="0"/>
    </w:pPr>
    <w:rPr>
      <w:rFonts w:ascii="Futura Bk" w:eastAsia="Calibri" w:hAnsi="Futura Bk"/>
      <w:b/>
      <w:sz w:val="28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0F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40FBD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A40F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FBD"/>
    <w:rPr>
      <w:lang w:val="es-EC"/>
    </w:rPr>
  </w:style>
  <w:style w:type="paragraph" w:styleId="Prrafodelista">
    <w:name w:val="List Paragraph"/>
    <w:basedOn w:val="Normal"/>
    <w:uiPriority w:val="34"/>
    <w:qFormat/>
    <w:rsid w:val="00A40FBD"/>
    <w:pPr>
      <w:ind w:left="708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136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13628"/>
    <w:rPr>
      <w:rFonts w:ascii="Tahoma" w:eastAsia="Times New Roman" w:hAnsi="Tahoma" w:cs="Tahoma"/>
      <w:sz w:val="16"/>
      <w:szCs w:val="16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C057E2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C057E2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C057E2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TextocomentarioCar1">
    <w:name w:val="Texto comentario Car1"/>
    <w:basedOn w:val="Fuentedeprrafopredeter"/>
    <w:uiPriority w:val="99"/>
    <w:semiHidden/>
    <w:rsid w:val="00C057E2"/>
    <w:rPr>
      <w:rFonts w:ascii="Times New Roman" w:eastAsia="Times New Roman" w:hAnsi="Times New Roman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59"/>
    <w:rsid w:val="00C31B2B"/>
    <w:pPr>
      <w:spacing w:after="0" w:line="240" w:lineRule="auto"/>
    </w:pPr>
    <w:rPr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qFormat/>
    <w:rsid w:val="005F2CB8"/>
    <w:rPr>
      <w:rFonts w:ascii="Futura Bk" w:eastAsia="Calibri" w:hAnsi="Futura Bk" w:cs="Times New Roman"/>
      <w:b/>
      <w:sz w:val="28"/>
      <w:szCs w:val="20"/>
      <w:lang w:val="en-US"/>
    </w:rPr>
  </w:style>
  <w:style w:type="paragraph" w:customStyle="1" w:styleId="Standard">
    <w:name w:val="Standard"/>
    <w:rsid w:val="006D4D31"/>
    <w:pPr>
      <w:suppressAutoHyphens/>
      <w:autoSpaceDN w:val="0"/>
      <w:spacing w:after="0" w:line="240" w:lineRule="auto"/>
      <w:textAlignment w:val="baseline"/>
    </w:pPr>
    <w:rPr>
      <w:rFonts w:ascii="Liberation Serif" w:eastAsia="Source Han Sans CN Regular" w:hAnsi="Liberation Serif" w:cs="Lohit Devanagari"/>
      <w:kern w:val="3"/>
      <w:sz w:val="24"/>
      <w:szCs w:val="24"/>
      <w:lang w:val="es-EC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14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96A07E-3B31-48CA-991F-8F339ECDA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198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Informe Vulnerabilidades AOCR Formato Institucional.docx</dc:title>
  <dc:creator>Dirección de Tecnologías de Información y Comunicación</dc:creator>
  <cp:lastModifiedBy>Dirección de Tecnologías de Información y Comunicación</cp:lastModifiedBy>
  <cp:revision>23</cp:revision>
  <cp:lastPrinted>2021-06-05T16:51:00Z</cp:lastPrinted>
  <dcterms:created xsi:type="dcterms:W3CDTF">2023-10-17T18:37:00Z</dcterms:created>
  <dcterms:modified xsi:type="dcterms:W3CDTF">2024-06-05T21:33:00Z</dcterms:modified>
  <dc:subject>Sistema AOCR – Dirección General de Aviación Civil</dc:subject>
  <dc:description>Actualizado desde fix/cierre-flujo-aocr, commit bd24c082cf38f4dec5471ff665abf269421020d8, corte 2026-10-26.</dc:description>
</cp:coreProperties>
</file>