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580" w:rsidRDefault="003E6ACA">
      <w:pPr>
        <w:spacing w:after="40"/>
        <w:jc w:val="center"/>
      </w:pPr>
      <w:bookmarkStart w:id="0" w:name="_GoBack"/>
      <w:bookmarkEnd w:id="0"/>
      <w:r>
        <w:rPr>
          <w:b/>
          <w:sz w:val="24"/>
        </w:rPr>
        <w:t>REQUERIMIENTO FUNCIONAL DETALLADO</w:t>
      </w:r>
    </w:p>
    <w:p w:rsidR="00D83580" w:rsidRDefault="003E6ACA">
      <w:pPr>
        <w:spacing w:after="40"/>
        <w:jc w:val="center"/>
      </w:pPr>
      <w:r>
        <w:rPr>
          <w:b/>
          <w:sz w:val="20"/>
        </w:rPr>
        <w:t>Reestructuración integral del flujo documental, operativo y de navegación del Sistema AOCR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76"/>
        <w:gridCol w:w="2577"/>
        <w:gridCol w:w="2578"/>
        <w:gridCol w:w="2578"/>
      </w:tblGrid>
      <w:tr w:rsidR="00D83580">
        <w:trPr>
          <w:jc w:val="center"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FECHA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 w:rsidP="00354EC4">
            <w:r>
              <w:rPr>
                <w:sz w:val="15"/>
              </w:rPr>
              <w:t>2026/0</w:t>
            </w:r>
            <w:r w:rsidR="00354EC4">
              <w:rPr>
                <w:sz w:val="15"/>
              </w:rPr>
              <w:t>7/07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CÓDIGO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TIC-PROY-2026-RF-001</w:t>
            </w:r>
          </w:p>
        </w:tc>
      </w:tr>
      <w:tr w:rsidR="00D83580">
        <w:trPr>
          <w:jc w:val="center"/>
        </w:trPr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UNIDAD REQUIRENTE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Dirección de Certificación Aeronáutica y Vigilancia Continua / Coordinación AOCR – DGAC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REQUERIMIENTO ASOCIADO</w:t>
            </w:r>
          </w:p>
        </w:tc>
        <w:tc>
          <w:tcPr>
            <w:tcW w:w="2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Sistema AOCR – módulos Orden de Recaudación, Solicitud AOCR, Revisión Documental, Inspecciones, Informe Técnico, AOCR/Condiciones, Notificaciones y Navegación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TEMA DEL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Reestructuración integral y sincronización funcional del flujo AOCR: carga documental, asignación Coordinador-Inspector, revisión documental, subsanaciones, orden de recaudación INSPECCION_EXT, AOCR/Condiciones, firmas, bandejas, notificaciones y sidebar profesional.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TIPO DE REQUERIMIENTO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( ) Nuevo Sistema / Componente / Módulo     (X) Cambio Sistema / Componente / Módulo Existente     ( ) Soporte procesamiento de datos     ( ) Nuevo / Cambio a Reporte     (X) Proceso informático online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PRIORIDAD INSTITUCIONAL / IMPACTO INSTITUCIONAL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Prioridad: (X) Alta  ( ) Normal  ( ) Menor      Impacto: (X) Alto  ( ) Medio  ( ) Bajo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OBJETIVO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Implementar y corregir el flujo AOCR para que el sistema gestione de forma unificada, trazable y segura la documentación cargada por el RT, la asignación y revisión por Inspector, la aceptación formal del Coordinador, la generación/firma de AOCR y Condiciones, las notificaciones y la navegación institucional, evitando pérdida de trámites, estados contradictorios y acciones no autorizadas.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BASE LEGAL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Código Aeronáutico, Art. 110. Resolución 066-2010 de 01 de julio de 2010, Art. 14, numerales 5 y 6, respecto a interrupción del proceso y costos por traslado, alojamiento y viáticos de inspectores. Procedimiento institucional AOCR y normativa interna de la Dirección General de Aviación Civil. Los fundamentos específicos adicionales deberán ser validados por el área jurídica/requirente.</w:t>
            </w:r>
          </w:p>
        </w:tc>
      </w:tr>
      <w:tr w:rsidR="00D83580">
        <w:trPr>
          <w:jc w:val="center"/>
        </w:trPr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JUSTIFICACIÓN DEL REQUERIMIENTO FUNCIONAL</w:t>
            </w:r>
          </w:p>
        </w:tc>
        <w:tc>
          <w:tcPr>
            <w:tcW w:w="515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requerimiento se realiza porque el flujo actual presenta inconsistencias de visualización, asignación, estados y acciones entre RT, Coordinador, Inspector, DIRDAC y Administrador. Se requiere asegurar que los documentos cargados por el RT aparezcan en la bandeja correcta, que el Coordinador asigne y acepte formalmente, que el Inspector revise sin autorizar formalmente, que las subsanaciones regresen al responsable correcto, que la AOCR y Condiciones se visualicen y firmen correctamente, y que el usuario final pueda navegar el sistema sin confusión.</w:t>
            </w:r>
          </w:p>
        </w:tc>
      </w:tr>
    </w:tbl>
    <w:p w:rsidR="00D83580" w:rsidRDefault="00D83580">
      <w:pPr>
        <w:spacing w:after="40"/>
      </w:pPr>
    </w:p>
    <w:p w:rsidR="00D83580" w:rsidRDefault="003E6ACA">
      <w:pPr>
        <w:spacing w:after="40"/>
      </w:pPr>
      <w:r>
        <w:rPr>
          <w:b/>
          <w:sz w:val="20"/>
        </w:rPr>
        <w:t>ESPECIFICACIÓN FUNCIONAL 1: Flujo documental RT → Coordinador → Inspector → Coordinador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Gestionar el flujo documental de la Solicitud AOCR para que la documentación cargada por el RT llegue primero al Coordinador, sea enviada formalmente al Inspector para revisión técnica y retorne al Coordinador para aceptación formal y autorización de la inspección solicitada.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Coordinador/Jefatura, Inspector/Técnico, Administrador, servicios de notificación y auditoría.</w:t>
            </w:r>
            <w:r>
              <w:rPr>
                <w:sz w:val="16"/>
              </w:rPr>
              <w:br/>
              <w:t>Actores externos: Representante Técnico (RT) del Operador Aéreo Extranjero.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RT debe tener orden/pago o etapa habilitante según el flujo; debe existir solicitud AOCR; los documentos obligatorios deben estar cargados; el Coordinador debe tener permiso para asignar/enviar al Inspector.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Inspector no debe aceptar formalmente ni autorizar la inspección; solo revisa técnicamente. El Coordinador no modifica documentos del RT; solo acepta formalmente, agrega observaciones o devuelve para nueva revisión. No se debe saltar directamente de RT a Inspector sin intervención del Coordinador.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Recibir documentación enviada por el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guardar/enviar la solicitud, el sistema debe marcar la documentación como cargada/completa y colocar el trámite en bandeja del Coordinador. Si faltan documentos obligatorios, debe informar el listado de faltantes y no avanzar.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documentación al Inspector asignado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poder seleccionar o confirmar el Inspector y enviar formalmente el expediente para revisión documental. El sistema debe cambiar el responsable actual al Inspector y registrar historial.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lastRenderedPageBreak/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documentos en bandeja del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bandeja del Inspector debe listar únicamente los expedientes enviados por Coordinador y/o subsanados por RT. No debe depender de LV, Informe Técnico o AOCR para mostrar la revisión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revisión documental técnica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Inspector debe visualizar/descargar cada documento, registrar decisión por documento y observación obligatoria cuando la decisión sea observado/devuelto.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revisión favorable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todos los documentos están aceptados, el Inspector debe enviar el resultado al Coordinador. El sistema debe cambiar el responsable actual al Coordinador y notificar.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Aceptar formalmente documentación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aceptar formalmente la documentación y autorizar la inspección solicitada. Esta acción debe habilitar la siguiente etapa operativa según el flujo.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Gestionar observaciones documentales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el Inspector observa documentos, el sistema debe devolver al RT para subsanación, mantener historial de versiones y bloquear avance hasta que se subsane.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Gestionar subsanación por RT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subsanar, el RT debe cargar nuevas versiones solo de documentos observados; el expediente debe volver al Inspector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trazabilidad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Toda transición debe registrar usuario, rol, estado anterior/nuevo, responsable anterior/nuevo, fecha, documentos afectados y motivo de bloqueo si aplica.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2: Orden de Recaudación y Solicitud de Inspecciones requerida por INSPECCION_EXT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Controlar que, cuando la orden contenga el concepto INSPECCION_EXT, el RT genere, descargue, firme y cargue la Solicitud de Inspecciones antes de poder generar/finalizar la orden y continuar el proceso.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Financiero, Coordinador, Inspector, Administrador, servicio documental.</w:t>
            </w:r>
            <w:r>
              <w:rPr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una orden en borrador con el concepto INSPECCION_EXT; el RT debe ingresar aeropuertos solicitados; debe existir repositorio documental para almacenar PDF generado y PDF firmado.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requisito aplica únicamente al concepto INSPECCION_EXT. Otros conceptos no deben ser bloqueados. Después de generada la orden, la sección debe quedar en solo lectura excepto para ver la solicitud firmada.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Detectar concepto INSPECCION_EXT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agregar o cargar una orden con INSPECCION_EXT, el sistema debe mostrar el panel “Solicitud de Inspecciones requerida”.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Generar documento PDF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sistema debe generar el PDF con el texto institucional de Solicitud de Inspecciones, Art. 110 del Código Aeronáutico y condiciones de Resolución 066-2010, Art. 14.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descarga para firma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Luego de generar el PDF, debe habilitar la descarga para que el RT firme externamente el documento.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Permitir carga del documento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sistema debe permitir subir solo PDF, validar tamaño permitido, almacenar hash, versión, usuario y fecha de carga.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Bloquear generación de orden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falta la Solicitud de Inspecciones firmada, el botón Generar Orden debe permanecer inactivo y el backend debe bloquear cualquier intento por URL directa.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Habilitar generación al cargar firmado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el estado sea CARGADO o VALIDADO y exista archivo físico, el sistema debe habilitar Generar Orden.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Bloquear edición posterior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Una vez generada la orden, el panel debe quedar solo lectura; únicamente debe permanecer activo “Ver Solicitud firmada”.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documento a expediente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documento firmado debe incorporarse al expediente documental y aparecer para revisión del Inspector solo cuando el Coordinador lo envíe/asigne formalmente.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3: Bandeja del Inspector y tabla de revisión documental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9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lastRenderedPageBreak/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Visualizar en la bandeja del Inspector/Técnico los expedientes enviados por Coordinador y permitir revisar todos los documentos cargados o subsanados por el RT en una sola tabla documental.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Inspector/Técnico, Coordinador, Administrador.</w:t>
            </w:r>
            <w:r>
              <w:rPr>
                <w:sz w:val="16"/>
              </w:rPr>
              <w:br/>
              <w:t>Actores externos: RT como origen de documentos.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El Coordinador debe haber enviado/asignado formalmente la documentación al Inspector. Deben existir documentos vigentes asociados a la Solicitud AOCR.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No se deben usar INNER JOIN que oculten solicitudes sin LV, Informe Técnico o AOCR. La revisión documental ocurre antes de estas etapas.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Listar expedientes asignados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bandeja debe filtrar por InspectorAsignado, ResponsableActual=Inspector o estados equivalentes: EN_REVISION_INSPECTOR, SUBSANADA_POR_RT, DOCUMENTACION_SUBSANADA, DEVUELTA_PARA_NUEVA_REVISION.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tabla documental integrada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revisión debe mostrar tipo documental, archivo, versión, fecha, cargado por, estado, visualizar, descargar, decisión, observación y registrar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Ordenar documentos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orden recomendado es: Comprobante de pago; Solicitud de Inspecciones firmada si aplica; Copia AOC; OpSpecs; Manual de operaciones; Permiso de operaciones; Poder representante; Certificado aeronavegabilidad; Certificado de ruido;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Validar decisiones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 permitir finalizar la revisión si existen documentos sin decisión. Observaciones son obligatorias para documentos observados/devueltos.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Enviar resultado al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todo está aceptado, debe habilitar “Enviar revisión documental al Coordinador”.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Devolver al RT por observaciones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existen observaciones, el sistema debe devolver al RT para subsanar y notificarlo.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4: Generación, revisión, firma y consulta de AOCR y Condiciones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5"/>
        <w:gridCol w:w="3436"/>
        <w:gridCol w:w="3438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Asegurar que la ruta satisfactoria del Informe Técnico habilite la generación de AOCR y Condiciones, su revisión por Coordinador, envío a DIRDAC y firma final; además, mostrar correctamente la bandeja “AOCR generadas y firmadas”.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Inspector, Coordinador, DIRDAC/DCAV, Administrador, servicios de PDF y firma.</w:t>
            </w:r>
            <w:r>
              <w:rPr>
                <w:sz w:val="16"/>
              </w:rPr>
              <w:br/>
              <w:t>Actores externos: RT como receptor/consultor de documentos finales.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LV firmada, Informe Técnico firmado por Inspector, resultado técnico SATISFACTORIO y aprobación de Dirección/DIRDAC. No debe existir NC activa.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No habilitar AOCR cuando el Informe Técnico sea insatisfactorio. No excluir registros por falta de PDF final. Estados reales como “AOCR EN ELABORACION” y “AOCR LEGALIZADO” deben mapearse correctamente.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Habilitar AOCR por regla funcional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generación debe depender de Informe Técnico satisfactorio aprobado, estado AOCR y ausencia de NC activa, no únicamente de EstadoInspeccion=ACEPTADA.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Generar AOCR y Condiciones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Inspector debe generar/editar AOCR y Condiciones según plantilla oficial, antes de enviarlas al Coordinador.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Revisar por Coordinador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El Coordinador debe revisar, solicitar modificación al Inspector o aprobar y enviar a DIRDAC. No debe firmar como DIRDAC.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Firmar por DIRDAC/DCAV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DIRDAC/DCAV debe visualizar, observar o firmar AOCR y Condiciones. La descarga final solo debe habilitarse con documentos firmados.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Consultar bandeja consolidada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pantalla AOCR generadas y firmadas debe mostrar AOCR en elaboración, generadas, pendientes de firma, legalizadas, firmadas y finalizadas.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Usar estados equivalentes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Mapear estados: AOCR EN ELABORACION, AOCR LEGALIZADO, ENVIADA_DIRDAC, PENDIENTE_FIRMA_DIRDAC, FIRMADA, FINALIZADA, entre otros.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lastRenderedPageBreak/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Evitar exclusiones por JOIN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La consulta debe usar LEFT JOIN para documentos, firmas, condiciones, usuarios y compañía, para no ocultar trámites incompletos.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5: Notificaciones, correos, auditoría y estados unísonos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7"/>
        <w:gridCol w:w="3436"/>
        <w:gridCol w:w="3436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Enviar notificaciones automáticas a los responsables correctos en cada transición y registrar auditoría completa para evitar pérdida de trazabilidad y duplicidad de correos.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Servicios de correo/cola, Coordinador, Inspector, DIRDAC, Financiero, Administrador.</w:t>
            </w:r>
            <w:r>
              <w:rPr>
                <w:sz w:val="16"/>
              </w:rPr>
              <w:br/>
              <w:t>Actores externos: RT / Solicitante.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configuración de correo o cola de correos activa, usuarios con email registrado y estados definidos o equivalencias centralizadas.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La falla de correo no debe romper el flujo principal; debe quedar en cola o registrar error para reintento. Evitar correos duplicados por cada archivo individual.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documentación cargada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RT enviar documentación completa, notificar al Coordinador. No notificar al Inspector hasta que Coordinador asigne/envíe.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envío al Inspector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Al Coordinador enviar documentación al Inspector, notificar al Inspector asignado que la documentación está lista para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observaciones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Si el Inspector observa documentos, notificar al RT para subsanación con detalle de documentos observados.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subsanación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el RT subsane, notificar al Inspector asignado para nueva revisión.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revisión favorable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el Inspector envíe revisión favorable, notificar al Coordinador para aceptación formal.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Notificar aceptación formal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Cuando Coordinador acepte formalmente, notificar al RT e Inspector que la documentación fue aceptada y la inspección queda autorizada.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auditoría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Registrar cada transición con solicitudId, inspeccionId, documentoId, usuario, rol, estado anterior/nuevo, responsable anterior/nuevo, fecha y motivo.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ESPECIFICACIÓN FUNCIONAL 6: Sidebar profesional con menús principales y submenús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Rediseñar la navegación del sistema AOCR para que el usuario final utilice menús principales, panel secundario de submenús y acciones rápidas legibles, sin perder rutas ni permisos existentes.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Actores internos: Todos los roles del sistema: RT, Financiero, Coordinador, Inspector, DIRDAC/DCAV y Administrador.</w:t>
            </w:r>
            <w:r>
              <w:rPr>
                <w:sz w:val="16"/>
              </w:rPr>
              <w:br/>
              <w:t>Actores externos: No aplica.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Debe existir _Sidebar.cshtml, _Layout.cshtml y rutas GET válidas para cada opción de menú.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68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No enlazar acciones POST ni pantallas que requieren ID específico. No ocultar módulos permitidos por contador cero. En modo reducido no mostrar textos rotos.</w:t>
            </w:r>
          </w:p>
        </w:tc>
      </w:tr>
      <w:tr w:rsidR="00D83580">
        <w:trPr>
          <w:jc w:val="center"/>
        </w:trPr>
        <w:tc>
          <w:tcPr>
            <w:tcW w:w="1032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Secuencia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Acción ¿QUÉ DEBE HACER EL SISTEMA?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Crear menús principales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Agrupar la navegación en Inicio, Órdenes y pagos, Solicitud AOCR, Documentos, Inspecciones, Informe Técnico, AOCR y Condiciones, Firmas, Historial y Administración.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Usar submenú secundario sólido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Implementar un panel secundario fijo o portal global para submenús, con fondo institucional sólido y control por clic.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Corregir acciones rápidas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Mostrar acciones rápidas como lista compacta legible de una columna; evitar textos partidos por letras y badges sobrepuestos.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Mantener permisos por 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RT, Inspector, Coordinador, Financiero, DIRDAC y Administrador deben ver solo las opciones que correspondan a su rol, salvo Admin que ve todo.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Validar rutas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Cada enlace debe usar Url.Action con acciones GET existentes. No crear enlaces 404 ni acciones POST como GET.</w:t>
            </w:r>
          </w:p>
        </w:tc>
      </w:tr>
      <w:tr w:rsidR="00D83580">
        <w:trPr>
          <w:jc w:val="center"/>
        </w:trPr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Asegurar responsive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5"/>
              </w:rPr>
              <w:t>En escritorio debe verse como menú principal + panel secundario; en móvil como drawer/accordion sin romper textos.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7: Informe Técnico, rutas satisfactorias e insatisfactorias, NC y autorización AOCR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27"/>
        <w:gridCol w:w="2961"/>
        <w:gridCol w:w="5421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lastRenderedPageBreak/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Controlar el flujo posterior a la LV firmada y al Informe Técnico, diferenciando correctamente el resultado SATISFACTORIO del resultado NO SATISFACTORIO/INSATISFACTORIO. La ruta satisfactoria habilita AOCR y Condiciones y Limitaciones; la ruta insatisfactoria bloquea AOCR directa y obliga a gestionar NC, subsanación o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Actores internos: Inspector/Técnico, Coordinador/Jefatura, DIRDAC/DCAV, Administrador, servicios de PDF, firma, correo y auditoría. Actores externos: RT/Solicitante.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Debe existir solicitud e inspección activa, LV llenada y firmada, Informe Técnico generado y firmado por el Inspector, resultado técnico registrado y usuarios con roles/permisos vigentes.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Un Informe Técnico insatisfactorio no debe habilitar AOCR directa. La opción CON INSPECCIÓN y SIN INSPECCIÓN debe registrarse cuando el resultado sea no satisfactorio. No se debe alterar la estructura del Informe Técnico, AOCR, Condiciones y Limitaciones, NC ni correos institucionales.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Validar LV firmada antes del Informe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 permitir generar/finalizar Informe Técnico si la LV no está completa y firmada. El backend debe bloquear intentos por URL directa.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Generar y firmar Informe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Inspector debe registrar resultado técnico: SATISFACTORIO o NO SATISFACTORIO/INSATISFACTORIO. Si es insatisfactorio, las observaciones o no conformidades son obligatorias.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Evaluar resultado técnico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sistema debe separar resultado técnico de estado del trámite. Resultado SATISFACTORIO habilita ruta AOCR; resultado INSATISFACTORIO habilita ruta NC.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Ruta SATISFACTORIA: habilitar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Con LV firmada, Informe Técnico firmado y resultado SATISFACTORIO, habilitar Generar/Subir AOCR y Condiciones y Limitaciones. Estado sugerido: AOCR_EN_ELABORACION.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Permitir edición de AOCR antes de envío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Inspector puede editar o modificar la AOCR y Condiciones y Limitaciones antes de enviarlas al Coordinador, manteniendo versiones e historial.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Enviar AOCR y Condiciones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Al enviar, cambiar responsable al Coordinador y estado a AOCR_EN_REVISION_COORDINADOR. Notificar al Coordinador.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Coordinador revisa AOCR/Condiciones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Coordinador puede aprobar y enviar a DIRDAC o devolver al Inspector con observaciones obligatorias. No debe firmar como DIRDAC.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DIRDAC revisa y firma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DIRDAC/DCAV debe revisar, observar o firmar AOCR y Condiciones y Limitaciones. Al firmar, cambiar estado a AOCR_FIRMADA_DIRDAC/AOCR_LEGALIZADO/FINALIZADA_SATISFACTORIA.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Enviar correo final con adjuntos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Después de la firma DIRDAC, enviar al RT e Inspector los documentos firmados: AOCR y Condiciones y Limitaciones. Adjuntar Informe Técnico/LV solo si el flujo actual lo contempla.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Ruta INSATISFACTORIA: bloquear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Al registrar resultado NO SATISFACTORIO/INSATISFACTORIO, bloquear Subir AOCR, Generar AOCR, Enviar a DIRDAC, Firmar AOCR y descarga final.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Seleccionar tipo: con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Si requiere nueva inspección, comunicar NC al RT, cerrar la ruta actual como PENDIENTE_NUEVA_INSPECCION_RT o FINALIZADA_NO_SATISFACTORIA y permitir iniciar nueva solicitud/inspección según el flujo.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Seleccionar tipo: sin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Si no requiere nueva inspección, comunicar NC al RT, permitir carga de documentación actualizada, devolver al Inspector para revisión de subsanación y mantener AOCR bloqueada hasta aprobación.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Generar y enviar NC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El Inspector genera NC y la envía al Coordinador. El Coordinador revisa; si no está correcta, devuelve al Inspector con observaciones; si acepta, firma/envía NC al RT.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Registrar trazabilidad completa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Cada transición debe registrar solicitudId, inspeccionId, informeId, ncId, usuario, rol, estado anterior/nuevo, responsable, fecha, observación, ruta documental y correo generado.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8: Matriz de estados, permisos y bloqueos críticos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Centralizar los estados funcionales del flujo AOCR para evitar contradicciones entre bandejas, botones, consultas SQL, permisos y notificaciones.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Inspector, Coordinador, DIRDAC/DCAV, RT, Administrador, servicios de auditoría y notificación.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Deben existir equivalencias entre estados reales de base de datos y estados funcionales del requerimiento.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No crear estados duplicados si ya existen equivalentes. No depender únicamente de textos visibles; validar por identificadores o catálogo de estados.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LV_FIRMADA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Permite generar Informe Técnico. No habilita AOCR por sí sola.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INFORME_TECNICO_FIRMADO_SATISFACTORIO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Habilita AOCR_EN_ELABORACION si no existe NC activa y la inspección está vigente.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AOCR_EN_ELABORACION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Inspector puede generar/editar AOCR y Condiciones y Limitaciones. RT no debe modificar estos documentos.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AOCR_EN_REVISION_COORDINADOR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Coordinador revisa; puede aprobar/enviar DIRDAC o devolver con observaciones.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AOCR_OBSERVADA_COORDINADOR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Inspector corrige AOCR/Condiciones. No se puede enviar a DIRDAC hasta corregir y reenviar.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AOCR_ENVIADA_DIRDAC / PENDIENTE_FIRMA_DIRDAC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Solo DIRDAC/DCAV puede revisar, observar o firmar. Coordinador e Inspector no firman en esta etapa.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AOCR_FIRMADA_DIRDAC / AOCR_LEGALIZADO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Habilita descarga final y correo con adjuntos al RT e Inspector. Bloquear edición posterior.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INFORME_TECNICO_INSATISFACTORIO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Bloquea AOCR directa y habilita NC. Debe registrar tipo: CON_INSPECCION o SIN_INSPECCION.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NC_EN_REVISION_COORDINADOR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Coordinador revisa NC. Si devuelve, observación obligatoria; si aprueba, firma/envía al RT.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PENDIENTE_NUEVA_INSPECCION_RT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RT debe iniciar nueva inspección. El flujo actual no puede finalizar como satisfactorio.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lastRenderedPageBreak/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PENDIENTE_SUBSANACION_RT / SUBSANADO_POR_RT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RT carga documentación corregida. Al enviar, notificar al Inspector y cambiar a PENDIENTE_REVISION_INSPECTOR.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FINALIZADA_SATISFACTORIA / FINALIZADA_NO_SATISFACTORIA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Estados de cierre. Deben impedir edición, duplicidad de firma, generación duplicada y cambios sin reapertura formal.</w:t>
            </w:r>
          </w:p>
        </w:tc>
      </w:tr>
    </w:tbl>
    <w:p w:rsidR="00D83580" w:rsidRDefault="003E6ACA">
      <w:pPr>
        <w:jc w:val="left"/>
      </w:pPr>
      <w:r>
        <w:rPr>
          <w:b/>
          <w:sz w:val="20"/>
        </w:rPr>
        <w:t>ESPECIFICACIÓN FUNCIONAL 9: Notificaciones específicas, correos y pruebas de aceptación del flujo de Informe Técnico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54"/>
        <w:gridCol w:w="3515"/>
        <w:gridCol w:w="4535"/>
      </w:tblGrid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Descripción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Asegurar que las notificaciones del Informe Técnico, AOCR, Condiciones y Limitaciones y NC lleguen al responsable correcto, evitando duplicados y conservando la plantilla institucional de correo.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Actores/Roles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Servicios de correo/cola, Inspector, Coordinador, DIRDAC/DCAV, RT, Administrador.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Precondiciones / Prerrequisitos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Debe existir email registrado de usuarios, cola de correos activa y documentos generados en rutas accesibles.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Restricciones</w:t>
            </w:r>
          </w:p>
        </w:tc>
        <w:tc>
          <w:tcPr>
            <w:tcW w:w="8050" w:type="dxa"/>
            <w:gridSpan w:val="2"/>
          </w:tcPr>
          <w:p w:rsidR="00D83580" w:rsidRDefault="003E6ACA">
            <w:r>
              <w:rPr>
                <w:sz w:val="15"/>
              </w:rPr>
              <w:t>La falla del correo no debe romper el flujo principal; debe quedar en cola o error reintentable. No cambiar encabezado, pie, diseño ni estructura de los correos existentes.</w:t>
            </w:r>
          </w:p>
        </w:tc>
      </w:tr>
      <w:tr w:rsidR="00D83580">
        <w:trPr>
          <w:jc w:val="center"/>
        </w:trPr>
        <w:tc>
          <w:tcPr>
            <w:tcW w:w="10204" w:type="dxa"/>
            <w:gridSpan w:val="3"/>
            <w:shd w:val="clear" w:color="auto" w:fill="D9D9D9"/>
          </w:tcPr>
          <w:p w:rsidR="00D83580" w:rsidRDefault="003E6ACA">
            <w:pPr>
              <w:jc w:val="center"/>
            </w:pPr>
            <w:r>
              <w:rPr>
                <w:b/>
                <w:sz w:val="15"/>
              </w:rPr>
              <w:t>DETALLE</w:t>
            </w:r>
          </w:p>
        </w:tc>
      </w:tr>
      <w:tr w:rsidR="00D83580">
        <w:trPr>
          <w:jc w:val="center"/>
        </w:trPr>
        <w:tc>
          <w:tcPr>
            <w:tcW w:w="2154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Secuencia</w:t>
            </w:r>
          </w:p>
        </w:tc>
        <w:tc>
          <w:tcPr>
            <w:tcW w:w="351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Acción ¿QUÉ DEBE HACER EL SISTEMA?</w:t>
            </w:r>
          </w:p>
        </w:tc>
        <w:tc>
          <w:tcPr>
            <w:tcW w:w="4535" w:type="dxa"/>
            <w:shd w:val="clear" w:color="auto" w:fill="E6E6E6"/>
          </w:tcPr>
          <w:p w:rsidR="00D83580" w:rsidRDefault="003E6ACA">
            <w:pPr>
              <w:jc w:val="center"/>
            </w:pPr>
            <w:r>
              <w:rPr>
                <w:b/>
                <w:sz w:val="14"/>
              </w:rPr>
              <w:t>Requerimiento / Validaciones / Mensajes / Controles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 Técnico satisfactorio firmado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que puede generar/subir AOCR y Condiciones. Registrar estado y fecha de firma.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AOCR enviada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Coordinador que tiene AOCR y Condiciones pendientes de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Coordinador devuelve AOCR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con observaciones obligatorias para corrección.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Coordinador aprueba y envía a DIRDAC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 DIRDAC/DCAV que tiene AOCR y Condiciones pendientes de revisión y firma.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DIRDAC firma AOCR/Condiciones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Enviar correo final al RT e Inspector con AOCR y Condiciones firmadas. Registrar adjuntos y destinatarios.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Informe Técnico insatisfactorio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Inspector/Coordinador que debe gestionarse NC y bloquear AOCR directa.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 enviada al Coordinador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Coordinador que tiene NC pendiente de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NC aprobada y enviada al RT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RT con la NC firmada y las instrucciones según CON INSPECCIÓN o SIN INSPECCIÓN.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RT subsana documentación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Notificar al Inspector asignado que existen documentos actualizados para revisión.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satisfactoria completa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LV firmada → Informe Técnico SATISFACTORIO → AOCR/Condiciones → Coordinador → DIRDAC → firma → correo con adjuntos → descarga final.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insatisfactoria con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Informe Técnico INSATISFACTORIO → AOCR bloqueada → NC → Coordinador → RT → nueva inspección.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insatisfactoria sin inspección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Informe Técnico INSATISFACTORIO → AOCR bloqueada → NC → RT subsana → Inspector revisa → continúa o devuelve observaciones.</w:t>
            </w:r>
          </w:p>
        </w:tc>
      </w:tr>
      <w:tr w:rsidR="00D83580">
        <w:trPr>
          <w:jc w:val="center"/>
        </w:trPr>
        <w:tc>
          <w:tcPr>
            <w:tcW w:w="2154" w:type="dxa"/>
          </w:tcPr>
          <w:p w:rsidR="00D83580" w:rsidRDefault="003E6AC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515" w:type="dxa"/>
          </w:tcPr>
          <w:p w:rsidR="00D83580" w:rsidRDefault="003E6ACA">
            <w:r>
              <w:rPr>
                <w:sz w:val="14"/>
              </w:rPr>
              <w:t>Prueba de seguridad backend</w:t>
            </w:r>
          </w:p>
        </w:tc>
        <w:tc>
          <w:tcPr>
            <w:tcW w:w="4535" w:type="dxa"/>
          </w:tcPr>
          <w:p w:rsidR="00D83580" w:rsidRDefault="003E6ACA">
            <w:r>
              <w:rPr>
                <w:sz w:val="14"/>
              </w:rPr>
              <w:t>Intentar generar AOCR por URL con Informe Técnico insatisfactorio, sin firma, sin aprobación de Coordinador o sin firma DIRDAC. El backend debe bloquear.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GLOSARIO DE TÉRMINOS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154"/>
        <w:gridCol w:w="5155"/>
      </w:tblGrid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6"/>
              </w:rPr>
              <w:t>Término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r>
              <w:rPr>
                <w:b/>
                <w:sz w:val="16"/>
              </w:rPr>
              <w:t>Definición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AOCR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Reconocimiento de Certificado de Explotador de Servicios Aéreos.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Representante Técnico del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LV/EAE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Lista de Verificación aplicada al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DIRDAC/DCAV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Autoridad responsable de revisión/firma según el flujo institucional.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INSPECCION_EXT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Concepto de Orden de Recaudación: Inspección requerida por el Operador Aéreo Extranjero.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Revisión documental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Actividad técnica del Inspector para aceptar u observar documentos cargados por el RT.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Aceptación formal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Decisión del Coordinador para aceptar documentación y autorizar la inspección solicitada.</w:t>
            </w:r>
          </w:p>
        </w:tc>
      </w:tr>
      <w:tr w:rsidR="00D83580"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Subsanación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Carga de nueva versión documental por parte del RT para corregir observaciones.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Informe Técnico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Documento técnico emitido por el Inspector después de la LV, con resultado SATISFACTORIO o INSATISFACTORIO.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NC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No Conformidad generada cuando el resultado del Informe Técnico es no satisfactorio o existen incumplimientos a comunicar al RT.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Condiciones y Limitaciones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Documento asociado a la AOCR que establece condiciones operacionales y limitaciones aprobadas para el operador.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Con inspección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Ruta insatisfactoria que requiere comunicar NC al RT y solicitar una nueva inspección para continuar el proceso.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Sin inspección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Ruta insatisfactoria que permite subsanación documental por el RT y revisión posterior del Inspector sin nueva inspección inmediata.</w:t>
            </w:r>
          </w:p>
        </w:tc>
      </w:tr>
      <w:tr w:rsidR="00D83580">
        <w:tc>
          <w:tcPr>
            <w:tcW w:w="5159" w:type="dxa"/>
            <w:shd w:val="clear" w:color="auto" w:fill="D9D9D9"/>
          </w:tcPr>
          <w:p w:rsidR="00D83580" w:rsidRDefault="003E6ACA">
            <w:r>
              <w:rPr>
                <w:b/>
                <w:sz w:val="15"/>
              </w:rPr>
              <w:t>AOCR legalizado</w:t>
            </w:r>
          </w:p>
        </w:tc>
        <w:tc>
          <w:tcPr>
            <w:tcW w:w="5159" w:type="dxa"/>
          </w:tcPr>
          <w:p w:rsidR="00D83580" w:rsidRDefault="003E6ACA">
            <w:r>
              <w:rPr>
                <w:sz w:val="15"/>
              </w:rPr>
              <w:t>Estado en el que AOCR y Condiciones y Limitaciones han sido firmadas por DIRDAC/DCAV y quedan disponibles para descarga final.</w:t>
            </w:r>
          </w:p>
        </w:tc>
      </w:tr>
    </w:tbl>
    <w:p w:rsidR="00D83580" w:rsidRDefault="003E6ACA">
      <w:pPr>
        <w:spacing w:after="40"/>
      </w:pPr>
      <w:r>
        <w:rPr>
          <w:b/>
          <w:sz w:val="20"/>
        </w:rPr>
        <w:t>ANEXOS</w:t>
      </w:r>
    </w:p>
    <w:p w:rsidR="00D83580" w:rsidRDefault="003E6ACA">
      <w:pPr>
        <w:spacing w:after="40"/>
        <w:ind w:left="283"/>
      </w:pPr>
      <w:r>
        <w:t>• Anexo I – Flujo documental correcto: RT → Coordinador → Inspector → Coordinador → autorización de inspección.</w:t>
      </w:r>
    </w:p>
    <w:p w:rsidR="00D83580" w:rsidRDefault="003E6ACA">
      <w:pPr>
        <w:spacing w:after="40"/>
        <w:ind w:left="283"/>
      </w:pPr>
      <w:r>
        <w:t>• Anexo II – Documento “Solicitud de Inspecciones” generado por INSPECCION_EXT y firmado por el RT.</w:t>
      </w:r>
    </w:p>
    <w:p w:rsidR="00D83580" w:rsidRDefault="003E6ACA">
      <w:pPr>
        <w:spacing w:after="40"/>
        <w:ind w:left="283"/>
      </w:pPr>
      <w:r>
        <w:t>• Anexo III – Matriz de estados y equivalencias para revisión documental, AOCR y firmas.</w:t>
      </w:r>
    </w:p>
    <w:p w:rsidR="00D83580" w:rsidRDefault="003E6ACA">
      <w:pPr>
        <w:spacing w:after="40"/>
        <w:ind w:left="283"/>
      </w:pPr>
      <w:r>
        <w:t>• Anexo IV – Propuesta de sidebar institucional con menús principales, submenús y acciones rápidas.</w:t>
      </w:r>
    </w:p>
    <w:p w:rsidR="00D83580" w:rsidRDefault="003E6ACA">
      <w:r>
        <w:rPr>
          <w:sz w:val="15"/>
        </w:rPr>
        <w:lastRenderedPageBreak/>
        <w:t>• Anexo V – Flujo del Informe Técnico: ruta satisfactoria, ruta insatisfactoria con inspección y ruta insatisfactoria sin inspección.</w:t>
      </w:r>
    </w:p>
    <w:p w:rsidR="00D83580" w:rsidRDefault="003E6ACA">
      <w:r>
        <w:rPr>
          <w:sz w:val="15"/>
        </w:rPr>
        <w:t>• Anexo VI – Matriz de estados, permisos, bloqueos y notificaciones para AOCR, Condiciones y NC.</w:t>
      </w:r>
    </w:p>
    <w:p w:rsidR="00D83580" w:rsidRDefault="003E6ACA">
      <w:r>
        <w:rPr>
          <w:sz w:val="15"/>
        </w:rPr>
        <w:t>• Anexo VII – Checklist de pruebas funcionales y seguridad backend/frontend del flujo de Informe Técnico.</w:t>
      </w:r>
    </w:p>
    <w:p w:rsidR="00D83580" w:rsidRDefault="003E6ACA">
      <w:pPr>
        <w:spacing w:after="40"/>
      </w:pPr>
      <w:r>
        <w:rPr>
          <w:b/>
          <w:sz w:val="20"/>
        </w:rPr>
        <w:t>APROBACIÓN DEL DOCUMENTO</w:t>
      </w:r>
    </w:p>
    <w:p w:rsidR="00D83580" w:rsidRDefault="003E6ACA">
      <w:pPr>
        <w:spacing w:after="40"/>
      </w:pPr>
      <w:r>
        <w:t>Suscriben el presente documento en tres ejemplares: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36"/>
        <w:gridCol w:w="3437"/>
        <w:gridCol w:w="3436"/>
      </w:tblGrid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Rol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Nombre / Cargo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:rsidR="00D83580" w:rsidRDefault="003E6ACA">
            <w:pPr>
              <w:jc w:val="center"/>
            </w:pPr>
            <w:r>
              <w:rPr>
                <w:b/>
                <w:sz w:val="16"/>
              </w:rPr>
              <w:t>Firma / Fecha</w:t>
            </w:r>
          </w:p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Elaborado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German Cajas</w:t>
            </w:r>
            <w:r>
              <w:rPr>
                <w:sz w:val="16"/>
              </w:rPr>
              <w:br/>
              <w:t>Área de Desarrollo / DGAC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Revisado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Responsable funcional del área requirente / Coordinación AOCR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  <w:tr w:rsidR="00D83580"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b/>
                <w:sz w:val="16"/>
              </w:rPr>
              <w:t>Aprobado por: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3E6ACA">
            <w:r>
              <w:rPr>
                <w:sz w:val="16"/>
              </w:rPr>
              <w:t>Autoridad del área requirente / Dirección correspondiente</w:t>
            </w:r>
            <w:r>
              <w:rPr>
                <w:sz w:val="16"/>
              </w:rPr>
              <w:br/>
              <w:t>Cargo: Por confirmar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83580" w:rsidRDefault="00D83580"/>
        </w:tc>
      </w:tr>
    </w:tbl>
    <w:p w:rsidR="00354EC4" w:rsidRDefault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Pr="00354EC4" w:rsidRDefault="00354EC4" w:rsidP="00354EC4"/>
    <w:p w:rsidR="00354EC4" w:rsidRDefault="00354EC4" w:rsidP="00354EC4"/>
    <w:p w:rsidR="003E6ACA" w:rsidRPr="00354EC4" w:rsidRDefault="00354EC4" w:rsidP="00354EC4">
      <w:pPr>
        <w:tabs>
          <w:tab w:val="left" w:pos="1605"/>
        </w:tabs>
      </w:pP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D-4807 C326052615290_page-00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D-4807 C326052615290_page-000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D-4807 C326052615290_page-00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D-4807 C326052615290_page-00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D-4807 C326052615290_page-00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D-4807 C326052615290_page-00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D-4807 C326052615290_page-00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C"/>
        </w:rPr>
        <w:lastRenderedPageBreak/>
        <w:drawing>
          <wp:inline distT="0" distB="0" distL="0" distR="0">
            <wp:extent cx="6552565" cy="9262745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D-4807 C326052615290_page-00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CA" w:rsidRPr="00354EC4" w:rsidSect="00A81D39">
      <w:headerReference w:type="default" r:id="rId16"/>
      <w:footerReference w:type="default" r:id="rId17"/>
      <w:pgSz w:w="11907" w:h="16839" w:code="9"/>
      <w:pgMar w:top="907" w:right="794" w:bottom="794" w:left="794" w:header="1021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D82" w:rsidRDefault="003B1D82" w:rsidP="00F34259">
      <w:r>
        <w:separator/>
      </w:r>
    </w:p>
  </w:endnote>
  <w:endnote w:type="continuationSeparator" w:id="0">
    <w:p w:rsidR="003B1D82" w:rsidRDefault="003B1D82" w:rsidP="00F3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611" w:rsidRDefault="00181611" w:rsidP="00174D88">
    <w:pPr>
      <w:pStyle w:val="Piedepgina"/>
      <w:jc w:val="cen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551"/>
      <w:gridCol w:w="2551"/>
      <w:gridCol w:w="2551"/>
      <w:gridCol w:w="2551"/>
    </w:tblGrid>
    <w:tr w:rsidR="00D83580">
      <w:trPr>
        <w:jc w:val="center"/>
      </w:trPr>
      <w:tc>
        <w:tcPr>
          <w:tcW w:w="10204" w:type="dxa"/>
          <w:gridSpan w:val="4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shd w:val="clear" w:color="auto" w:fill="D9D9D9"/>
          <w:vAlign w:val="center"/>
        </w:tcPr>
        <w:p w:rsidR="00D83580" w:rsidRDefault="003E6ACA">
          <w:pPr>
            <w:jc w:val="center"/>
          </w:pPr>
          <w:r>
            <w:rPr>
              <w:b/>
              <w:sz w:val="12"/>
            </w:rPr>
            <w:t>DOCUMENTACIÓN DE LA DIRECCIÓN DE DESARROLLO Y PROYECTOS DE TI</w:t>
          </w:r>
        </w:p>
      </w:tc>
    </w:tr>
    <w:tr w:rsidR="00D83580">
      <w:trPr>
        <w:jc w:val="center"/>
      </w:trPr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Fecha de desarrollo: may-26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Responsable de revisión: DSPC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Código del documento: PC-CGTIC.DDPTI.1.1-F.01</w:t>
          </w:r>
        </w:p>
      </w:tc>
      <w:tc>
        <w:tcPr>
          <w:tcW w:w="2551" w:type="dxa"/>
          <w:tc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tcBorders>
          <w:vAlign w:val="center"/>
        </w:tcPr>
        <w:p w:rsidR="00D83580" w:rsidRDefault="003E6ACA">
          <w:pPr>
            <w:jc w:val="center"/>
          </w:pPr>
          <w:r>
            <w:rPr>
              <w:sz w:val="11"/>
            </w:rPr>
            <w:t>Versión: 1.1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D82" w:rsidRDefault="003B1D82" w:rsidP="00F34259">
      <w:r>
        <w:separator/>
      </w:r>
    </w:p>
  </w:footnote>
  <w:footnote w:type="continuationSeparator" w:id="0">
    <w:p w:rsidR="003B1D82" w:rsidRDefault="003B1D82" w:rsidP="00F342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23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85"/>
      <w:gridCol w:w="3969"/>
      <w:gridCol w:w="862"/>
      <w:gridCol w:w="1407"/>
    </w:tblGrid>
    <w:tr w:rsidR="00944FB1" w:rsidRPr="00704832" w:rsidTr="003A3DF5">
      <w:trPr>
        <w:trHeight w:val="425"/>
      </w:trPr>
      <w:tc>
        <w:tcPr>
          <w:tcW w:w="2477" w:type="dxa"/>
          <w:vMerge w:val="restart"/>
          <w:shd w:val="clear" w:color="auto" w:fill="auto"/>
          <w:noWrap/>
          <w:vAlign w:val="center"/>
          <w:hideMark/>
        </w:tcPr>
        <w:p w:rsidR="00355AAA" w:rsidRPr="00704832" w:rsidRDefault="004F7D1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  <w:r>
            <w:rPr>
              <w:rFonts w:ascii="Calibri" w:eastAsia="Times New Roman" w:hAnsi="Calibri" w:cs="Calibri"/>
              <w:noProof/>
              <w:color w:val="000000" w:themeColor="text1"/>
              <w:sz w:val="22"/>
              <w:lang w:eastAsia="es-EC"/>
            </w:rPr>
            <w:drawing>
              <wp:anchor distT="0" distB="0" distL="114300" distR="114300" simplePos="0" relativeHeight="251659264" behindDoc="1" locked="0" layoutInCell="1" allowOverlap="1" wp14:anchorId="7B92EF49" wp14:editId="7165B6C1">
                <wp:simplePos x="0" y="0"/>
                <wp:positionH relativeFrom="column">
                  <wp:posOffset>370205</wp:posOffset>
                </wp:positionH>
                <wp:positionV relativeFrom="paragraph">
                  <wp:posOffset>-7620</wp:posOffset>
                </wp:positionV>
                <wp:extent cx="1270635" cy="657225"/>
                <wp:effectExtent l="0" t="0" r="0" b="0"/>
                <wp:wrapTight wrapText="bothSides">
                  <wp:wrapPolygon edited="0">
                    <wp:start x="1943" y="0"/>
                    <wp:lineTo x="648" y="1878"/>
                    <wp:lineTo x="1295" y="15026"/>
                    <wp:lineTo x="2591" y="19409"/>
                    <wp:lineTo x="3886" y="20661"/>
                    <wp:lineTo x="6801" y="20661"/>
                    <wp:lineTo x="19754" y="16278"/>
                    <wp:lineTo x="20726" y="13774"/>
                    <wp:lineTo x="19106" y="10017"/>
                    <wp:lineTo x="8744" y="0"/>
                    <wp:lineTo x="1943" y="0"/>
                  </wp:wrapPolygon>
                </wp:wrapTight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escud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63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Calibri" w:eastAsia="Times New Roman" w:hAnsi="Calibri" w:cs="Calibri"/>
              <w:noProof/>
              <w:color w:val="000000" w:themeColor="text1"/>
              <w:sz w:val="22"/>
              <w:lang w:eastAsia="es-EC"/>
            </w:rPr>
            <w:drawing>
              <wp:anchor distT="0" distB="0" distL="114300" distR="114300" simplePos="0" relativeHeight="251658240" behindDoc="1" locked="0" layoutInCell="1" allowOverlap="1" wp14:anchorId="2CF85B8F" wp14:editId="4B943EAC">
                <wp:simplePos x="0" y="0"/>
                <wp:positionH relativeFrom="column">
                  <wp:posOffset>1270</wp:posOffset>
                </wp:positionH>
                <wp:positionV relativeFrom="paragraph">
                  <wp:posOffset>567690</wp:posOffset>
                </wp:positionV>
                <wp:extent cx="1933575" cy="351790"/>
                <wp:effectExtent l="0" t="0" r="0" b="0"/>
                <wp:wrapTight wrapText="bothSides">
                  <wp:wrapPolygon edited="0">
                    <wp:start x="1277" y="4679"/>
                    <wp:lineTo x="1277" y="15206"/>
                    <wp:lineTo x="21068" y="15206"/>
                    <wp:lineTo x="20855" y="4679"/>
                    <wp:lineTo x="1277" y="4679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GCA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351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  <w:shd w:val="clear" w:color="auto" w:fill="auto"/>
          <w:vAlign w:val="center"/>
          <w:hideMark/>
        </w:tcPr>
        <w:p w:rsidR="000A2976" w:rsidRPr="000A2976" w:rsidRDefault="004F7D1A" w:rsidP="000A2976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Dirección General de Aviación Civil</w:t>
          </w:r>
        </w:p>
      </w:tc>
      <w:tc>
        <w:tcPr>
          <w:tcW w:w="1001" w:type="dxa"/>
          <w:vAlign w:val="center"/>
        </w:tcPr>
        <w:p w:rsidR="00355AAA" w:rsidRPr="00986FFC" w:rsidRDefault="00355AAA" w:rsidP="00AC1FA7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VERSIÓN: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6"/>
            </w:rPr>
            <w:t>1.1</w:t>
          </w:r>
        </w:p>
      </w:tc>
    </w:tr>
    <w:tr w:rsidR="00944FB1" w:rsidRPr="00704832" w:rsidTr="003A3DF5">
      <w:trPr>
        <w:trHeight w:val="617"/>
      </w:trPr>
      <w:tc>
        <w:tcPr>
          <w:tcW w:w="2477" w:type="dxa"/>
          <w:vMerge/>
          <w:shd w:val="clear" w:color="auto" w:fill="auto"/>
          <w:vAlign w:val="center"/>
        </w:tcPr>
        <w:p w:rsidR="00355AAA" w:rsidRPr="00704832" w:rsidRDefault="00355AA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</w:p>
      </w:tc>
      <w:tc>
        <w:tcPr>
          <w:tcW w:w="3969" w:type="dxa"/>
          <w:shd w:val="clear" w:color="auto" w:fill="auto"/>
          <w:noWrap/>
          <w:vAlign w:val="center"/>
        </w:tcPr>
        <w:p w:rsidR="00355AAA" w:rsidRPr="00986FFC" w:rsidRDefault="004F7D1A" w:rsidP="00FD056F">
          <w:pPr>
            <w:jc w:val="center"/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</w:pPr>
          <w:r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Dirección</w:t>
          </w:r>
          <w:r w:rsidR="00355AAA"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 xml:space="preserve"> de Tecnologías de Información y Comunicación</w:t>
          </w:r>
        </w:p>
      </w:tc>
      <w:tc>
        <w:tcPr>
          <w:tcW w:w="1001" w:type="dxa"/>
          <w:vAlign w:val="center"/>
        </w:tcPr>
        <w:p w:rsidR="00355AAA" w:rsidRPr="00986FFC" w:rsidRDefault="00355AAA" w:rsidP="00FD056F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CÓDIGO: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4"/>
            </w:rPr>
            <w:t>PC-CGTIC.DDPTI.1.1-F.01</w:t>
          </w:r>
        </w:p>
      </w:tc>
    </w:tr>
    <w:tr w:rsidR="00944FB1" w:rsidRPr="00704832" w:rsidTr="003A3DF5">
      <w:trPr>
        <w:trHeight w:val="387"/>
      </w:trPr>
      <w:tc>
        <w:tcPr>
          <w:tcW w:w="2477" w:type="dxa"/>
          <w:vMerge/>
          <w:shd w:val="clear" w:color="auto" w:fill="auto"/>
          <w:vAlign w:val="center"/>
          <w:hideMark/>
        </w:tcPr>
        <w:p w:rsidR="00355AAA" w:rsidRPr="00704832" w:rsidRDefault="00355AAA" w:rsidP="00355AAA">
          <w:pPr>
            <w:jc w:val="center"/>
            <w:rPr>
              <w:rFonts w:ascii="Calibri" w:eastAsia="Times New Roman" w:hAnsi="Calibri" w:cs="Calibri"/>
              <w:color w:val="000000" w:themeColor="text1"/>
              <w:sz w:val="22"/>
              <w:lang w:eastAsia="es-EC"/>
            </w:rPr>
          </w:pPr>
        </w:p>
      </w:tc>
      <w:tc>
        <w:tcPr>
          <w:tcW w:w="3969" w:type="dxa"/>
          <w:shd w:val="clear" w:color="auto" w:fill="auto"/>
          <w:noWrap/>
          <w:vAlign w:val="center"/>
          <w:hideMark/>
        </w:tcPr>
        <w:p w:rsidR="00355AAA" w:rsidRPr="00986FFC" w:rsidRDefault="00355AAA" w:rsidP="00FD056F">
          <w:pPr>
            <w:jc w:val="center"/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eastAsia="Times New Roman" w:hAnsiTheme="minorHAnsi" w:cs="Calibri"/>
              <w:bCs/>
              <w:color w:val="000000" w:themeColor="text1"/>
              <w:lang w:eastAsia="es-EC"/>
            </w:rPr>
            <w:t>REQUERIMIENTO FUNCIONAL DETALLADO</w:t>
          </w:r>
        </w:p>
      </w:tc>
      <w:tc>
        <w:tcPr>
          <w:tcW w:w="1001" w:type="dxa"/>
          <w:vAlign w:val="center"/>
        </w:tcPr>
        <w:p w:rsidR="00355AAA" w:rsidRPr="00986FFC" w:rsidRDefault="00355AAA" w:rsidP="00FD056F">
          <w:pPr>
            <w:jc w:val="center"/>
            <w:rPr>
              <w:rFonts w:asciiTheme="minorHAnsi" w:hAnsiTheme="minorHAnsi" w:cs="Calibri"/>
              <w:bCs/>
              <w:color w:val="000000" w:themeColor="text1"/>
              <w:lang w:eastAsia="es-EC"/>
            </w:rPr>
          </w:pPr>
          <w:r w:rsidRPr="00986FFC">
            <w:rPr>
              <w:rFonts w:asciiTheme="minorHAnsi" w:hAnsiTheme="minorHAnsi" w:cs="Calibri"/>
              <w:bCs/>
              <w:color w:val="000000" w:themeColor="text1"/>
              <w:lang w:eastAsia="es-EC"/>
            </w:rPr>
            <w:t>PÁGINA:</w:t>
          </w:r>
        </w:p>
      </w:tc>
      <w:tc>
        <w:tcPr>
          <w:tcW w:w="1976" w:type="dxa"/>
          <w:vAlign w:val="center"/>
        </w:tcPr>
        <w:p w:rsidR="00D83580" w:rsidRDefault="003E6ACA">
          <w:pPr>
            <w:jc w:val="center"/>
          </w:pPr>
          <w:r>
            <w:rPr>
              <w:sz w:val="14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E7332">
            <w:rPr>
              <w:noProof/>
            </w:rPr>
            <w:t>1</w:t>
          </w:r>
          <w:r>
            <w:fldChar w:fldCharType="end"/>
          </w:r>
          <w:r>
            <w:rPr>
              <w:sz w:val="14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DE7332">
            <w:rPr>
              <w:noProof/>
            </w:rPr>
            <w:t>15</w:t>
          </w:r>
          <w:r>
            <w:fldChar w:fldCharType="end"/>
          </w:r>
        </w:p>
      </w:tc>
    </w:tr>
  </w:tbl>
  <w:p w:rsidR="006F1E55" w:rsidRPr="00AE4BD9" w:rsidRDefault="006F1E55" w:rsidP="00AE4BD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E6ABA"/>
    <w:multiLevelType w:val="hybridMultilevel"/>
    <w:tmpl w:val="F766A7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D06BE"/>
    <w:multiLevelType w:val="multilevel"/>
    <w:tmpl w:val="90626C2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Eurostile Bold" w:hAnsi="Eurostile Bold" w:hint="default"/>
        <w:b/>
        <w:i w:val="0"/>
        <w:color w:val="333399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Eurostile Bold" w:hAnsi="Eurostile Bold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3FB378DF"/>
    <w:multiLevelType w:val="hybridMultilevel"/>
    <w:tmpl w:val="C27E1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D70667"/>
    <w:multiLevelType w:val="hybridMultilevel"/>
    <w:tmpl w:val="952AFF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A100D9"/>
    <w:multiLevelType w:val="hybridMultilevel"/>
    <w:tmpl w:val="88FA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E31AA"/>
    <w:multiLevelType w:val="hybridMultilevel"/>
    <w:tmpl w:val="411A054A"/>
    <w:lvl w:ilvl="0" w:tplc="17A8005C">
      <w:start w:val="17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D1652"/>
    <w:multiLevelType w:val="hybridMultilevel"/>
    <w:tmpl w:val="EF063A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925F6"/>
    <w:multiLevelType w:val="hybridMultilevel"/>
    <w:tmpl w:val="F15638DE"/>
    <w:lvl w:ilvl="0" w:tplc="BDCA7A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9B5DDF"/>
    <w:multiLevelType w:val="hybridMultilevel"/>
    <w:tmpl w:val="E8301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111F3"/>
    <w:multiLevelType w:val="hybridMultilevel"/>
    <w:tmpl w:val="B26452E4"/>
    <w:lvl w:ilvl="0" w:tplc="300A000F">
      <w:start w:val="1"/>
      <w:numFmt w:val="decimal"/>
      <w:lvlText w:val="%1."/>
      <w:lvlJc w:val="left"/>
      <w:pPr>
        <w:ind w:left="1374" w:hanging="360"/>
      </w:pPr>
    </w:lvl>
    <w:lvl w:ilvl="1" w:tplc="300A0019" w:tentative="1">
      <w:start w:val="1"/>
      <w:numFmt w:val="lowerLetter"/>
      <w:lvlText w:val="%2."/>
      <w:lvlJc w:val="left"/>
      <w:pPr>
        <w:ind w:left="2094" w:hanging="360"/>
      </w:pPr>
    </w:lvl>
    <w:lvl w:ilvl="2" w:tplc="300A001B" w:tentative="1">
      <w:start w:val="1"/>
      <w:numFmt w:val="lowerRoman"/>
      <w:lvlText w:val="%3."/>
      <w:lvlJc w:val="right"/>
      <w:pPr>
        <w:ind w:left="2814" w:hanging="180"/>
      </w:pPr>
    </w:lvl>
    <w:lvl w:ilvl="3" w:tplc="300A000F" w:tentative="1">
      <w:start w:val="1"/>
      <w:numFmt w:val="decimal"/>
      <w:lvlText w:val="%4."/>
      <w:lvlJc w:val="left"/>
      <w:pPr>
        <w:ind w:left="3534" w:hanging="360"/>
      </w:pPr>
    </w:lvl>
    <w:lvl w:ilvl="4" w:tplc="300A0019" w:tentative="1">
      <w:start w:val="1"/>
      <w:numFmt w:val="lowerLetter"/>
      <w:lvlText w:val="%5."/>
      <w:lvlJc w:val="left"/>
      <w:pPr>
        <w:ind w:left="4254" w:hanging="360"/>
      </w:pPr>
    </w:lvl>
    <w:lvl w:ilvl="5" w:tplc="300A001B" w:tentative="1">
      <w:start w:val="1"/>
      <w:numFmt w:val="lowerRoman"/>
      <w:lvlText w:val="%6."/>
      <w:lvlJc w:val="right"/>
      <w:pPr>
        <w:ind w:left="4974" w:hanging="180"/>
      </w:pPr>
    </w:lvl>
    <w:lvl w:ilvl="6" w:tplc="300A000F" w:tentative="1">
      <w:start w:val="1"/>
      <w:numFmt w:val="decimal"/>
      <w:lvlText w:val="%7."/>
      <w:lvlJc w:val="left"/>
      <w:pPr>
        <w:ind w:left="5694" w:hanging="360"/>
      </w:pPr>
    </w:lvl>
    <w:lvl w:ilvl="7" w:tplc="300A0019" w:tentative="1">
      <w:start w:val="1"/>
      <w:numFmt w:val="lowerLetter"/>
      <w:lvlText w:val="%8."/>
      <w:lvlJc w:val="left"/>
      <w:pPr>
        <w:ind w:left="6414" w:hanging="360"/>
      </w:pPr>
    </w:lvl>
    <w:lvl w:ilvl="8" w:tplc="300A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0" w15:restartNumberingAfterBreak="0">
    <w:nsid w:val="76C70E35"/>
    <w:multiLevelType w:val="hybridMultilevel"/>
    <w:tmpl w:val="9370B0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EDB"/>
    <w:rsid w:val="0000231D"/>
    <w:rsid w:val="00002715"/>
    <w:rsid w:val="000065A8"/>
    <w:rsid w:val="0002123B"/>
    <w:rsid w:val="0002395C"/>
    <w:rsid w:val="00043475"/>
    <w:rsid w:val="00052C37"/>
    <w:rsid w:val="00071B2A"/>
    <w:rsid w:val="00072283"/>
    <w:rsid w:val="00082275"/>
    <w:rsid w:val="00086368"/>
    <w:rsid w:val="00093543"/>
    <w:rsid w:val="0009461D"/>
    <w:rsid w:val="000A2976"/>
    <w:rsid w:val="000A3117"/>
    <w:rsid w:val="000B1D6F"/>
    <w:rsid w:val="000B20C0"/>
    <w:rsid w:val="000C11BA"/>
    <w:rsid w:val="000C573C"/>
    <w:rsid w:val="000C7918"/>
    <w:rsid w:val="000D5D71"/>
    <w:rsid w:val="000D60B7"/>
    <w:rsid w:val="000E00B1"/>
    <w:rsid w:val="000E75BE"/>
    <w:rsid w:val="000F12B4"/>
    <w:rsid w:val="000F1951"/>
    <w:rsid w:val="000F4D52"/>
    <w:rsid w:val="00104242"/>
    <w:rsid w:val="0011439E"/>
    <w:rsid w:val="0012659C"/>
    <w:rsid w:val="00127C09"/>
    <w:rsid w:val="00142518"/>
    <w:rsid w:val="00146356"/>
    <w:rsid w:val="001472E0"/>
    <w:rsid w:val="0015119C"/>
    <w:rsid w:val="001524A6"/>
    <w:rsid w:val="001536E6"/>
    <w:rsid w:val="00155BEA"/>
    <w:rsid w:val="00165567"/>
    <w:rsid w:val="00172A41"/>
    <w:rsid w:val="00174D88"/>
    <w:rsid w:val="00177ED1"/>
    <w:rsid w:val="00181611"/>
    <w:rsid w:val="0018213A"/>
    <w:rsid w:val="00184DBF"/>
    <w:rsid w:val="00195848"/>
    <w:rsid w:val="00195B0C"/>
    <w:rsid w:val="00197D6E"/>
    <w:rsid w:val="001A032E"/>
    <w:rsid w:val="001A3008"/>
    <w:rsid w:val="001B0E56"/>
    <w:rsid w:val="001B5A10"/>
    <w:rsid w:val="001B6A7D"/>
    <w:rsid w:val="001B7B99"/>
    <w:rsid w:val="001F4306"/>
    <w:rsid w:val="001F5C32"/>
    <w:rsid w:val="00201CB4"/>
    <w:rsid w:val="0020322D"/>
    <w:rsid w:val="00207E39"/>
    <w:rsid w:val="00210AF0"/>
    <w:rsid w:val="0021655F"/>
    <w:rsid w:val="00230BBF"/>
    <w:rsid w:val="00233BCB"/>
    <w:rsid w:val="00235421"/>
    <w:rsid w:val="0023665E"/>
    <w:rsid w:val="00247CD4"/>
    <w:rsid w:val="0025364F"/>
    <w:rsid w:val="00261AA8"/>
    <w:rsid w:val="00263D72"/>
    <w:rsid w:val="00267834"/>
    <w:rsid w:val="00281DA8"/>
    <w:rsid w:val="00287FD6"/>
    <w:rsid w:val="00291A1A"/>
    <w:rsid w:val="0029451D"/>
    <w:rsid w:val="00297B2B"/>
    <w:rsid w:val="002A16F6"/>
    <w:rsid w:val="002A189A"/>
    <w:rsid w:val="002A4E88"/>
    <w:rsid w:val="002C2070"/>
    <w:rsid w:val="002C3446"/>
    <w:rsid w:val="002C5C34"/>
    <w:rsid w:val="002D134C"/>
    <w:rsid w:val="002E008D"/>
    <w:rsid w:val="002E021D"/>
    <w:rsid w:val="002E7C2C"/>
    <w:rsid w:val="002E7EBA"/>
    <w:rsid w:val="00315F9A"/>
    <w:rsid w:val="003206D7"/>
    <w:rsid w:val="00323970"/>
    <w:rsid w:val="00324DC4"/>
    <w:rsid w:val="003309C6"/>
    <w:rsid w:val="00334784"/>
    <w:rsid w:val="003460F6"/>
    <w:rsid w:val="00347F93"/>
    <w:rsid w:val="00354EC4"/>
    <w:rsid w:val="00355AAA"/>
    <w:rsid w:val="00355AE5"/>
    <w:rsid w:val="0036369D"/>
    <w:rsid w:val="00370139"/>
    <w:rsid w:val="00372C19"/>
    <w:rsid w:val="00372DD2"/>
    <w:rsid w:val="00382056"/>
    <w:rsid w:val="0038413E"/>
    <w:rsid w:val="00384CCF"/>
    <w:rsid w:val="00385765"/>
    <w:rsid w:val="00390B0E"/>
    <w:rsid w:val="003914AD"/>
    <w:rsid w:val="00391EE3"/>
    <w:rsid w:val="003A3DF5"/>
    <w:rsid w:val="003B1D82"/>
    <w:rsid w:val="003B6DEB"/>
    <w:rsid w:val="003D2E71"/>
    <w:rsid w:val="003D6E89"/>
    <w:rsid w:val="003E4A9A"/>
    <w:rsid w:val="003E6ACA"/>
    <w:rsid w:val="003F393D"/>
    <w:rsid w:val="00401E77"/>
    <w:rsid w:val="004222EB"/>
    <w:rsid w:val="004306E4"/>
    <w:rsid w:val="00431499"/>
    <w:rsid w:val="0043433B"/>
    <w:rsid w:val="00434EAA"/>
    <w:rsid w:val="00440321"/>
    <w:rsid w:val="0045078C"/>
    <w:rsid w:val="00452B7A"/>
    <w:rsid w:val="0046706B"/>
    <w:rsid w:val="00467DBA"/>
    <w:rsid w:val="004814FF"/>
    <w:rsid w:val="00481A30"/>
    <w:rsid w:val="0048211B"/>
    <w:rsid w:val="00486272"/>
    <w:rsid w:val="00486F2F"/>
    <w:rsid w:val="004914F7"/>
    <w:rsid w:val="004B09FD"/>
    <w:rsid w:val="004B1151"/>
    <w:rsid w:val="004B3BAF"/>
    <w:rsid w:val="004B7C24"/>
    <w:rsid w:val="004C001E"/>
    <w:rsid w:val="004E6FCF"/>
    <w:rsid w:val="004F7D1A"/>
    <w:rsid w:val="00500DA1"/>
    <w:rsid w:val="00506A60"/>
    <w:rsid w:val="00512284"/>
    <w:rsid w:val="00512DA9"/>
    <w:rsid w:val="005412B3"/>
    <w:rsid w:val="00542B51"/>
    <w:rsid w:val="0054552E"/>
    <w:rsid w:val="00545790"/>
    <w:rsid w:val="00546D6E"/>
    <w:rsid w:val="005474FE"/>
    <w:rsid w:val="00556654"/>
    <w:rsid w:val="005670E8"/>
    <w:rsid w:val="0056717D"/>
    <w:rsid w:val="0058360C"/>
    <w:rsid w:val="00584444"/>
    <w:rsid w:val="005877EB"/>
    <w:rsid w:val="00587F44"/>
    <w:rsid w:val="005917ED"/>
    <w:rsid w:val="00591E4C"/>
    <w:rsid w:val="005945B2"/>
    <w:rsid w:val="00597477"/>
    <w:rsid w:val="005A5E81"/>
    <w:rsid w:val="005B2686"/>
    <w:rsid w:val="005C3537"/>
    <w:rsid w:val="005C6A4D"/>
    <w:rsid w:val="005C6AA9"/>
    <w:rsid w:val="005D00E0"/>
    <w:rsid w:val="005D0B05"/>
    <w:rsid w:val="005D3C33"/>
    <w:rsid w:val="005D449D"/>
    <w:rsid w:val="005D55C1"/>
    <w:rsid w:val="005E48B5"/>
    <w:rsid w:val="005F5089"/>
    <w:rsid w:val="006057E4"/>
    <w:rsid w:val="006078F2"/>
    <w:rsid w:val="006176C4"/>
    <w:rsid w:val="00620B4E"/>
    <w:rsid w:val="00630723"/>
    <w:rsid w:val="00633545"/>
    <w:rsid w:val="00661855"/>
    <w:rsid w:val="00664DBB"/>
    <w:rsid w:val="00664E2F"/>
    <w:rsid w:val="00675883"/>
    <w:rsid w:val="00676567"/>
    <w:rsid w:val="00683F42"/>
    <w:rsid w:val="006878B0"/>
    <w:rsid w:val="00691813"/>
    <w:rsid w:val="00693F71"/>
    <w:rsid w:val="006952C7"/>
    <w:rsid w:val="006975D6"/>
    <w:rsid w:val="00697FB9"/>
    <w:rsid w:val="006A1CCD"/>
    <w:rsid w:val="006B68BF"/>
    <w:rsid w:val="006C4318"/>
    <w:rsid w:val="006D00F2"/>
    <w:rsid w:val="006D259A"/>
    <w:rsid w:val="006D44A8"/>
    <w:rsid w:val="006E1840"/>
    <w:rsid w:val="006E58F0"/>
    <w:rsid w:val="006F0B64"/>
    <w:rsid w:val="006F1E55"/>
    <w:rsid w:val="007020EE"/>
    <w:rsid w:val="00704832"/>
    <w:rsid w:val="00711877"/>
    <w:rsid w:val="00713632"/>
    <w:rsid w:val="007143AE"/>
    <w:rsid w:val="00714EBC"/>
    <w:rsid w:val="00716434"/>
    <w:rsid w:val="007213B4"/>
    <w:rsid w:val="007321AA"/>
    <w:rsid w:val="007325CA"/>
    <w:rsid w:val="00737C5C"/>
    <w:rsid w:val="00744441"/>
    <w:rsid w:val="00756861"/>
    <w:rsid w:val="00757214"/>
    <w:rsid w:val="007616E4"/>
    <w:rsid w:val="00765C50"/>
    <w:rsid w:val="00776A34"/>
    <w:rsid w:val="00787E1B"/>
    <w:rsid w:val="00793CF8"/>
    <w:rsid w:val="007A0BC1"/>
    <w:rsid w:val="007C13FF"/>
    <w:rsid w:val="007C4340"/>
    <w:rsid w:val="007D05D3"/>
    <w:rsid w:val="007D2392"/>
    <w:rsid w:val="007D7F6B"/>
    <w:rsid w:val="007E3D4D"/>
    <w:rsid w:val="007E3F27"/>
    <w:rsid w:val="008035A3"/>
    <w:rsid w:val="00804A68"/>
    <w:rsid w:val="008072AD"/>
    <w:rsid w:val="008076D8"/>
    <w:rsid w:val="00811359"/>
    <w:rsid w:val="0081154B"/>
    <w:rsid w:val="00814DA0"/>
    <w:rsid w:val="008204AF"/>
    <w:rsid w:val="008209E1"/>
    <w:rsid w:val="008233DC"/>
    <w:rsid w:val="00835531"/>
    <w:rsid w:val="008469A4"/>
    <w:rsid w:val="00853F65"/>
    <w:rsid w:val="00861396"/>
    <w:rsid w:val="0086609F"/>
    <w:rsid w:val="00867F7C"/>
    <w:rsid w:val="00872056"/>
    <w:rsid w:val="00872E1D"/>
    <w:rsid w:val="00885C21"/>
    <w:rsid w:val="008A2BBD"/>
    <w:rsid w:val="008B1904"/>
    <w:rsid w:val="008B3165"/>
    <w:rsid w:val="008C4F65"/>
    <w:rsid w:val="008C6636"/>
    <w:rsid w:val="008D2FA6"/>
    <w:rsid w:val="008D430E"/>
    <w:rsid w:val="008E75D0"/>
    <w:rsid w:val="00900304"/>
    <w:rsid w:val="009033D3"/>
    <w:rsid w:val="00907A48"/>
    <w:rsid w:val="009216A1"/>
    <w:rsid w:val="00921870"/>
    <w:rsid w:val="00922935"/>
    <w:rsid w:val="00926891"/>
    <w:rsid w:val="00932B80"/>
    <w:rsid w:val="00935306"/>
    <w:rsid w:val="00944FB1"/>
    <w:rsid w:val="00953341"/>
    <w:rsid w:val="00961257"/>
    <w:rsid w:val="00963DCF"/>
    <w:rsid w:val="00967FAC"/>
    <w:rsid w:val="0097783B"/>
    <w:rsid w:val="00980445"/>
    <w:rsid w:val="00986FFC"/>
    <w:rsid w:val="0099034A"/>
    <w:rsid w:val="0099167C"/>
    <w:rsid w:val="00993F0F"/>
    <w:rsid w:val="009B0357"/>
    <w:rsid w:val="009B5613"/>
    <w:rsid w:val="009B5C97"/>
    <w:rsid w:val="009C017A"/>
    <w:rsid w:val="009C1FB3"/>
    <w:rsid w:val="009D0813"/>
    <w:rsid w:val="009D5A89"/>
    <w:rsid w:val="009E21C2"/>
    <w:rsid w:val="009E2D79"/>
    <w:rsid w:val="009F04CD"/>
    <w:rsid w:val="009F2ADF"/>
    <w:rsid w:val="009F33BA"/>
    <w:rsid w:val="009F48AA"/>
    <w:rsid w:val="009F6071"/>
    <w:rsid w:val="00A01D09"/>
    <w:rsid w:val="00A02B36"/>
    <w:rsid w:val="00A16CB1"/>
    <w:rsid w:val="00A20173"/>
    <w:rsid w:val="00A2379F"/>
    <w:rsid w:val="00A32236"/>
    <w:rsid w:val="00A340BE"/>
    <w:rsid w:val="00A425A5"/>
    <w:rsid w:val="00A471F1"/>
    <w:rsid w:val="00A474B0"/>
    <w:rsid w:val="00A54DCB"/>
    <w:rsid w:val="00A55799"/>
    <w:rsid w:val="00A557DD"/>
    <w:rsid w:val="00A56B96"/>
    <w:rsid w:val="00A640B9"/>
    <w:rsid w:val="00A77F9C"/>
    <w:rsid w:val="00A81D39"/>
    <w:rsid w:val="00A81F06"/>
    <w:rsid w:val="00A85164"/>
    <w:rsid w:val="00A86448"/>
    <w:rsid w:val="00A949AD"/>
    <w:rsid w:val="00AA7C4E"/>
    <w:rsid w:val="00AC047D"/>
    <w:rsid w:val="00AC057F"/>
    <w:rsid w:val="00AC1897"/>
    <w:rsid w:val="00AC227B"/>
    <w:rsid w:val="00AC2691"/>
    <w:rsid w:val="00AC51AE"/>
    <w:rsid w:val="00AD650F"/>
    <w:rsid w:val="00AD78DB"/>
    <w:rsid w:val="00AE07BE"/>
    <w:rsid w:val="00AE4BD9"/>
    <w:rsid w:val="00AF26A2"/>
    <w:rsid w:val="00AF3102"/>
    <w:rsid w:val="00AF5E65"/>
    <w:rsid w:val="00AF7F37"/>
    <w:rsid w:val="00B018C7"/>
    <w:rsid w:val="00B048B7"/>
    <w:rsid w:val="00B12064"/>
    <w:rsid w:val="00B14F3C"/>
    <w:rsid w:val="00B16C65"/>
    <w:rsid w:val="00B176B2"/>
    <w:rsid w:val="00B25744"/>
    <w:rsid w:val="00B26D02"/>
    <w:rsid w:val="00B33B79"/>
    <w:rsid w:val="00B37D54"/>
    <w:rsid w:val="00B50C34"/>
    <w:rsid w:val="00B50E59"/>
    <w:rsid w:val="00B5355C"/>
    <w:rsid w:val="00B5382E"/>
    <w:rsid w:val="00B53B12"/>
    <w:rsid w:val="00B53CE0"/>
    <w:rsid w:val="00B6016C"/>
    <w:rsid w:val="00B62708"/>
    <w:rsid w:val="00B64A42"/>
    <w:rsid w:val="00B7258F"/>
    <w:rsid w:val="00B75F44"/>
    <w:rsid w:val="00B852B3"/>
    <w:rsid w:val="00B92B53"/>
    <w:rsid w:val="00BA0513"/>
    <w:rsid w:val="00BB13BF"/>
    <w:rsid w:val="00BB22D2"/>
    <w:rsid w:val="00BC06B4"/>
    <w:rsid w:val="00BC0F1E"/>
    <w:rsid w:val="00BC1B3D"/>
    <w:rsid w:val="00BC62FF"/>
    <w:rsid w:val="00BD3A94"/>
    <w:rsid w:val="00BD4263"/>
    <w:rsid w:val="00BE29BB"/>
    <w:rsid w:val="00BE3BF8"/>
    <w:rsid w:val="00BE40AD"/>
    <w:rsid w:val="00BF2236"/>
    <w:rsid w:val="00BF41C6"/>
    <w:rsid w:val="00BF6F54"/>
    <w:rsid w:val="00C00CF1"/>
    <w:rsid w:val="00C04D78"/>
    <w:rsid w:val="00C07212"/>
    <w:rsid w:val="00C11306"/>
    <w:rsid w:val="00C11C55"/>
    <w:rsid w:val="00C22004"/>
    <w:rsid w:val="00C30B15"/>
    <w:rsid w:val="00C310AA"/>
    <w:rsid w:val="00C34252"/>
    <w:rsid w:val="00C34B18"/>
    <w:rsid w:val="00C41D7F"/>
    <w:rsid w:val="00C45D04"/>
    <w:rsid w:val="00C53E74"/>
    <w:rsid w:val="00C551BE"/>
    <w:rsid w:val="00C5784F"/>
    <w:rsid w:val="00C624EF"/>
    <w:rsid w:val="00C65433"/>
    <w:rsid w:val="00C73905"/>
    <w:rsid w:val="00C73A1E"/>
    <w:rsid w:val="00C74942"/>
    <w:rsid w:val="00C75AE4"/>
    <w:rsid w:val="00C82610"/>
    <w:rsid w:val="00C902C9"/>
    <w:rsid w:val="00C916AE"/>
    <w:rsid w:val="00C940F8"/>
    <w:rsid w:val="00C94BA7"/>
    <w:rsid w:val="00CA2A9C"/>
    <w:rsid w:val="00CB42B1"/>
    <w:rsid w:val="00CC41FB"/>
    <w:rsid w:val="00CC5A2C"/>
    <w:rsid w:val="00CD06ED"/>
    <w:rsid w:val="00CD3A6C"/>
    <w:rsid w:val="00CE1705"/>
    <w:rsid w:val="00CE324E"/>
    <w:rsid w:val="00CE666F"/>
    <w:rsid w:val="00CF4CA2"/>
    <w:rsid w:val="00CF624A"/>
    <w:rsid w:val="00D00C9D"/>
    <w:rsid w:val="00D0453C"/>
    <w:rsid w:val="00D109CF"/>
    <w:rsid w:val="00D11B65"/>
    <w:rsid w:val="00D130A5"/>
    <w:rsid w:val="00D16D9E"/>
    <w:rsid w:val="00D22C74"/>
    <w:rsid w:val="00D22F4D"/>
    <w:rsid w:val="00D24E64"/>
    <w:rsid w:val="00D27A2B"/>
    <w:rsid w:val="00D3654C"/>
    <w:rsid w:val="00D425AC"/>
    <w:rsid w:val="00D55284"/>
    <w:rsid w:val="00D56C21"/>
    <w:rsid w:val="00D56DA2"/>
    <w:rsid w:val="00D60773"/>
    <w:rsid w:val="00D66CE0"/>
    <w:rsid w:val="00D8344E"/>
    <w:rsid w:val="00D83580"/>
    <w:rsid w:val="00D875ED"/>
    <w:rsid w:val="00D9289C"/>
    <w:rsid w:val="00D9668E"/>
    <w:rsid w:val="00DB3E0B"/>
    <w:rsid w:val="00DC37F8"/>
    <w:rsid w:val="00DE05DB"/>
    <w:rsid w:val="00DE7332"/>
    <w:rsid w:val="00DF0213"/>
    <w:rsid w:val="00DF61E8"/>
    <w:rsid w:val="00E00BA7"/>
    <w:rsid w:val="00E00EC1"/>
    <w:rsid w:val="00E0330F"/>
    <w:rsid w:val="00E0590B"/>
    <w:rsid w:val="00E06341"/>
    <w:rsid w:val="00E10CAB"/>
    <w:rsid w:val="00E14483"/>
    <w:rsid w:val="00E21D95"/>
    <w:rsid w:val="00E25B18"/>
    <w:rsid w:val="00E36D80"/>
    <w:rsid w:val="00E40ECF"/>
    <w:rsid w:val="00E44606"/>
    <w:rsid w:val="00E45392"/>
    <w:rsid w:val="00E462BD"/>
    <w:rsid w:val="00E545BA"/>
    <w:rsid w:val="00E54B78"/>
    <w:rsid w:val="00E55A00"/>
    <w:rsid w:val="00E57F85"/>
    <w:rsid w:val="00E6143A"/>
    <w:rsid w:val="00E63E44"/>
    <w:rsid w:val="00E75B7E"/>
    <w:rsid w:val="00E80A88"/>
    <w:rsid w:val="00E856FE"/>
    <w:rsid w:val="00E957A0"/>
    <w:rsid w:val="00E978CF"/>
    <w:rsid w:val="00EA1DA2"/>
    <w:rsid w:val="00EA2B75"/>
    <w:rsid w:val="00EA3BF4"/>
    <w:rsid w:val="00EB510E"/>
    <w:rsid w:val="00EB6812"/>
    <w:rsid w:val="00EB71FB"/>
    <w:rsid w:val="00EC2B86"/>
    <w:rsid w:val="00EC4B9B"/>
    <w:rsid w:val="00ED045C"/>
    <w:rsid w:val="00EF06FF"/>
    <w:rsid w:val="00EF6DCD"/>
    <w:rsid w:val="00F05047"/>
    <w:rsid w:val="00F176E1"/>
    <w:rsid w:val="00F2356E"/>
    <w:rsid w:val="00F267B9"/>
    <w:rsid w:val="00F31C4A"/>
    <w:rsid w:val="00F34259"/>
    <w:rsid w:val="00F51038"/>
    <w:rsid w:val="00F5200E"/>
    <w:rsid w:val="00F5515A"/>
    <w:rsid w:val="00F615C7"/>
    <w:rsid w:val="00F62D4F"/>
    <w:rsid w:val="00F75F7D"/>
    <w:rsid w:val="00F83DA5"/>
    <w:rsid w:val="00F845D9"/>
    <w:rsid w:val="00F8508B"/>
    <w:rsid w:val="00F913DA"/>
    <w:rsid w:val="00F9208C"/>
    <w:rsid w:val="00FA1119"/>
    <w:rsid w:val="00FA323A"/>
    <w:rsid w:val="00FA68DF"/>
    <w:rsid w:val="00FB2A90"/>
    <w:rsid w:val="00FB6A25"/>
    <w:rsid w:val="00FC1EDB"/>
    <w:rsid w:val="00FC5B6C"/>
    <w:rsid w:val="00FD056F"/>
    <w:rsid w:val="00FD123D"/>
    <w:rsid w:val="00FD5DE3"/>
    <w:rsid w:val="00FD62D8"/>
    <w:rsid w:val="00FD72BF"/>
    <w:rsid w:val="00FE1E63"/>
    <w:rsid w:val="00FE5C65"/>
    <w:rsid w:val="00FE691A"/>
    <w:rsid w:val="00FF5CB2"/>
    <w:rsid w:val="00FF7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967113-160D-42B5-AC92-11CC1374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E77"/>
    <w:pPr>
      <w:spacing w:after="0" w:line="240" w:lineRule="auto"/>
      <w:jc w:val="both"/>
    </w:pPr>
    <w:rPr>
      <w:rFonts w:ascii="Arial" w:eastAsia="Arial" w:hAnsi="Arial" w:cs="Times New Roman"/>
      <w:sz w:val="18"/>
      <w:szCs w:val="20"/>
      <w:lang w:val="es-EC"/>
    </w:rPr>
  </w:style>
  <w:style w:type="paragraph" w:styleId="Ttulo1">
    <w:name w:val="heading 1"/>
    <w:basedOn w:val="Normal"/>
    <w:next w:val="Normal"/>
    <w:link w:val="Ttulo1Car"/>
    <w:qFormat/>
    <w:rsid w:val="00FC1EDB"/>
    <w:pPr>
      <w:numPr>
        <w:numId w:val="1"/>
      </w:numPr>
      <w:outlineLvl w:val="0"/>
    </w:pPr>
    <w:rPr>
      <w:b/>
      <w:color w:val="000000"/>
      <w:sz w:val="24"/>
      <w:szCs w:val="24"/>
    </w:rPr>
  </w:style>
  <w:style w:type="paragraph" w:styleId="Ttulo2">
    <w:name w:val="heading 2"/>
    <w:aliases w:val="Heading 2 Char Char Char"/>
    <w:basedOn w:val="Normal"/>
    <w:next w:val="Normal"/>
    <w:link w:val="Ttulo2Car"/>
    <w:qFormat/>
    <w:rsid w:val="00FC1EDB"/>
    <w:pPr>
      <w:keepNext/>
      <w:outlineLvl w:val="1"/>
    </w:pPr>
    <w:rPr>
      <w:b/>
      <w:color w:val="80808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C1EDB"/>
    <w:rPr>
      <w:rFonts w:ascii="Candara" w:eastAsia="Batang" w:hAnsi="Candara" w:cs="Times New Roman"/>
      <w:b/>
      <w:color w:val="000000"/>
      <w:sz w:val="24"/>
      <w:szCs w:val="24"/>
    </w:rPr>
  </w:style>
  <w:style w:type="character" w:customStyle="1" w:styleId="Ttulo2Car">
    <w:name w:val="Título 2 Car"/>
    <w:aliases w:val="Heading 2 Char Char Char Car"/>
    <w:basedOn w:val="Fuentedeprrafopredeter"/>
    <w:link w:val="Ttulo2"/>
    <w:rsid w:val="00FC1EDB"/>
    <w:rPr>
      <w:rFonts w:ascii="Arial Black" w:eastAsia="Batang" w:hAnsi="Arial Black" w:cs="Times New Roman"/>
      <w:b/>
      <w:color w:val="808080"/>
      <w:sz w:val="24"/>
      <w:szCs w:val="20"/>
      <w:lang w:val="es-EC"/>
    </w:rPr>
  </w:style>
  <w:style w:type="paragraph" w:customStyle="1" w:styleId="TituloPortada">
    <w:name w:val="Titulo Portada"/>
    <w:basedOn w:val="Normal"/>
    <w:rsid w:val="00FC1EDB"/>
    <w:pPr>
      <w:spacing w:before="960" w:after="960"/>
      <w:jc w:val="center"/>
    </w:pPr>
    <w:rPr>
      <w:rFonts w:ascii="Verdana" w:hAnsi="Verdana"/>
      <w:b/>
      <w:sz w:val="96"/>
    </w:rPr>
  </w:style>
  <w:style w:type="paragraph" w:styleId="Piedepgina">
    <w:name w:val="footer"/>
    <w:basedOn w:val="Normal"/>
    <w:link w:val="PiedepginaCar"/>
    <w:uiPriority w:val="99"/>
    <w:rsid w:val="00FC1EDB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1EDB"/>
    <w:rPr>
      <w:rFonts w:ascii="Arial" w:eastAsia="Batang" w:hAnsi="Arial" w:cs="Times New Roman"/>
      <w:sz w:val="20"/>
      <w:szCs w:val="20"/>
      <w:lang w:val="es-ES"/>
    </w:rPr>
  </w:style>
  <w:style w:type="paragraph" w:styleId="Prrafodelista">
    <w:name w:val="List Paragraph"/>
    <w:aliases w:val="TIT 2 IND,Párrafo de Viñeta,tEXTO,Titulo parrafo,Texto,List Paragraph1,Capítulo,Titulo 1"/>
    <w:basedOn w:val="Normal"/>
    <w:link w:val="PrrafodelistaCar"/>
    <w:uiPriority w:val="34"/>
    <w:qFormat/>
    <w:rsid w:val="00FC1EDB"/>
    <w:pPr>
      <w:ind w:left="720"/>
      <w:jc w:val="left"/>
    </w:pPr>
    <w:rPr>
      <w:rFonts w:ascii="Calibri" w:eastAsia="Calibri" w:hAnsi="Calibri"/>
      <w:sz w:val="22"/>
      <w:szCs w:val="22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E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EDB"/>
    <w:rPr>
      <w:rFonts w:ascii="Tahoma" w:eastAsia="Batang" w:hAnsi="Tahoma" w:cs="Tahoma"/>
      <w:sz w:val="16"/>
      <w:szCs w:val="16"/>
      <w:lang w:val="es-EC"/>
    </w:rPr>
  </w:style>
  <w:style w:type="paragraph" w:styleId="Textocomentario">
    <w:name w:val="annotation text"/>
    <w:basedOn w:val="Normal"/>
    <w:link w:val="TextocomentarioCar"/>
    <w:semiHidden/>
    <w:unhideWhenUsed/>
    <w:rsid w:val="002D134C"/>
    <w:pPr>
      <w:jc w:val="left"/>
    </w:pPr>
    <w:rPr>
      <w:rFonts w:ascii="Times New Roman" w:eastAsia="Times New Roman" w:hAnsi="Times New Roman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D134C"/>
    <w:rPr>
      <w:rFonts w:ascii="Times New Roman" w:eastAsia="Times New Roman" w:hAnsi="Times New Roman" w:cs="Times New Roman"/>
      <w:sz w:val="20"/>
      <w:szCs w:val="20"/>
      <w:lang w:val="es-EC"/>
    </w:rPr>
  </w:style>
  <w:style w:type="character" w:styleId="Refdecomentario">
    <w:name w:val="annotation reference"/>
    <w:basedOn w:val="Fuentedeprrafopredeter"/>
    <w:semiHidden/>
    <w:unhideWhenUsed/>
    <w:rsid w:val="002D134C"/>
    <w:rPr>
      <w:sz w:val="16"/>
      <w:szCs w:val="16"/>
    </w:rPr>
  </w:style>
  <w:style w:type="paragraph" w:styleId="Encabezado">
    <w:name w:val="header"/>
    <w:basedOn w:val="Normal"/>
    <w:link w:val="EncabezadoCar"/>
    <w:unhideWhenUsed/>
    <w:rsid w:val="002D13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D134C"/>
    <w:rPr>
      <w:rFonts w:ascii="Arial" w:eastAsia="Batang" w:hAnsi="Arial" w:cs="Times New Roman"/>
      <w:sz w:val="20"/>
      <w:szCs w:val="20"/>
      <w:lang w:val="es-EC"/>
    </w:rPr>
  </w:style>
  <w:style w:type="table" w:styleId="Tablaconcuadrcula">
    <w:name w:val="Table Grid"/>
    <w:basedOn w:val="Tablanormal"/>
    <w:uiPriority w:val="59"/>
    <w:rsid w:val="0024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4BA7"/>
    <w:pPr>
      <w:spacing w:before="100" w:beforeAutospacing="1" w:after="119"/>
      <w:jc w:val="left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Standard">
    <w:name w:val="Standard"/>
    <w:rsid w:val="00AE4BD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  <w:style w:type="character" w:customStyle="1" w:styleId="PrrafodelistaCar">
    <w:name w:val="Párrafo de lista Car"/>
    <w:aliases w:val="TIT 2 IND Car,Párrafo de Viñeta Car,tEXTO Car,Titulo parrafo Car,Texto Car,List Paragraph1 Car,Capítulo Car,Titulo 1 Car"/>
    <w:link w:val="Prrafodelista"/>
    <w:uiPriority w:val="34"/>
    <w:rsid w:val="00980445"/>
    <w:rPr>
      <w:rFonts w:ascii="Calibri" w:eastAsia="Calibri" w:hAnsi="Calibri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08A46-B963-4D9C-B027-03CADCA54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4228</Words>
  <Characters>23254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 Dora Gonzalez Flores</dc:creator>
  <cp:lastModifiedBy>German Alberto Cajas Viteri</cp:lastModifiedBy>
  <cp:revision>2</cp:revision>
  <cp:lastPrinted>2021-06-06T18:54:00Z</cp:lastPrinted>
  <dcterms:created xsi:type="dcterms:W3CDTF">2026-10-26T20:16:00Z</dcterms:created>
  <dcterms:modified xsi:type="dcterms:W3CDTF">2026-10-26T20:16:00Z</dcterms:modified>
</cp:coreProperties>
</file>