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i w:val="0"/>
        </w:rPr>
        <w:t>Рабочие заметки по источникам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1. Статус проверки библиографии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Основные источники (предоставлены научным руководителем)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Источник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Битехтина, Юдина. Система работы по теме «Глаголы движения». М., 1992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принято по списку руководителя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Волохина, Попова. Русские глагольные приставки. Воронеж: ВГУ, 1993. 164 с.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принято по списку руководителя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Исаченко А. В. Грамматический строй русского языка. Морфология. Братислава, 1960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принято по списку руководителя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Колосницына и др. Грамматические этюды. М.: Русский язык. Курсы, 2006. 184 с.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принято по списку руководителя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Хавронина, Широченская. Русский язык в упражнениях. 13-е изд. М., 1999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принято по списку руководителя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hAnsi="Times New Roman"/>
          <w:b w:val="0"/>
          <w:i w:val="0"/>
        </w:rPr>
        <w:t>Дополнительные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Источник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Статус проверки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Битехтина, Юдина. Употребление глаголов движения в русском языке. М.: МГУ, 1972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поиском в открытых источниках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Битехтина, Юдина. Глаголы движения. Устные упражнения с комментариями. М.: Флинта, 2019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подтверждено (ISBN 978-5-9765-4010-1)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Виноградов В. В. Русский язык. 2-е изд. М.: Высшая школа, 1972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общеизвестное издание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Зализняк, Шмелёв. Введение в русскую аспектологию. М., 2000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общеизвестное издание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Муравьёва Л. С. Глаголы движения в русском языке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год не установлен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пособие многократно переиздавалось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Русская грамматика. Т. 1. М.: Наука, 1980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общеизвестное издание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Скворцова Г. Л. Глаголы движения — без ошибок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год не установлен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Talmy L. Toward a Cognitive Semantics. Vol. 2. MIT Press, 2000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общеизвестное издание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/>
          <w:i w:val="0"/>
        </w:rPr>
        <w:t>Важно:</w:t>
      </w:r>
      <w:r>
        <w:rPr>
          <w:rFonts w:ascii="Times New Roman" w:hAnsi="Times New Roman"/>
          <w:b w:val="0"/>
          <w:i w:val="0"/>
        </w:rPr>
        <w:t xml:space="preserve"> позиции 10 и 12 нужно сверить по каталогу библиотеки или РГБ</w:t>
      </w:r>
    </w:p>
    <w:p>
      <w:r>
        <w:rPr>
          <w:rFonts w:ascii="Times New Roman" w:hAnsi="Times New Roman"/>
          <w:b w:val="0"/>
          <w:i w:val="0"/>
        </w:rPr>
        <w:t>и либо проставить точные выходные данные, либо исключить из списка.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2. Что не удалось проверить</w:t>
      </w:r>
    </w:p>
    <w:p>
      <w:r>
        <w:rPr>
          <w:rFonts w:ascii="Times New Roman" w:hAnsi="Times New Roman"/>
          <w:b w:val="0"/>
          <w:i w:val="0"/>
        </w:rPr>
        <w:t>Прямой доступ к следующим ресурсам заблокирован сетевым фильтром среды,</w:t>
      </w:r>
    </w:p>
    <w:p>
      <w:r>
        <w:rPr>
          <w:rFonts w:ascii="Times New Roman" w:hAnsi="Times New Roman"/>
          <w:b w:val="0"/>
          <w:i w:val="0"/>
        </w:rPr>
        <w:t>в которой готовился текст: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cyberleninka.ru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journals.rudn.ru (Russian Language Studies)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ruslang.ru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mir-nauki.com</w:t>
      </w:r>
    </w:p>
    <w:p>
      <w:r>
        <w:rPr>
          <w:rFonts w:ascii="Times New Roman" w:hAnsi="Times New Roman"/>
          <w:b w:val="0"/>
          <w:i w:val="0"/>
        </w:rPr>
        <w:t>Соответственно, полные тексты статей по теме оттуда не привлекались.</w:t>
      </w:r>
    </w:p>
    <w:p>
      <w:r>
        <w:rPr>
          <w:rFonts w:ascii="Times New Roman" w:hAnsi="Times New Roman"/>
          <w:b w:val="0"/>
          <w:i w:val="0"/>
        </w:rPr>
        <w:t>Если нужно расширить обзор литературы, эти базы стоит просмотреть вручную —</w:t>
      </w:r>
    </w:p>
    <w:p>
      <w:r>
        <w:rPr>
          <w:rFonts w:ascii="Times New Roman" w:hAnsi="Times New Roman"/>
          <w:b w:val="0"/>
          <w:i w:val="0"/>
        </w:rPr>
        <w:t>там есть релевантные работы, в частности: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«Система работы по теме "Глаголы движения" в лингводидактическом аспекте</w:t>
      </w:r>
    </w:p>
    <w:p>
      <w:r>
        <w:rPr>
          <w:rFonts w:ascii="Times New Roman" w:hAnsi="Times New Roman"/>
          <w:b w:val="0"/>
          <w:i w:val="0"/>
        </w:rPr>
        <w:t>преподавания РКИ в персидской аудитории» (cyberleninka)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«Глаголы движения с приставками в-(во-) и вы- в русском языке: значение,</w:t>
      </w:r>
    </w:p>
    <w:p>
      <w:r>
        <w:rPr>
          <w:rFonts w:ascii="Times New Roman" w:hAnsi="Times New Roman"/>
          <w:b w:val="0"/>
          <w:i w:val="0"/>
        </w:rPr>
        <w:t>употребление и методика преподавания» (cyberleninka)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«Разнонаправленные глаголы движения русского языка» (Russian Language</w:t>
      </w:r>
    </w:p>
    <w:p>
      <w:r>
        <w:rPr>
          <w:rFonts w:ascii="Times New Roman" w:hAnsi="Times New Roman"/>
          <w:b w:val="0"/>
          <w:i w:val="0"/>
        </w:rPr>
        <w:t>Studies, РУДН)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«Глаголы движения в русском языке и особенности их преподавания в</w:t>
      </w:r>
    </w:p>
    <w:p>
      <w:r>
        <w:rPr>
          <w:rFonts w:ascii="Times New Roman" w:hAnsi="Times New Roman"/>
          <w:b w:val="0"/>
          <w:i w:val="0"/>
        </w:rPr>
        <w:t>китайской аудитории» (cyberleninka)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Автореферат диссертации «Система приставочных глаголов движения в</w:t>
      </w:r>
    </w:p>
    <w:p>
      <w:r>
        <w:rPr>
          <w:rFonts w:ascii="Times New Roman" w:hAnsi="Times New Roman"/>
          <w:b w:val="0"/>
          <w:i w:val="0"/>
        </w:rPr>
        <w:t>русском языке» (ruslang.ru)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3. Спорные и требующие осторожности места в тексте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Раздел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Что именно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Рекомендация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«17 пар у Исаченко»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сверить по печатному изданию: разные описания дают от 14 до 18 пар в зависимости от того, включаются ли возвратные корреляты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1.3.1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атрибуция терминов «определённо-моторные / неопределённо-моторные»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 тексте намеренно дана осторожная формулировка («традиция, восходящая к...») — если нужна точная атрибуция, проверить по Виноградову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1.3.4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утверждение об отсутствии непротиворечивого инварианта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это обобщение автора реферата, а не цитата; сформулировано как вывод, что корректно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2.5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типология Талми (satellite-framed / verb-framed)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приведена как объяснительная рамка, с явной оговоркой о том, что эмпирическая проверка выходит за рамки реферата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hAnsi="Times New Roman"/>
          <w:b w:val="0"/>
          <w:i w:val="0"/>
        </w:rPr>
        <w:t>4. Если нужно сократить объём</w:t>
      </w:r>
    </w:p>
    <w:p>
      <w:r>
        <w:rPr>
          <w:rFonts w:ascii="Times New Roman" w:hAnsi="Times New Roman"/>
          <w:b w:val="0"/>
          <w:i w:val="0"/>
        </w:rPr>
        <w:t>Реферат сейчас примерно 30 страниц. Для сокращения до 20–22 страниц можно: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убрать раздел 1.6 (переносные значения) — он наименее связан с основной</w:t>
      </w:r>
    </w:p>
    <w:p>
      <w:r>
        <w:rPr>
          <w:rFonts w:ascii="Times New Roman" w:hAnsi="Times New Roman"/>
          <w:b w:val="0"/>
          <w:i w:val="0"/>
        </w:rPr>
        <w:t>линией рассуждения, а нужное для методики уже сказано в 2.2.4 (уровень B2);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сжать раздел 2.3 (система упражнений), оставив типологию упражнений и</w:t>
      </w:r>
    </w:p>
    <w:p>
      <w:r>
        <w:rPr>
          <w:rFonts w:ascii="Times New Roman" w:hAnsi="Times New Roman"/>
          <w:b w:val="0"/>
          <w:i w:val="0"/>
        </w:rPr>
        <w:t>убрав развёрнутые образцы — они дублируются в Приложении 4;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убрать Приложение 4 целиком;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сократить раздел 2.5 до одного абзаца.</w:t>
      </w:r>
    </w:p>
    <w:p>
      <w:r>
        <w:rPr>
          <w:rFonts w:ascii="Times New Roman" w:hAnsi="Times New Roman"/>
          <w:b w:val="0"/>
          <w:i w:val="0"/>
        </w:rPr>
        <w:t xml:space="preserve">Сокращать раздел 1.4 (вид) </w:t>
      </w:r>
      <w:r>
        <w:rPr>
          <w:rFonts w:ascii="Times New Roman" w:hAnsi="Times New Roman"/>
          <w:b/>
          <w:i w:val="0"/>
        </w:rPr>
        <w:t>не рекомендуется</w:t>
      </w:r>
      <w:r>
        <w:rPr>
          <w:rFonts w:ascii="Times New Roman" w:hAnsi="Times New Roman"/>
          <w:b w:val="0"/>
          <w:i w:val="0"/>
        </w:rPr>
        <w:t xml:space="preserve"> — это смысловой центр</w:t>
      </w:r>
    </w:p>
    <w:p>
      <w:r>
        <w:rPr>
          <w:rFonts w:ascii="Times New Roman" w:hAnsi="Times New Roman"/>
          <w:b w:val="0"/>
          <w:i w:val="0"/>
        </w:rPr>
        <w:t>первой главы, на который опирается вся вторая.</w:t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5. Возможные вопросы на защите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Почему глаголы движения — именно </w:t>
      </w:r>
      <w:r>
        <w:rPr>
          <w:rFonts w:ascii="Times New Roman" w:hAnsi="Times New Roman"/>
          <w:b/>
          <w:i w:val="0"/>
        </w:rPr>
        <w:t>лексико-грамматическая</w:t>
      </w:r>
      <w:r>
        <w:rPr>
          <w:rFonts w:ascii="Times New Roman" w:hAnsi="Times New Roman"/>
          <w:b w:val="0"/>
          <w:i w:val="0"/>
        </w:rPr>
        <w:t xml:space="preserve"> категория,</w:t>
      </w:r>
    </w:p>
    <w:p>
      <w:r>
        <w:rPr>
          <w:rFonts w:ascii="Times New Roman" w:hAnsi="Times New Roman"/>
          <w:b w:val="0"/>
          <w:i w:val="0"/>
        </w:rPr>
        <w:t>а не лексико-семантическая группа? (ответ — раздел 1.2, пять признаков)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Является ли пара </w:t>
      </w:r>
      <w:r>
        <w:rPr>
          <w:rFonts w:ascii="Times New Roman" w:hAnsi="Times New Roman"/>
          <w:b w:val="0"/>
          <w:i/>
        </w:rPr>
        <w:t>идти — ходить</w:t>
      </w:r>
      <w:r>
        <w:rPr>
          <w:rFonts w:ascii="Times New Roman" w:hAnsi="Times New Roman"/>
          <w:b w:val="0"/>
          <w:i w:val="0"/>
        </w:rPr>
        <w:t xml:space="preserve"> видовой парой? (нет — раздел 1.4.1)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Почему </w:t>
      </w:r>
      <w:r>
        <w:rPr>
          <w:rFonts w:ascii="Times New Roman" w:hAnsi="Times New Roman"/>
          <w:b w:val="0"/>
          <w:i/>
        </w:rPr>
        <w:t>сходить</w:t>
      </w:r>
      <w:r>
        <w:rPr>
          <w:rFonts w:ascii="Times New Roman" w:hAnsi="Times New Roman"/>
          <w:b w:val="0"/>
          <w:i w:val="0"/>
        </w:rPr>
        <w:t xml:space="preserve"> — совершенного вида, если 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 xml:space="preserve"> разнонаправленный?</w:t>
      </w:r>
    </w:p>
    <w:p>
      <w:r>
        <w:rPr>
          <w:rFonts w:ascii="Times New Roman" w:hAnsi="Times New Roman"/>
          <w:b w:val="0"/>
          <w:i w:val="0"/>
        </w:rPr>
        <w:t>(раздел 1.4.3 — особая модель, нарушающая общее правило)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Чем </w:t>
      </w:r>
      <w:r>
        <w:rPr>
          <w:rFonts w:ascii="Times New Roman" w:hAnsi="Times New Roman"/>
          <w:b w:val="0"/>
          <w:i/>
        </w:rPr>
        <w:t>приходил</w:t>
      </w:r>
      <w:r>
        <w:rPr>
          <w:rFonts w:ascii="Times New Roman" w:hAnsi="Times New Roman"/>
          <w:b w:val="0"/>
          <w:i w:val="0"/>
        </w:rPr>
        <w:t xml:space="preserve"> отличается от </w:t>
      </w:r>
      <w:r>
        <w:rPr>
          <w:rFonts w:ascii="Times New Roman" w:hAnsi="Times New Roman"/>
          <w:b w:val="0"/>
          <w:i/>
        </w:rPr>
        <w:t>пришёл</w:t>
      </w:r>
      <w:r>
        <w:rPr>
          <w:rFonts w:ascii="Times New Roman" w:hAnsi="Times New Roman"/>
          <w:b w:val="0"/>
          <w:i w:val="0"/>
        </w:rPr>
        <w:t>? (раздел 2.1.5 — аннулирующее</w:t>
      </w:r>
    </w:p>
    <w:p>
      <w:r>
        <w:rPr>
          <w:rFonts w:ascii="Times New Roman" w:hAnsi="Times New Roman"/>
          <w:b w:val="0"/>
          <w:i w:val="0"/>
        </w:rPr>
        <w:t>значение НСВ)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 чего начинать обучение теме? (раздел 2.2.4 — А1, и почему нельзя</w:t>
      </w:r>
    </w:p>
    <w:p>
      <w:r>
        <w:rPr>
          <w:rFonts w:ascii="Times New Roman" w:hAnsi="Times New Roman"/>
          <w:b w:val="0"/>
          <w:i w:val="0"/>
        </w:rPr>
        <w:t>откладывать значение «ходил = был»)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