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08"/>
          <w:tab w:val="center" w:pos="4252" w:leader="none"/>
          <w:tab w:val="right" w:pos="8504" w:leader="none"/>
        </w:tabs>
        <w:spacing w:lineRule="auto" w:line="360" w:before="240" w:after="240"/>
        <w:ind w:hanging="0" w:left="0" w:right="0"/>
        <w:jc w:val="both"/>
        <w:rPr/>
      </w:pPr>
      <w:r>
        <w:rPr>
          <w:rFonts w:ascii="Calibri;sans-serif" w:hAnsi="Calibri;sans-serif"/>
          <w:sz w:val="24"/>
          <w:szCs w:val="24"/>
        </w:rPr>
        <w:t xml:space="preserve">SEPLAG – Extrato de Parecer Técnico Motivado da Comissão de Requalificação e Readaptação Funcional </w:t>
      </w:r>
      <w:r>
        <w:rPr>
          <w:rFonts w:ascii="Calibri;sans-serif" w:hAnsi="Calibri;sans-serif"/>
          <w:sz w:val="24"/>
          <w:szCs w:val="24"/>
          <w:shd w:fill="FFFF00" w:val="clear"/>
        </w:rPr>
        <w:t>{{PARECER_TECNICO}}</w:t>
      </w:r>
      <w:r>
        <w:rPr>
          <w:rFonts w:ascii="Calibri;sans-serif" w:hAnsi="Calibri;sans-serif"/>
          <w:sz w:val="24"/>
          <w:szCs w:val="24"/>
        </w:rPr>
        <w:t xml:space="preserve"> – </w:t>
      </w:r>
      <w:r>
        <w:rPr>
          <w:rFonts w:ascii="Calibri;sans-serif" w:hAnsi="Calibri;sans-serif"/>
          <w:sz w:val="24"/>
        </w:rPr>
        <w:t xml:space="preserve">No âmbito do Protocolo </w:t>
      </w:r>
      <w:r>
        <w:rPr>
          <w:rFonts w:ascii="Calibri;sans-serif" w:hAnsi="Calibri;sans-serif"/>
          <w:sz w:val="24"/>
          <w:shd w:fill="FFFF00" w:val="clear"/>
        </w:rPr>
        <w:t>{protocolo}</w:t>
      </w:r>
      <w:r>
        <w:rPr>
          <w:rFonts w:ascii="Calibri;sans-serif" w:hAnsi="Calibri;sans-serif"/>
          <w:sz w:val="24"/>
        </w:rPr>
        <w:t xml:space="preserve">, referente ao(à) servidor(a) </w:t>
      </w:r>
      <w:r>
        <w:rPr>
          <w:rFonts w:ascii="Calibri;sans-serif" w:hAnsi="Calibri;sans-serif"/>
          <w:b/>
          <w:bCs/>
          <w:sz w:val="24"/>
          <w:shd w:fill="FFFF00" w:val="clear"/>
        </w:rPr>
        <w:t>{{INICIAIS_SERVIDOR}}</w:t>
      </w:r>
      <w:r>
        <w:rPr>
          <w:rFonts w:ascii="Calibri;sans-serif" w:hAnsi="Calibri;sans-serif"/>
          <w:sz w:val="24"/>
        </w:rPr>
        <w:t xml:space="preserve"> m</w:t>
      </w:r>
      <w:r>
        <w:rPr>
          <w:rFonts w:ascii="Calibri;sans-serif" w:hAnsi="Calibri;sans-serif"/>
          <w:sz w:val="24"/>
          <w:shd w:fill="FFFFFF" w:val="clear"/>
        </w:rPr>
        <w:t xml:space="preserve">atrícula </w:t>
      </w:r>
      <w:r>
        <w:rPr>
          <w:rFonts w:ascii="Calibri;sans-serif" w:hAnsi="Calibri;sans-serif"/>
          <w:b/>
          <w:bCs/>
          <w:sz w:val="24"/>
          <w:shd w:fill="FFFF00" w:val="clear"/>
        </w:rPr>
        <w:t>{{matricula}}</w:t>
      </w:r>
      <w:r>
        <w:rPr>
          <w:rFonts w:ascii="Calibri;sans-serif" w:hAnsi="Calibri;sans-serif"/>
          <w:sz w:val="24"/>
        </w:rPr>
        <w:t xml:space="preserve">, ocupante do cargo de </w:t>
      </w:r>
      <w:r>
        <w:rPr>
          <w:rFonts w:ascii="Calibri;sans-serif" w:hAnsi="Calibri;sans-serif"/>
          <w:b/>
          <w:bCs/>
          <w:sz w:val="24"/>
          <w:shd w:fill="FFFF00" w:val="clear"/>
        </w:rPr>
        <w:t>{{cargo}}</w:t>
      </w:r>
      <w:r>
        <w:rPr>
          <w:rFonts w:ascii="Calibri;sans-serif" w:hAnsi="Calibri;sans-serif"/>
          <w:sz w:val="24"/>
        </w:rPr>
        <w:t xml:space="preserve"> na </w:t>
      </w:r>
      <w:r>
        <w:rPr>
          <w:rFonts w:ascii="Calibri;sans-serif" w:hAnsi="Calibri;sans-serif"/>
          <w:b/>
          <w:bCs/>
          <w:sz w:val="24"/>
          <w:shd w:fill="FFFF00" w:val="clear"/>
        </w:rPr>
        <w:t>{{secretaria}}</w:t>
      </w:r>
      <w:r>
        <w:rPr>
          <w:rFonts w:ascii="Calibri;sans-serif" w:hAnsi="Calibri;sans-serif"/>
          <w:sz w:val="24"/>
        </w:rPr>
        <w:t xml:space="preserve">, a Comissão de Requalificação e Readaptação Funcional (CORREF), fundamentada no relatório médico pericial de </w:t>
      </w:r>
      <w:r>
        <w:rPr>
          <w:rFonts w:ascii="Calibri;sans-serif" w:hAnsi="Calibri;sans-serif"/>
          <w:b/>
          <w:bCs/>
          <w:sz w:val="24"/>
          <w:shd w:fill="FFFF00" w:val="clear"/>
        </w:rPr>
        <w:t>{{data_relatorio}}</w:t>
      </w:r>
      <w:r>
        <w:rPr>
          <w:rFonts w:ascii="Calibri;sans-serif" w:hAnsi="Calibri;sans-serif"/>
          <w:sz w:val="24"/>
        </w:rPr>
        <w:t xml:space="preserve">, reconhece a existência de limitações funcionais que demandam a adequação do ambiente de trabalho. Com base no artigo 27 da Lei Complementar Municipal 009 de 1992 e no Decreto Municipal 17.000, recomenda-se a </w:t>
      </w:r>
      <w:r>
        <w:rPr>
          <w:rFonts w:ascii="Calibri;sans-serif" w:hAnsi="Calibri;sans-serif"/>
          <w:b/>
          <w:bCs/>
          <w:sz w:val="24"/>
          <w:shd w:fill="FFFF00" w:val="clear"/>
        </w:rPr>
        <w:t xml:space="preserve">readaptação </w:t>
      </w:r>
      <w:r>
        <w:rPr>
          <w:rFonts w:ascii="Calibri;sans-serif" w:hAnsi="Calibri;sans-serif"/>
          <w:b/>
          <w:bCs/>
          <w:sz w:val="24"/>
          <w:shd w:fill="FFFF00" w:val="clear"/>
        </w:rPr>
        <w:t>{{tipo_readaptacao}}</w:t>
      </w:r>
      <w:r>
        <w:rPr>
          <w:rFonts w:ascii="Calibri;sans-serif" w:hAnsi="Calibri;sans-serif"/>
          <w:sz w:val="24"/>
        </w:rPr>
        <w:t xml:space="preserve"> para o cargo de </w:t>
      </w:r>
      <w:r>
        <w:rPr>
          <w:rFonts w:ascii="Calibri;sans-serif" w:hAnsi="Calibri;sans-serif"/>
          <w:b/>
          <w:bCs/>
          <w:sz w:val="24"/>
          <w:shd w:fill="FFFF00" w:val="clear"/>
        </w:rPr>
        <w:t>{{cargo_readaptado}}</w:t>
      </w:r>
      <w:r>
        <w:rPr>
          <w:rFonts w:ascii="Calibri;sans-serif" w:hAnsi="Calibri;sans-serif"/>
          <w:sz w:val="24"/>
          <w:shd w:fill="FFFF00" w:val="clear"/>
        </w:rPr>
        <w:t xml:space="preserve"> </w:t>
      </w:r>
      <w:r>
        <w:rPr>
          <w:rFonts w:ascii="Calibri;sans-serif" w:hAnsi="Calibri;sans-serif"/>
          <w:sz w:val="24"/>
          <w:shd w:fill="FFFF00" w:val="clear"/>
        </w:rPr>
        <w:t>{{trecho_prazo}}</w:t>
      </w:r>
      <w:r>
        <w:rPr>
          <w:rFonts w:ascii="Calibri;sans-serif" w:hAnsi="Calibri;sans-serif"/>
          <w:sz w:val="24"/>
        </w:rPr>
        <w:t xml:space="preserve">, visando compatibilizar as atribuições laborais com a condição de saúde do(a) servidor(a), com a garantia de manutenção da carga horária original e de todos os seus direitos remuneratórios, nos termos do artigo 46 do Decreto 17.000 </w:t>
      </w:r>
      <w:r>
        <w:rPr>
          <w:rFonts w:ascii="Calibri;sans-serif" w:hAnsi="Calibri;sans-serif"/>
          <w:sz w:val="24"/>
          <w:shd w:fill="FFFF00" w:val="clear"/>
        </w:rPr>
        <w:t>{{trecho_reavaliacao}}</w:t>
      </w:r>
      <w:r>
        <w:rPr>
          <w:rFonts w:ascii="Calibri;sans-serif" w:hAnsi="Calibri;sans-serif"/>
          <w:sz w:val="24"/>
        </w:rPr>
        <w:t>. A íntegra do relatório técnico encontra-se disponibilizada no processo administrativo digital supracitado.</w:t>
      </w:r>
    </w:p>
    <w:p>
      <w:pPr>
        <w:pStyle w:val="BodyText"/>
        <w:tabs>
          <w:tab w:val="clear" w:pos="708"/>
          <w:tab w:val="center" w:pos="4252" w:leader="none"/>
          <w:tab w:val="right" w:pos="8504" w:leader="none"/>
        </w:tabs>
        <w:spacing w:lineRule="auto" w:line="360" w:before="240" w:after="240"/>
        <w:ind w:hanging="0" w:left="0" w:right="0"/>
        <w:jc w:val="both"/>
        <w:rPr/>
      </w:pPr>
      <w:r>
        <w:rPr>
          <w:rFonts w:ascii="Calibri;sans-serif" w:hAnsi="Calibri;sans-serif"/>
          <w:sz w:val="24"/>
        </w:rPr>
        <w:t xml:space="preserve">Divinópolis, </w:t>
      </w:r>
      <w:r>
        <w:rPr>
          <w:rFonts w:ascii="Calibri;sans-serif" w:hAnsi="Calibri;sans-serif"/>
          <w:sz w:val="24"/>
        </w:rPr>
        <w:fldChar w:fldCharType="begin" w:fldLock="true"/>
      </w:r>
      <w:r>
        <w:rPr>
          <w:sz w:val="24"/>
          <w:rFonts w:ascii="Calibri;sans-serif" w:hAnsi="Calibri;sans-serif"/>
        </w:rPr>
        <w:instrText xml:space="preserve"> DATE \@"d'. 'MMM'. 'yyyy" </w:instrText>
      </w:r>
      <w:r>
        <w:rPr>
          <w:sz w:val="24"/>
          <w:rFonts w:ascii="Calibri;sans-serif" w:hAnsi="Calibri;sans-serif"/>
        </w:rPr>
        <w:fldChar w:fldCharType="separate"/>
      </w:r>
      <w:r>
        <w:rPr>
          <w:sz w:val="24"/>
          <w:rFonts w:ascii="Calibri;sans-serif" w:hAnsi="Calibri;sans-serif"/>
        </w:rPr>
        <w:t>25. jun. 2026</w:t>
      </w:r>
      <w:r>
        <w:rPr>
          <w:sz w:val="24"/>
          <w:rFonts w:ascii="Calibri;sans-serif" w:hAnsi="Calibri;sans-serif"/>
        </w:rPr>
        <w:fldChar w:fldCharType="end"/>
      </w:r>
      <w:r>
        <w:rPr>
          <w:rFonts w:ascii="Calibri;sans-serif" w:hAnsi="Calibri;sans-serif"/>
          <w:sz w:val="24"/>
        </w:rPr>
        <w:t>.</w:t>
      </w:r>
    </w:p>
    <w:p>
      <w:pPr>
        <w:pStyle w:val="BodyText"/>
        <w:tabs>
          <w:tab w:val="clear" w:pos="708"/>
          <w:tab w:val="center" w:pos="4252" w:leader="none"/>
          <w:tab w:val="right" w:pos="8504" w:leader="none"/>
        </w:tabs>
        <w:spacing w:lineRule="auto" w:line="360" w:before="240" w:after="240"/>
        <w:ind w:hanging="0" w:left="0" w:right="0"/>
        <w:jc w:val="both"/>
        <w:rPr>
          <w:rFonts w:ascii="Calibri;sans-serif" w:hAnsi="Calibri;sans-serif"/>
          <w:sz w:val="24"/>
        </w:rPr>
      </w:pPr>
      <w:r>
        <w:rPr>
          <w:rFonts w:ascii="Calibri;sans-serif" w:hAnsi="Calibri;sans-serif"/>
          <w:sz w:val="24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center"/>
        <w:rPr>
          <w:rFonts w:cs="Calibri" w:cstheme="minorHAnsi"/>
          <w:i/>
          <w:i/>
          <w:iCs/>
          <w:sz w:val="14"/>
          <w:szCs w:val="14"/>
        </w:rPr>
      </w:pPr>
      <w:r>
        <w:rPr>
          <w:rFonts w:cs="Calibri" w:cstheme="minorHAnsi"/>
          <w:i/>
          <w:iCs/>
          <w:sz w:val="14"/>
          <w:szCs w:val="14"/>
        </w:rPr>
        <w:t>(assinado digitalmente)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center"/>
        <w:rPr>
          <w:rFonts w:cs="Calibri" w:cstheme="minorHAnsi"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IGOR ANDRADE LARA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center"/>
        <w:rPr>
          <w:rFonts w:eastAsia="Calibri" w:cs="Calibri" w:cstheme="minorHAnsi"/>
          <w:b/>
          <w:bCs/>
          <w:sz w:val="24"/>
          <w:szCs w:val="24"/>
        </w:rPr>
      </w:pPr>
      <w:r>
        <w:rPr>
          <w:rFonts w:eastAsia="Calibri" w:cs="Calibri" w:cstheme="minorHAnsi"/>
          <w:b/>
          <w:bCs/>
          <w:szCs w:val="24"/>
        </w:rPr>
        <w:t>Presidente da Comissão de Requalificação e Readaptação Funcional - CORREF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3" w:gutter="0" w:header="1701" w:top="1758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altName w:val="sans-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9525" distL="0" distR="0" simplePos="0" locked="0" layoutInCell="1" allowOverlap="1" relativeHeight="2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1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8" path="m0,0l-2147483645,0l-2147483645,-2147483646l0,-2147483646xe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985" distB="5715" distL="6985" distR="5715" simplePos="0" locked="0" layoutInCell="1" allowOverlap="1" relativeHeight="5" wp14:anchorId="300F772A">
              <wp:simplePos x="0" y="0"/>
              <wp:positionH relativeFrom="column">
                <wp:posOffset>1083310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2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7" path="m0,0l-2147483645,0l-2147483645,-2147483646l0,-2147483646xe" fillcolor="#f79646" stroked="t" o:allowincell="f" style="position:absolute;margin-left:85.3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7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behindDoc="1" distT="3810" distB="3810" distL="635" distR="0" simplePos="0" locked="0" layoutInCell="1" allowOverlap="1" relativeHeight="8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4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ID="Conector reto 1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9525" distL="0" distR="0" simplePos="0" locked="0" layoutInCell="1" allowOverlap="1" relativeHeight="2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5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8" path="m0,0l-2147483645,0l-2147483645,-2147483646l0,-2147483646xe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985" distB="5715" distL="6985" distR="5715" simplePos="0" locked="0" layoutInCell="1" allowOverlap="1" relativeHeight="5" wp14:anchorId="300F772A">
              <wp:simplePos x="0" y="0"/>
              <wp:positionH relativeFrom="column">
                <wp:posOffset>1083310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6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7" path="m0,0l-2147483645,0l-2147483645,-2147483646l0,-2147483646xe" fillcolor="#f79646" stroked="t" o:allowincell="f" style="position:absolute;margin-left:85.3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7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behindDoc="1" distT="3810" distB="3810" distL="635" distR="0" simplePos="0" locked="0" layoutInCell="1" allowOverlap="1" relativeHeight="8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8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ID="Conector reto 1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a8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themeColor="hyperlink" w:val="0563C1"/>
      <w:u w:val="single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67745"/>
    <w:pPr>
      <w:spacing w:lineRule="auto" w:line="276"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677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BR" w:eastAsia="pt-BR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Application>LibreOffice/25.2.7.2$Windows_X86_64 LibreOffice_project/5cbfd1ab6520636bb5f7b99185aa69bd7456825d</Application>
  <AppVersion>15.0000</AppVersion>
  <Pages>1</Pages>
  <Words>222</Words>
  <Characters>1544</Characters>
  <CharactersWithSpaces>1771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2024-10-21T19:22:00Z</dcterms:created>
  <dc:creator>Syulla Rocha Rodrigues Feitosa</dc:creator>
  <dc:description/>
  <dc:language>pt-BR</dc:language>
  <cp:lastModifiedBy/>
  <cp:lastPrinted>2026-05-11T15:41:01Z</cp:lastPrinted>
  <dcterms:modified xsi:type="dcterms:W3CDTF">2026-06-25T14:33:50Z</dcterms:modified>
  <cp:revision>30</cp:revision>
  <dc:subject>Portaria pasta funcional - final</dc:subject>
  <dc:title>Portaria pasta funcional -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