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8"/>
        </w:rPr>
        <w:t>REGLAMENTO INTERNO BASE</w:t>
      </w:r>
    </w:p>
    <w:p>
      <w:pPr>
        <w:jc w:val="center"/>
      </w:pPr>
      <w:r>
        <w:rPr>
          <w:i/>
          <w:color w:val="0F766E"/>
          <w:sz w:val="22"/>
        </w:rPr>
        <w:t>Reglas de comunidad, uso, construccion y transferencia</w:t>
      </w:r>
    </w:p>
    <w:p/>
    <w:p>
      <w:pPr>
        <w:pStyle w:val="Heading1"/>
        <w:keepNext/>
      </w:pPr>
      <w:r>
        <w:t>I. Principios de la comunidad</w:t>
      </w:r>
    </w:p>
    <w:p>
      <w:pPr>
        <w:pStyle w:val="ListBullet"/>
        <w:spacing w:after="40"/>
      </w:pPr>
      <w:r>
        <w:rPr>
          <w:sz w:val="18"/>
        </w:rPr>
        <w:t>Moon Paracas se organiza como comunidad privada rustica de baja densidad.</w:t>
      </w:r>
    </w:p>
    <w:p>
      <w:pPr>
        <w:pStyle w:val="ListBullet"/>
        <w:spacing w:after="40"/>
      </w:pPr>
      <w:r>
        <w:rPr>
          <w:sz w:val="18"/>
        </w:rPr>
        <w:t>La prioridad es preservar paisaje, orden, seguridad, convivencia, estetica y valor colectivo.</w:t>
      </w:r>
    </w:p>
    <w:p>
      <w:pPr>
        <w:pStyle w:val="ListBullet"/>
        <w:spacing w:after="40"/>
      </w:pPr>
      <w:r>
        <w:rPr>
          <w:sz w:val="18"/>
        </w:rPr>
        <w:t>El uso de areas exclusivas y comunes debe respetar el estatuto, contrato y acuerdos internos.</w:t>
      </w:r>
    </w:p>
    <w:p>
      <w:pPr>
        <w:pStyle w:val="ListBullet"/>
        <w:spacing w:after="40"/>
      </w:pPr>
      <w:r>
        <w:rPr>
          <w:sz w:val="18"/>
        </w:rPr>
        <w:t>Toda mejora fisica debe ser compatible con el concepto de club del desierto y bajo impacto.</w:t>
      </w:r>
    </w:p>
    <w:p>
      <w:pPr>
        <w:pStyle w:val="Heading1"/>
        <w:keepNext/>
      </w:pPr>
      <w:r>
        <w:t>II. Organos y administracion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Organo / responsable</w:t>
            </w:r>
          </w:p>
        </w:tc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Funcion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Asamblea o junta de asociados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Aprobar decisiones relevantes segun estatuto.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Consejo directivo / administracion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Gestionar operacion, cuotas, obras, proveedores, seguridad y comunicaciones.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Comite calificador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Evaluar nuevos ingresos y transferencias.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Comite tecnico / arquitectonico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Revisar propuestas de construccion, cercos y mejoras.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Administracion operativa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Cobranza, mantenimiento, visitas, reportes y atencion al asociado.</w:t>
            </w:r>
          </w:p>
        </w:tc>
      </w:tr>
    </w:tbl>
    <w:p/>
    <w:p>
      <w:pPr>
        <w:pStyle w:val="Heading1"/>
        <w:keepNext/>
      </w:pPr>
      <w:r>
        <w:t>III. Uso de areas de uso exclusivo</w:t>
      </w:r>
    </w:p>
    <w:p>
      <w:pPr>
        <w:pStyle w:val="ListBullet"/>
        <w:spacing w:after="40"/>
      </w:pPr>
      <w:r>
        <w:rPr>
          <w:sz w:val="18"/>
        </w:rPr>
        <w:t>Cada asociado podra usar su area interna asignada conforme al contrato y plano referencial.</w:t>
      </w:r>
    </w:p>
    <w:p>
      <w:pPr>
        <w:pStyle w:val="ListBullet"/>
        <w:spacing w:after="40"/>
      </w:pPr>
      <w:r>
        <w:rPr>
          <w:sz w:val="18"/>
        </w:rPr>
        <w:t>No se permite invadir areas comunes, senderos, zonas de reserva, accesos ni areas de otros asociados.</w:t>
      </w:r>
    </w:p>
    <w:p>
      <w:pPr>
        <w:pStyle w:val="ListBullet"/>
        <w:spacing w:after="40"/>
      </w:pPr>
      <w:r>
        <w:rPr>
          <w:sz w:val="18"/>
        </w:rPr>
        <w:t>No se permite subdividir, arrendar, vender o transferir derechos internos sin procedimiento aprobado.</w:t>
      </w:r>
    </w:p>
    <w:p>
      <w:pPr>
        <w:pStyle w:val="ListBullet"/>
        <w:spacing w:after="40"/>
      </w:pPr>
      <w:r>
        <w:rPr>
          <w:sz w:val="18"/>
        </w:rPr>
        <w:t>Toda ocupacion, modulo, cerramiento o construccion requiere autorizacion previa.</w:t>
      </w:r>
    </w:p>
    <w:p>
      <w:pPr>
        <w:pStyle w:val="Heading1"/>
        <w:keepNext/>
      </w:pPr>
      <w:r>
        <w:t>IV. Lineamientos de construccion y estetica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Regla base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Estilo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Arquitectura ligera, rustica, desertica, sobria y compatible con el paisaje.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Materiales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Madera, piedra, tierra, caña, fibras, tonos arena, estructuras ligeras o materiales aprobados.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Altura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Sujeta a manual tecnico y aprobacion previa.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Cercos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Preferencia por cercos bajos, vegetacion seca, elementos naturales o soluciones aprobadas.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Colores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Paleta tierra, arena, negro mineral, piedra, cobre, blanco calido y tonos no invasivos.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Servicios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Sistemas autonomos o progresivos, sin afectar a terceros ni areas comunes.</w:t>
            </w:r>
          </w:p>
        </w:tc>
      </w:tr>
    </w:tbl>
    <w:p/>
    <w:p>
      <w:pPr>
        <w:pStyle w:val="Heading1"/>
        <w:keepNext/>
      </w:pPr>
      <w:r>
        <w:t>V. Cuotas</w:t>
      </w:r>
    </w:p>
    <w:p>
      <w:pPr>
        <w:pStyle w:val="ListBullet"/>
        <w:spacing w:after="40"/>
      </w:pPr>
      <w:r>
        <w:rPr>
          <w:sz w:val="18"/>
        </w:rPr>
        <w:t>La cuota ordinaria cubre administracion, mantenimiento, vigilancia, limpieza, gestion y operacion.</w:t>
      </w:r>
    </w:p>
    <w:p>
      <w:pPr>
        <w:pStyle w:val="ListBullet"/>
        <w:spacing w:after="40"/>
      </w:pPr>
      <w:r>
        <w:rPr>
          <w:sz w:val="18"/>
        </w:rPr>
        <w:t>Las cuotas extraordinarias podran aprobarse para obras, mejoras, servicios, saneamiento, seguridad o contingencias.</w:t>
      </w:r>
    </w:p>
    <w:p>
      <w:pPr>
        <w:pStyle w:val="ListBullet"/>
        <w:spacing w:after="40"/>
      </w:pPr>
      <w:r>
        <w:rPr>
          <w:sz w:val="18"/>
        </w:rPr>
        <w:t>La falta de pago generara mora, suspension de derechos, gastos administrativos y medidas previstas en estatuto o contrato.</w:t>
      </w:r>
    </w:p>
    <w:p>
      <w:pPr>
        <w:pStyle w:val="ListBullet"/>
        <w:spacing w:after="40"/>
      </w:pPr>
      <w:r>
        <w:rPr>
          <w:sz w:val="18"/>
        </w:rPr>
        <w:t>Todo asociado debe mantener sus pagos al dia para transferir, construir o solicitar constancias.</w:t>
      </w:r>
    </w:p>
    <w:p>
      <w:pPr>
        <w:pStyle w:val="Heading1"/>
        <w:keepNext/>
      </w:pPr>
      <w:r>
        <w:t>VI. Transferencias</w:t>
      </w:r>
    </w:p>
    <w:p>
      <w:pPr>
        <w:pStyle w:val="ListBullet"/>
        <w:spacing w:after="40"/>
      </w:pPr>
      <w:r>
        <w:rPr>
          <w:sz w:val="18"/>
        </w:rPr>
        <w:t>La transferencia de membresia requiere solicitud formal y aprobacion de la asociacion.</w:t>
      </w:r>
    </w:p>
    <w:p>
      <w:pPr>
        <w:pStyle w:val="ListBullet"/>
        <w:spacing w:after="40"/>
      </w:pPr>
      <w:r>
        <w:rPr>
          <w:sz w:val="18"/>
        </w:rPr>
        <w:t>El asociado transferente debe presentar carta de renuncia o cesion y acreditar no deuda.</w:t>
      </w:r>
    </w:p>
    <w:p>
      <w:pPr>
        <w:pStyle w:val="ListBullet"/>
        <w:spacing w:after="40"/>
      </w:pPr>
      <w:r>
        <w:rPr>
          <w:sz w:val="18"/>
        </w:rPr>
        <w:t>El asociado ingresante debe aceptar estatuto, reglamento, contrato, anexos y obligaciones pendientes.</w:t>
      </w:r>
    </w:p>
    <w:p>
      <w:pPr>
        <w:pStyle w:val="ListBullet"/>
        <w:spacing w:after="40"/>
      </w:pPr>
      <w:r>
        <w:rPr>
          <w:sz w:val="18"/>
        </w:rPr>
        <w:t>La transferencia surtira efectos internos desde la aprobacion y actualizacion del padron.</w:t>
      </w:r>
    </w:p>
    <w:p>
      <w:pPr>
        <w:pStyle w:val="Heading1"/>
        <w:keepNext/>
      </w:pPr>
      <w:r>
        <w:t>VII. Prohibiciones</w:t>
      </w:r>
    </w:p>
    <w:p>
      <w:pPr>
        <w:pStyle w:val="ListBullet"/>
        <w:spacing w:after="40"/>
      </w:pPr>
      <w:r>
        <w:rPr>
          <w:sz w:val="18"/>
        </w:rPr>
        <w:t>Construir sin autorizacion.</w:t>
      </w:r>
    </w:p>
    <w:p>
      <w:pPr>
        <w:pStyle w:val="ListBullet"/>
        <w:spacing w:after="40"/>
      </w:pPr>
      <w:r>
        <w:rPr>
          <w:sz w:val="18"/>
        </w:rPr>
        <w:t>Ocupar areas comunes o modificar senderos sin aprobacion.</w:t>
      </w:r>
    </w:p>
    <w:p>
      <w:pPr>
        <w:pStyle w:val="ListBullet"/>
        <w:spacing w:after="40"/>
      </w:pPr>
      <w:r>
        <w:rPr>
          <w:sz w:val="18"/>
        </w:rPr>
        <w:t>Instalar elementos visualmente agresivos o incompatibles con el concepto del proyecto.</w:t>
      </w:r>
    </w:p>
    <w:p>
      <w:pPr>
        <w:pStyle w:val="ListBullet"/>
        <w:spacing w:after="40"/>
      </w:pPr>
      <w:r>
        <w:rPr>
          <w:sz w:val="18"/>
        </w:rPr>
        <w:t>Realizar actividades comerciales no autorizadas.</w:t>
      </w:r>
    </w:p>
    <w:p>
      <w:pPr>
        <w:pStyle w:val="ListBullet"/>
        <w:spacing w:after="40"/>
      </w:pPr>
      <w:r>
        <w:rPr>
          <w:sz w:val="18"/>
        </w:rPr>
        <w:t>Generar ruidos, residuos, riesgos, emisiones o conflictos que afecten a la comunidad.</w:t>
      </w:r>
    </w:p>
    <w:p>
      <w:pPr>
        <w:pStyle w:val="ListBullet"/>
        <w:spacing w:after="40"/>
      </w:pPr>
      <w:r>
        <w:rPr>
          <w:sz w:val="18"/>
        </w:rPr>
        <w:t>Prometer, ofrecer o revender derechos en condiciones distintas a las autorizadas internamente.</w:t>
      </w:r>
    </w:p>
    <w:p>
      <w:pPr>
        <w:pStyle w:val="Heading1"/>
        <w:keepNext/>
      </w:pPr>
      <w:r>
        <w:t>VIII. Sanciones</w:t>
      </w:r>
    </w:p>
    <w:p>
      <w:r>
        <w:t>Las infracciones podran generar llamadas de atencion, multas, suspension de derechos, retiro de elementos no autorizados, bloqueo de transferencias, imposibilidad de emitir constancias, resolucion contractual o demas medidas permitidas por estatuto y normativa aplicable.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  <w:sz w:val="16"/>
              </w:rPr>
              <w:t>LA ASOCIACION / ENTIDAD ADMINISTRADORA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  <w:sz w:val="16"/>
              </w:rPr>
              <w:t>EL ASOCIADO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Documento de trabajo. Debe ser revisado por abogado antes de firma, uso comercial o elevacion notarial.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MOON PARACAS - Reglamento interno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