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sz w:val="40"/>
          <w:szCs w:val="40"/>
        </w:rPr>
        <w:t xml:space="preserve">Moon Paracas / Paracas Dome</w:t>
      </w:r>
    </w:p>
    <w:p>
      <w:pPr>
        <w:spacing w:after="40"/>
        <w:jc w:val="center"/>
      </w:pPr>
      <w:r>
        <w:rPr>
          <w:b/>
          <w:bCs/>
          <w:color w:val="444444"/>
          <w:sz w:val="28"/>
          <w:szCs w:val="28"/>
        </w:rPr>
        <w:t xml:space="preserve">Checklist de Cierre del Proyecto</w:t>
      </w:r>
    </w:p>
    <w:p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 xml:space="preserve">Preparado a partir de la revisión de la carpeta del proyecto — 14 de agosto de 2026</w:t>
      </w:r>
    </w:p>
    <w:p>
      <w:pPr>
        <w:pBdr>
          <w:bottom w:val="single" w:color="CCCCCC" w:sz="6" w:space="1"/>
        </w:pBdr>
        <w:spacing w:after="300"/>
      </w:pPr>
      <w:r>
        <w:t xml:space="preserve"/>
      </w:r>
    </w:p>
    <w:p>
      <w:pPr>
        <w:spacing w:after="160"/>
      </w:pPr>
      <w:r>
        <w:rPr>
          <w:i/>
          <w:iCs/>
          <w:color w:val="555555"/>
        </w:rPr>
        <w:t xml:space="preserve">Resumen: el masterplan y los documentos comerciales/legales usan hoy cifras distintas (312 lotes en el cuadro financiero vs. 270 lotes en el masterplan V3), la Fase 2 del sitio quedó implementada solo en local, y hay dos negociaciones/acuerdos abiertos (Sr. Ríos y la posesionaria de Paracas Dome). Este documento ordena lo que falta por prioridad.</w:t>
      </w:r>
    </w:p>
    <w:p>
      <w:pPr>
        <w:pStyle w:val="Heading1"/>
        <w:spacing w:after="160" w:before="320"/>
      </w:pPr>
      <w:r>
        <w:rPr>
          <w:b/>
          <w:bCs/>
        </w:rPr>
        <w:t xml:space="preserve">1. Reconciliar el masterplan con los documentos comerciales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/>
          <w:bCs/>
        </w:rPr>
        <w:t xml:space="preserve">Adoptar la versión V3 (270 lotes) del masterplan "Moon Constellations" como única fuente de verdad.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 w:val="false"/>
          <w:bCs w:val="false"/>
        </w:rPr>
        <w:t xml:space="preserve">Recalcular CUADRO_RESUMEN_PROYECTO.md (áreas, precios, CAPEX, cocheras) sobre los 270 lotes.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 w:val="false"/>
          <w:bCs w:val="false"/>
        </w:rPr>
        <w:t xml:space="preserve">Regenerar el inventario que alimenta Firestore / el sitio web con los IDs y metadatos del V3.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 w:val="false"/>
          <w:bCs w:val="false"/>
        </w:rPr>
        <w:t xml:space="preserve">Actualizar las 10 plantillas de contrato para que reflejen la nomenclatura y áreas finales.</w:t>
      </w:r>
    </w:p>
    <w:p>
      <w:pPr>
        <w:spacing w:after="140"/>
        <w:ind w:left="720"/>
      </w:pPr>
      <w:r>
        <w:rPr>
          <w:i/>
          <w:iCs/>
          <w:color w:val="666666"/>
          <w:sz w:val="20"/>
          <w:szCs w:val="20"/>
        </w:rPr>
        <w:t xml:space="preserve">Hoy conviven 312 / 288 / 278 / 270 lotes en distintos archivos — elegir uno y propagarlo evita contratos con datos incorrectos.</w:t>
      </w:r>
    </w:p>
    <w:p>
      <w:pPr>
        <w:pStyle w:val="Heading1"/>
        <w:spacing w:after="160" w:before="320"/>
      </w:pPr>
      <w:r>
        <w:rPr>
          <w:b/>
          <w:bCs/>
        </w:rPr>
        <w:t xml:space="preserve">2. Obtener el sign-off profesional del masterplan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/>
          <w:bCs/>
        </w:rPr>
        <w:t xml:space="preserve">Enviar el V3 (DXF/GeoJSON) a un topógrafo o arquitecto habilitado para revisión y firma.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 w:val="false"/>
          <w:bCs w:val="false"/>
        </w:rPr>
        <w:t xml:space="preserve">Confirmar habilitación urbana / municipalidad antes de usar el plano en preventa contractual.</w:t>
      </w:r>
    </w:p>
    <w:p>
      <w:pPr>
        <w:spacing w:after="140"/>
        <w:ind w:left="720"/>
      </w:pPr>
      <w:r>
        <w:rPr>
          <w:i/>
          <w:iCs/>
          <w:color w:val="666666"/>
          <w:sz w:val="20"/>
          <w:szCs w:val="20"/>
        </w:rPr>
        <w:t xml:space="preserve">Los tres archivos de auditoría (V2, V2.2, V3) dicen explícitamente que son "candidato conceptual" pendiente de firma profesional.</w:t>
      </w:r>
    </w:p>
    <w:p>
      <w:pPr>
        <w:pStyle w:val="Heading1"/>
        <w:spacing w:after="160" w:before="320"/>
      </w:pPr>
      <w:r>
        <w:rPr>
          <w:b/>
          <w:bCs/>
        </w:rPr>
        <w:t xml:space="preserve">3. Cerrar los bloqueos técnicos de producción (Fase 2)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 w:val="false"/>
          <w:bCs w:val="false"/>
        </w:rPr>
        <w:t xml:space="preserve">Rotar cualquier secreto que haya usado el prefijo público VITE_.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 w:val="false"/>
          <w:bCs w:val="false"/>
        </w:rPr>
        <w:t xml:space="preserve">Configurar Firebase Admin real, desplegar reglas de escritura bloqueada y poblar el inventario aprobado.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 w:val="false"/>
          <w:bCs w:val="false"/>
        </w:rPr>
        <w:t xml:space="preserve">Configurar y probar Mercado Pago en sandbox y luego en producción.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 w:val="false"/>
          <w:bCs w:val="false"/>
        </w:rPr>
        <w:t xml:space="preserve">Elegir proveedor de CRM, configurar CRM_WEBHOOK_URL / CRM_WEBHOOK_SECRET y validar el mapeo de etapas.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 w:val="false"/>
          <w:bCs w:val="false"/>
        </w:rPr>
        <w:t xml:space="preserve">Activar Web Analytics y Speed Insights en el panel de Vercel.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 w:val="false"/>
          <w:bCs w:val="false"/>
        </w:rPr>
        <w:t xml:space="preserve">Publicar en /documentos solo documentos legales aprobados, versionados y con responsable asignado.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 w:val="false"/>
          <w:bCs w:val="false"/>
        </w:rPr>
        <w:t xml:space="preserve">Completar identidad legal y revisar la política de privacidad antes de cobrar en producción.</w:t>
      </w:r>
    </w:p>
    <w:p>
      <w:pPr>
        <w:pStyle w:val="Heading1"/>
        <w:spacing w:after="160" w:before="320"/>
      </w:pPr>
      <w:r>
        <w:rPr>
          <w:b/>
          <w:bCs/>
        </w:rPr>
        <w:t xml:space="preserve">4. Formalizar Paracas Dome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 w:val="false"/>
          <w:bCs w:val="false"/>
        </w:rPr>
        <w:t xml:space="preserve">Redactar y firmar el acuerdo marco con la posesionaria (S/5.00 por m² vendido/asignado).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 w:val="false"/>
          <w:bCs w:val="false"/>
        </w:rPr>
        <w:t xml:space="preserve">Anexo de liquidación y cronograma de pagos contra cobranza.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 w:val="false"/>
          <w:bCs w:val="false"/>
        </w:rPr>
        <w:t xml:space="preserve">Declaración de legitimidad posesoria y no interferencia.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 w:val="false"/>
          <w:bCs w:val="false"/>
        </w:rPr>
        <w:t xml:space="preserve">Plano / KML del área afectada a la asociación.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 w:val="false"/>
          <w:bCs w:val="false"/>
        </w:rPr>
        <w:t xml:space="preserve">Contrato de incorporación de afiliados Paracas Dome.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 w:val="false"/>
          <w:bCs w:val="false"/>
        </w:rPr>
        <w:t xml:space="preserve">Convenio de uso de amenidades Moon Condominio - Paracas Dome.</w:t>
      </w:r>
    </w:p>
    <w:p>
      <w:pPr>
        <w:pStyle w:val="Heading1"/>
        <w:spacing w:after="160" w:before="320"/>
      </w:pPr>
      <w:r>
        <w:rPr>
          <w:b/>
          <w:bCs/>
        </w:rPr>
        <w:t xml:space="preserve">5. Cerrar la negociación abierta (Sr. Ríos)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 w:val="false"/>
          <w:bCs w:val="false"/>
        </w:rPr>
        <w:t xml:space="preserve">Decidir entre los tres escenarios de precio (S/20,000 al contado, S/25,000 recomendado, S/35,000 financiado).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 w:val="false"/>
          <w:bCs w:val="false"/>
        </w:rPr>
        <w:t xml:space="preserve">Formalizar con contrato antes de que cambien las cifras del punto 1.</w:t>
      </w:r>
    </w:p>
    <w:p>
      <w:pPr>
        <w:pStyle w:val="Heading1"/>
        <w:spacing w:after="160" w:before="320"/>
      </w:pPr>
      <w:r>
        <w:rPr>
          <w:b/>
          <w:bCs/>
        </w:rPr>
        <w:t xml:space="preserve">6. Verificar la suite de pruebas E2E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 w:val="false"/>
          <w:bCs w:val="false"/>
        </w:rPr>
        <w:t xml:space="preserve">Confirmar que el track de testing (Tiers 1-4) del plan de Antigravity efectivamente corrió y pasó.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 w:val="false"/>
          <w:bCs w:val="false"/>
        </w:rPr>
        <w:t xml:space="preserve">Ejecutar el endurecimiento adversarial (Tier 5) antes de dar por cerrado el sitio.</w:t>
      </w:r>
    </w:p>
    <w:p>
      <w:pPr>
        <w:pStyle w:val="Heading1"/>
        <w:spacing w:after="160" w:before="320"/>
      </w:pPr>
      <w:r>
        <w:rPr>
          <w:b/>
          <w:bCs/>
        </w:rPr>
        <w:t xml:space="preserve">7. Desplegar y lanzar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 w:val="false"/>
          <w:bCs w:val="false"/>
        </w:rPr>
        <w:t xml:space="preserve">Build de producción limpio (TypeScript y lint sin errores) sobre los datos ya reconciliados.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 w:val="false"/>
          <w:bCs w:val="false"/>
        </w:rPr>
        <w:t xml:space="preserve">Desplegar a producción una vez cerrados los puntos 1 a 6.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☐ </w:t>
      </w:r>
      <w:r>
        <w:rPr>
          <w:b w:val="false"/>
          <w:bCs w:val="false"/>
        </w:rPr>
        <w:t xml:space="preserve">Lanzar comercialmente: el comparador, el brochure y el simulador ya están construidos y solo esperan datos correctos.</w:t>
      </w:r>
    </w:p>
    <w:p>
      <w:pPr>
        <w:pBdr>
          <w:top w:val="single" w:color="CCCCCC" w:sz="6" w:space="1"/>
        </w:pBdr>
        <w:spacing w:before="400"/>
      </w:pPr>
      <w:r>
        <w:t xml:space="preserve"/>
      </w:r>
    </w:p>
    <w:p>
      <w:pPr>
        <w:spacing w:before="200"/>
      </w:pPr>
      <w:r>
        <w:rPr>
          <w:i/>
          <w:iCs/>
          <w:color w:val="555555"/>
        </w:rPr>
        <w:t xml:space="preserve">Orden recomendado: 1 → 2 → 3 → 4/5 en paralelo → 6 → 7.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none"/>
      <w:lvlJc w:val="left"/>
      <w:pPr>
        <w:ind w:left="431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2026-08-14T17:01:30.090Z</dcterms:created>
  <dcterms:modified xsi:type="dcterms:W3CDTF">2026-08-14T17:01:30.100Z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