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3A2E"/>
          <w:sz w:val="44"/>
        </w:rPr>
        <w:t>MOON PARACAS - CONDOMINIO RÚSTICO DE LUJO</w:t>
      </w:r>
    </w:p>
    <w:p>
      <w:pPr>
        <w:jc w:val="center"/>
      </w:pPr>
      <w:r>
        <w:rPr>
          <w:i/>
          <w:color w:val="555555"/>
          <w:sz w:val="28"/>
        </w:rPr>
        <w:t>Estrategia Comercial, Inversiones (CAPEX) y Plan Financiero Consolidado</w:t>
      </w:r>
    </w:p>
    <w:p>
      <w:r>
        <w:br/>
        <w:br/>
      </w:r>
    </w:p>
    <w:p>
      <w:pPr>
        <w:jc w:val="center"/>
      </w:pPr>
      <w:r>
        <w:rPr>
          <w:color w:val="555555"/>
          <w:sz w:val="21"/>
        </w:rPr>
        <w:t>Preparado por: Oficina del Jefe Financiero (CFO)</w:t>
        <w:br/>
        <w:t>Fecha de Emisión: 23 de Junio de 2026</w:t>
        <w:br/>
        <w:t>Versión: 2.0 (Tarifario Optimizado S/ 120/m²)</w:t>
        <w:br/>
        <w:t>Estado: Aprobado para Lanzamiento</w:t>
      </w:r>
    </w:p>
    <w:p>
      <w:r>
        <w:br w:type="page"/>
      </w:r>
    </w:p>
    <w:p>
      <w:pPr>
        <w:pStyle w:val="Heading1"/>
      </w:pPr>
      <w:r>
        <w:rPr>
          <w:b/>
          <w:color w:val="2D3A2E"/>
        </w:rPr>
        <w:t>1. RESUMEN EJECUTIVO DEL PROYECTO</w:t>
      </w:r>
    </w:p>
    <w:p>
      <w:r>
        <w:t>El proyecto Moon Paracas es un desarrollo inmobiliario residencial exclusivo ubicado en el Tablazo de Paracas, Ica. Sobre un terreno matriz de 11.2 hectáreas (112,391.80 m²), el plan de diseño urbano ha sido optimizado para consolidar una oferta premium de baja densidad, combinando villas de vivienda ecológica con una infraestructura común de alta gama (Club Oasis) bajo un modelo de financiamiento directo y de caja positiva.</w:t>
      </w:r>
    </w:p>
    <w:p>
      <w:r>
        <w:t xml:space="preserve">La cabida técnica definitiva establece un total de </w:t>
      </w:r>
      <w:r>
        <w:rPr>
          <w:b/>
        </w:rPr>
        <w:t>312 lotes residenciales</w:t>
      </w:r>
      <w:r>
        <w:t xml:space="preserve"> y </w:t>
      </w:r>
      <w:r>
        <w:rPr>
          <w:b/>
        </w:rPr>
        <w:t>138 cocheras privadas</w:t>
      </w:r>
      <w:r>
        <w:t>, alcanzando una superficie útil vendible de 58,912.61 m². La tasa de ocupación del suelo mantiene un balance ecológico estricto, destinando más del 47% del área total a aportes de amenidades (Oasis central, decks, senderos peatonales), vías estabilizadas de circulación interna y retiro perimetral normativo.</w:t>
      </w:r>
    </w:p>
    <w:p>
      <w:pPr>
        <w:pStyle w:val="Heading1"/>
      </w:pPr>
      <w:r>
        <w:rPr>
          <w:b/>
          <w:color w:val="2D3A2E"/>
        </w:rPr>
        <w:t>2. PRESUPUESTO DE OBRAS E INFRAESTRUCTURA (CAPEX)</w:t>
      </w:r>
    </w:p>
    <w:p>
      <w:r>
        <w:t>La inversión de infraestructura rústica de lujo se ejecuta de forma progresiva para mantener un flujo de caja positivo, evitando el sobreendeudamiento. El presupuesto total de obra asciende a S/ 3,204,280.52 (incluyendo un 10% de Gastos Generales y 8% de Utilidad e Imprevistos del contratista). Los principales rubros de desarrollo son:</w:t>
      </w:r>
    </w:p>
    <w:p>
      <w:pPr>
        <w:pStyle w:val="ListBullet"/>
      </w:pPr>
      <w:r>
        <w:rPr>
          <w:b/>
        </w:rPr>
        <w:t>Trabajos Preliminares y Movimiento de Tierras (S/ 126,395.96):</w:t>
      </w:r>
      <w:r>
        <w:t xml:space="preserve"> Delimitación topográfica satelital, replanteo e hitos, y compactación inicial de 17,137.84 m² de vías internas en arena.</w:t>
      </w:r>
    </w:p>
    <w:p>
      <w:pPr>
        <w:pStyle w:val="ListBullet"/>
      </w:pPr>
      <w:r>
        <w:rPr>
          <w:b/>
        </w:rPr>
        <w:t>Pórtico Monumental y Caseta (S/ 135,000.00):</w:t>
      </w:r>
      <w:r>
        <w:t xml:space="preserve"> Acceso distintivo construido con troncos de eucalipto seco de 8"-10", muros de pirca de piedra de cantera y caseta de vigilancia blindada con concreto Tipo V.</w:t>
      </w:r>
    </w:p>
    <w:p>
      <w:pPr>
        <w:pStyle w:val="ListBullet"/>
      </w:pPr>
      <w:r>
        <w:rPr>
          <w:b/>
        </w:rPr>
        <w:t>Cercos Perimetrales (S/ 334,500.00):</w:t>
      </w:r>
      <w:r>
        <w:t xml:space="preserve"> Cerco frontal de pirca decorativa de piedra caliza dorada (450 m, h=1.80m) y cercado de seguridad perimetral ligero (1200 m) con postes de eucalipto y alambre de púas.</w:t>
      </w:r>
    </w:p>
    <w:p>
      <w:pPr>
        <w:pStyle w:val="ListBullet"/>
      </w:pPr>
      <w:r>
        <w:rPr>
          <w:b/>
        </w:rPr>
        <w:t>Vías Internas y Senderos Peatonales (S/ 491,446.00):</w:t>
      </w:r>
      <w:r>
        <w:t xml:space="preserve"> Living Streets estabilizadas con emulsión orgánica de arcilla y cal (17,137.84 m²), y alamedas peatonales con arcilla compactada fina (3,500 m²).</w:t>
      </w:r>
    </w:p>
    <w:p>
      <w:pPr>
        <w:pStyle w:val="ListBullet"/>
      </w:pPr>
      <w:r>
        <w:rPr>
          <w:b/>
        </w:rPr>
        <w:t>Club Oasis y Recreación Común (S/ 796,400.00):</w:t>
      </w:r>
      <w:r>
        <w:t xml:space="preserve"> Corazón social del condominio con una Piscina Oasis de piedra de río (395 m²), espejo de agua ornamental (252 m²), decks de madera shihuahuaco tratada (220 m²), fogón central integrado en piedra y xeripaisajismo (cactus, agaves y buganvilias).</w:t>
      </w:r>
    </w:p>
    <w:p>
      <w:pPr>
        <w:pStyle w:val="ListBullet"/>
      </w:pPr>
      <w:r>
        <w:rPr>
          <w:b/>
        </w:rPr>
        <w:t>Instalaciones Sanitarias y Planta de Tratamiento (S/ 487,250.00):</w:t>
      </w:r>
      <w:r>
        <w:t xml:space="preserve"> Red condominial de agua potable de HDPE (2,850 m), cisterna central de concreto armado de 50 m³ y Planta de Tratamiento de Aguas Residuales (PTAR) biológica para reuso en riego.</w:t>
      </w:r>
    </w:p>
    <w:p>
      <w:pPr>
        <w:pStyle w:val="ListBullet"/>
      </w:pPr>
      <w:r>
        <w:rPr>
          <w:b/>
        </w:rPr>
        <w:t>Red Eléctrica Solar e Iluminación (S/ 452,500.00):</w:t>
      </w:r>
      <w:r>
        <w:t xml:space="preserve"> Sistema ecológico autónomo con 95 postes led solares de 60W y una pérgola fotovoltaica central con banco de baterías de litio para carga de buggies eléctricos comunes.</w:t>
      </w:r>
    </w:p>
    <w:p>
      <w:r>
        <w:br w:type="page"/>
      </w:r>
    </w:p>
    <w:p>
      <w:pPr>
        <w:pStyle w:val="Heading1"/>
      </w:pPr>
      <w:r>
        <w:rPr>
          <w:b/>
          <w:color w:val="2D3A2E"/>
        </w:rPr>
        <w:t>3. ESTRATEGIA COMERCIAL Y TARIFARIO DE LOTES</w:t>
      </w:r>
    </w:p>
    <w:p>
      <w:r>
        <w:t>El tarifario ha sido optimizado y reestructurado de manera conservadora y competitiva para asegurar una tracción de ventas rápida. Se establecen las siguientes tarifas oficiales por metro cuadrado: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4A5D4C"/>
            <w:tcMar>
              <w:top w:w="120" w:type="dxa"/>
              <w:bottom w:w="120" w:type="dxa"/>
              <w:left w:w="150" w:type="dxa"/>
              <w:right w:w="150" w:type="dxa"/>
            </w:tcMar>
          </w:tcPr>
          <w:p>
            <w:pPr>
              <w:jc w:val="center"/>
            </w:pPr>
            <w:r>
              <w:rPr>
                <w:b/>
                <w:color w:val="FFFFFF"/>
              </w:rPr>
              <w:t>Tipología</w:t>
            </w:r>
          </w:p>
        </w:tc>
        <w:tc>
          <w:tcPr>
            <w:tcW w:type="dxa" w:w="1872"/>
            <w:shd w:fill="4A5D4C"/>
            <w:tcMar>
              <w:top w:w="120" w:type="dxa"/>
              <w:bottom w:w="120" w:type="dxa"/>
              <w:left w:w="150" w:type="dxa"/>
              <w:right w:w="150" w:type="dxa"/>
            </w:tcMar>
          </w:tcPr>
          <w:p>
            <w:pPr>
              <w:jc w:val="center"/>
            </w:pPr>
            <w:r>
              <w:rPr>
                <w:b/>
                <w:color w:val="FFFFFF"/>
              </w:rPr>
              <w:t>Precio Base x m²</w:t>
            </w:r>
          </w:p>
        </w:tc>
        <w:tc>
          <w:tcPr>
            <w:tcW w:type="dxa" w:w="1872"/>
            <w:shd w:fill="4A5D4C"/>
            <w:tcMar>
              <w:top w:w="120" w:type="dxa"/>
              <w:bottom w:w="120" w:type="dxa"/>
              <w:left w:w="150" w:type="dxa"/>
              <w:right w:w="150" w:type="dxa"/>
            </w:tcMar>
          </w:tcPr>
          <w:p>
            <w:pPr>
              <w:jc w:val="center"/>
            </w:pPr>
            <w:r>
              <w:rPr>
                <w:b/>
                <w:color w:val="FFFFFF"/>
              </w:rPr>
              <w:t>Unidades</w:t>
            </w:r>
          </w:p>
        </w:tc>
        <w:tc>
          <w:tcPr>
            <w:tcW w:type="dxa" w:w="1872"/>
            <w:shd w:fill="4A5D4C"/>
            <w:tcMar>
              <w:top w:w="120" w:type="dxa"/>
              <w:bottom w:w="120" w:type="dxa"/>
              <w:left w:w="150" w:type="dxa"/>
              <w:right w:w="150" w:type="dxa"/>
            </w:tcMar>
          </w:tcPr>
          <w:p>
            <w:pPr>
              <w:jc w:val="center"/>
            </w:pPr>
            <w:r>
              <w:rPr>
                <w:b/>
                <w:color w:val="FFFFFF"/>
              </w:rPr>
              <w:t>Área Promedio</w:t>
            </w:r>
          </w:p>
        </w:tc>
        <w:tc>
          <w:tcPr>
            <w:tcW w:type="dxa" w:w="1872"/>
            <w:shd w:fill="4A5D4C"/>
            <w:tcMar>
              <w:top w:w="120" w:type="dxa"/>
              <w:bottom w:w="120" w:type="dxa"/>
              <w:left w:w="150" w:type="dxa"/>
              <w:right w:w="150" w:type="dxa"/>
            </w:tcMar>
          </w:tcPr>
          <w:p>
            <w:pPr>
              <w:jc w:val="center"/>
            </w:pPr>
            <w:r>
              <w:rPr>
                <w:b/>
                <w:color w:val="FFFFFF"/>
              </w:rPr>
              <w:t>Recaudación Proyectada</w:t>
            </w:r>
          </w:p>
        </w:tc>
      </w:tr>
      <w:tr>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t>Villas Premium (Oasis)</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170.00/m²</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t>52</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235.77 m²</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2,084,177.90</w:t>
            </w:r>
          </w:p>
        </w:tc>
      </w:tr>
      <w:tr>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t>Aldeas Zen (Eco-Domo)</w:t>
            </w:r>
          </w:p>
        </w:tc>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60.00/m²</w:t>
            </w:r>
          </w:p>
        </w:tc>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t>10</w:t>
            </w:r>
          </w:p>
        </w:tc>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233.59 m²</w:t>
            </w:r>
          </w:p>
        </w:tc>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140,155.20</w:t>
            </w:r>
          </w:p>
        </w:tc>
      </w:tr>
      <w:tr>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t>Villas Estándar</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120.00/m² *</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t>94</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194.68 m²</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1,967,746.80</w:t>
            </w:r>
          </w:p>
        </w:tc>
      </w:tr>
      <w:tr>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t>Casas Compactas (Tiny House)</w:t>
            </w:r>
          </w:p>
        </w:tc>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120.00/m² *</w:t>
            </w:r>
          </w:p>
        </w:tc>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t>130</w:t>
            </w:r>
          </w:p>
        </w:tc>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140.78 m²</w:t>
            </w:r>
          </w:p>
        </w:tc>
        <w:tc>
          <w:tcPr>
            <w:tcW w:type="dxa" w:w="1872"/>
            <w:shd w:fill="F4F7F5"/>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1,634,136.60</w:t>
            </w:r>
          </w:p>
        </w:tc>
      </w:tr>
      <w:tr>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left"/>
            </w:pPr>
            <w:r>
              <w:t>Villas de Borde (Ajuste)</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120.00/m²</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center"/>
            </w:pPr>
            <w:r>
              <w:t>26</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236.64 m²</w:t>
            </w:r>
          </w:p>
        </w:tc>
        <w:tc>
          <w:tcPr>
            <w:tcW w:type="dxa" w:w="1872"/>
            <w:shd w:fill="FFFFFF"/>
            <w:tcMar>
              <w:top w:w="100" w:type="dxa"/>
              <w:bottom w:w="100" w:type="dxa"/>
              <w:left w:w="150" w:type="dxa"/>
              <w:right w:w="150" w:type="dxa"/>
            </w:tcMar>
            <w:tcBorders>
              <w:top w:sz="4" w:val="single" w:color="D3D3D3" w:space="0"/>
              <w:left w:sz="4" w:val="single" w:color="D3D3D3" w:space="0"/>
              <w:bottom w:sz="4" w:val="single" w:color="D3D3D3" w:space="0"/>
              <w:right w:sz="4" w:val="single" w:color="D3D3D3" w:space="0"/>
            </w:tcBorders>
          </w:tcPr>
          <w:p>
            <w:pPr>
              <w:jc w:val="right"/>
            </w:pPr>
            <w:r>
              <w:t>S/ 738,330.00</w:t>
            </w:r>
          </w:p>
        </w:tc>
      </w:tr>
    </w:tbl>
    <w:p>
      <w:r>
        <w:br/>
      </w:r>
    </w:p>
    <w:p>
      <w:r>
        <w:t>Adicionalmente, se cuenta con una oferta de 138 estacionamientos de propiedad exclusiva (Cochera Plus) con un área unitaria de 12.50 m² (2.50m x 5.00m) comercializados a una tarifa plana de S/ 5,000.00 por unidad. El valor bruto de recaudación total de cocheras asciende a S/ 690,000.00. La proyección de ventas bruta total (100% vendida) del proyecto bajo este modelo es de S/ 7,254,546.50.</w:t>
      </w:r>
    </w:p>
    <w:p>
      <w:r>
        <w:rPr>
          <w:b/>
        </w:rPr>
        <w:t>Estrategias Clave de Venta (Launch Phases):</w:t>
      </w:r>
    </w:p>
    <w:p>
      <w:pPr>
        <w:pStyle w:val="ListBullet"/>
      </w:pPr>
      <w:r>
        <w:rPr>
          <w:b/>
        </w:rPr>
        <w:t>Fase de Oferta de Lanzamiento (30 Lotes):</w:t>
      </w:r>
      <w:r>
        <w:t xml:space="preserve"> Los primeros 30 lotes disponibles de tipología Premium se comercializan con una tarifa especial de promoción de S/ 60.00 / m² (promedio de S/ 13,087.16 por lote). Esta agresiva campaña acelera la venta en los meses 1 y 2, garantizando la tracción comercial y el capital de inicio.</w:t>
      </w:r>
    </w:p>
    <w:p>
      <w:pPr>
        <w:pStyle w:val="ListBullet"/>
      </w:pPr>
      <w:r>
        <w:rPr>
          <w:b/>
        </w:rPr>
        <w:t>Fase Premium (Frente a Área Común):</w:t>
      </w:r>
      <w:r>
        <w:t xml:space="preserve"> Lotes residenciales preferentes ubicados frente al Oasis central y la piscina comunes, con una tarifa base de S/ 170.00 / m² (el saldo de los 22 lotes Premium una vez agotada la fase de oferta).</w:t>
      </w:r>
    </w:p>
    <w:p>
      <w:pPr>
        <w:pStyle w:val="ListBullet"/>
      </w:pPr>
      <w:r>
        <w:rPr>
          <w:b/>
        </w:rPr>
        <w:t>Tarifa Única Estándar (Sin importar metraje):</w:t>
      </w:r>
      <w:r>
        <w:t xml:space="preserve"> Todos los demás lotes del masterplan (Zen, Estándar, Tiny House y de Ajuste posterior) se comercializan bajo una tarifa plana altamente competitiva de S/ 120.00 / m², simplificando el proceso comercial de preventa.</w:t>
      </w:r>
    </w:p>
    <w:p>
      <w:pPr>
        <w:pStyle w:val="ListBullet"/>
      </w:pPr>
      <w:r>
        <w:rPr>
          <w:b/>
        </w:rPr>
        <w:t>Financiamiento Directo (30/70):</w:t>
      </w:r>
      <w:r>
        <w:t xml:space="preserve"> Estructura comercial atractiva para el cliente: cuota inicial del 30% al momento de la firma del contrato y el 70% restante financiado directamente en 12 cuotas mensuales sin intereses, iniciando el cobro al mes siguiente de la venta.</w:t>
      </w:r>
    </w:p>
    <w:p>
      <w:r>
        <w:br w:type="page"/>
      </w:r>
    </w:p>
    <w:p>
      <w:pPr>
        <w:pStyle w:val="Heading1"/>
      </w:pPr>
      <w:r>
        <w:rPr>
          <w:b/>
          <w:color w:val="2D3A2E"/>
        </w:rPr>
        <w:t>4. PROYECCIONES FINANCIERAS Y ANÁLISIS DE FLUJO DE CAJA</w:t>
      </w:r>
    </w:p>
    <w:p>
      <w:r>
        <w:t>Como Jefe Financiero, he realizado el modelado del flujo de caja del proyecto bajo un esquema de caja positiva progresiva, donde las cuotas iniciales y las cobranzas del financiamiento directo cubren los egresos operacionales a lo largo del horizonte de 24 meses. Las principales variables e indicadores financieros clave son:</w:t>
      </w:r>
    </w:p>
    <w:p>
      <w:pPr>
        <w:pStyle w:val="ListBullet"/>
      </w:pPr>
      <w:r>
        <w:rPr>
          <w:b/>
        </w:rPr>
        <w:t>Recaudación Total Proyectada (Ingresos Brutos):</w:t>
      </w:r>
      <w:r>
        <w:t xml:space="preserve"> S/ 7,254,546.50 (Lotes: S/ 6,564,546.50 + Cocheras: S/ 690,000.00).</w:t>
      </w:r>
    </w:p>
    <w:p>
      <w:pPr>
        <w:pStyle w:val="ListBullet"/>
      </w:pPr>
      <w:r>
        <w:rPr>
          <w:b/>
        </w:rPr>
        <w:t>Egresos Totales del Proyecto (CAPEX + OPEX):</w:t>
      </w:r>
      <w:r>
        <w:t xml:space="preserve"> S/ 4,751,862.38, el cual se divide en: CAPEX de obras civiles (S/ 3,204,280.52), Pago por adquisición del terreno (S/ 900,000.00 a razón de S/ 37,500.00/mes), Comisiones comerciales del 4% (S/ 287,581.86) y Gastos Administrativos/Legales (S/ 360,000.00 a razón de S/ 15,000.00/mes).</w:t>
      </w:r>
    </w:p>
    <w:p>
      <w:pPr>
        <w:pStyle w:val="ListBullet"/>
      </w:pPr>
      <w:r>
        <w:rPr>
          <w:b/>
        </w:rPr>
        <w:t>Utilidad Neta Proyectada:</w:t>
      </w:r>
      <w:r>
        <w:t xml:space="preserve"> S/ 1,662,902.77. Representa un margen de utilidad sobre ingresos del 22.92% y un retorno de inversión sustancial.</w:t>
      </w:r>
    </w:p>
    <w:p>
      <w:pPr>
        <w:pStyle w:val="ListBullet"/>
      </w:pPr>
      <w:r>
        <w:rPr>
          <w:b/>
        </w:rPr>
        <w:t>Punto de Equilibrio Financiero (Caja Positiva):</w:t>
      </w:r>
      <w:r>
        <w:t xml:space="preserve"> Mes 11. En el Mes 11, la caja acumulada del proyecto sale de zona negativa y alcanza S/ 27,308.94, manteniéndose positiva hasta el mes 24.</w:t>
      </w:r>
    </w:p>
    <w:p>
      <w:pPr>
        <w:pStyle w:val="ListBullet"/>
      </w:pPr>
      <w:r>
        <w:rPr>
          <w:b/>
        </w:rPr>
        <w:t>Fondo de Maniobra / Capital de Trabajo Mínimo Requerido:</w:t>
      </w:r>
      <w:r>
        <w:t xml:space="preserve"> S/ 391,417.77 en el Mes 3. Este pico de caja negativa representa el requerimiento mínimo de financiamiento de arranque para solventar las primeras obras preliminares, el pórtico y movimiento de tierras. Se recomienda una línea de crédito o fondo inicial de S/ 500,000.00, el cual se recupera totalmente en el primer año.</w:t>
      </w:r>
    </w:p>
    <w:p>
      <w:r>
        <w:br w:type="page"/>
      </w:r>
    </w:p>
    <w:p>
      <w:pPr>
        <w:pStyle w:val="Heading1"/>
      </w:pPr>
      <w:r>
        <w:rPr>
          <w:b/>
          <w:color w:val="2D3A2E"/>
        </w:rPr>
        <w:t>5. AUDITORÍA Y CHECKLIST DE CONTRATOS LEGALES</w:t>
      </w:r>
    </w:p>
    <w:p>
      <w:r>
        <w:t>Se ha realizado una revisión exhaustiva de los 10 documentos de contratos y anexos legales alojados en el directorio del proyecto. Los documentos han sido confirmados como plantillas y modelos operativos de alta calidad que no contienen parámetros numéricos antiguos harcodeados, lo que evita errores de consistencia legal. A continuación, se detalla un checklist del estado de cada documento y los puntos clave a completar por el equipo comercial durante el proceso de venta:</w:t>
      </w:r>
    </w:p>
    <w:p>
      <w:r>
        <w:rPr>
          <w:b/>
        </w:rPr>
        <w:t xml:space="preserve">■ 01_Contrato_Incorporacion_y_Adjudicacion_Area_Uso_Exclusivo.docx: </w:t>
      </w:r>
      <w:r>
        <w:t>Documento Principal del Cliente. Debe completarse con los datos personales del asociado, el número de Lote (1 a 312), Manzana (M1 a M31), área útil en m² y el precio de venta específico del lote, referenciado directamente de la pestaña 'Inventario Detallado' de la planilla maestra.</w:t>
      </w:r>
    </w:p>
    <w:p>
      <w:r>
        <w:rPr>
          <w:b/>
        </w:rPr>
        <w:t xml:space="preserve">■ 02_Anexo_Condiciones_Fase_0_Etapa_Fundadora.docx: </w:t>
      </w:r>
      <w:r>
        <w:t>Anexo Comercial. Aplica únicamente para los clientes que adquieran lotes en la Fase 0 (lotes 1 a 30). Establece las condiciones de precio preferencial de S/ 60.00/m² para la preventa de lanzamiento.</w:t>
      </w:r>
    </w:p>
    <w:p>
      <w:r>
        <w:rPr>
          <w:b/>
        </w:rPr>
        <w:t xml:space="preserve">■ 03_Anexo_Cronograma_Obras_Hitos_Caja_Positiva.docx: </w:t>
      </w:r>
      <w:r>
        <w:t>Anexo Técnico del Contrato. Explica la progresión física de la infraestructura basada en hitos de caja. Debe adjuntarse siempre para proteger a la asociación de reclamos por retrasos fortuitos.</w:t>
      </w:r>
    </w:p>
    <w:p>
      <w:r>
        <w:rPr>
          <w:b/>
        </w:rPr>
        <w:t xml:space="preserve">■ 04_Acuerdo_Aporte_Valorizacion_Pago_Terreno.docx: </w:t>
      </w:r>
      <w:r>
        <w:t>Acuerdo Interno de Socios Aportantes. Regula la valorización del predio matriz y los pagos mensuales de S/ 37,500.00. No se entrega al cliente final.</w:t>
      </w:r>
    </w:p>
    <w:p>
      <w:r>
        <w:rPr>
          <w:b/>
        </w:rPr>
        <w:t xml:space="preserve">■ 05_Contrato_Transferencia_Membresia.docx: </w:t>
      </w:r>
      <w:r>
        <w:t>Modelo Operativo. Se utiliza en el mercado secundario si un asociado desea vender su membresía y lote a un tercero. Debe actualizarse con los datos del transferente, adquirente y el lote asignado.</w:t>
      </w:r>
    </w:p>
    <w:p>
      <w:r>
        <w:rPr>
          <w:b/>
        </w:rPr>
        <w:t xml:space="preserve">■ 06_Carta_Renuncia_Solicitud_Transferencia.docx: </w:t>
      </w:r>
      <w:r>
        <w:t>Formato Operativo. Carta formal de salida del asociado para dar paso al nuevo ingresante.</w:t>
      </w:r>
    </w:p>
    <w:p>
      <w:r>
        <w:rPr>
          <w:b/>
        </w:rPr>
        <w:t xml:space="preserve">■ 07_Constancia_Adjudicacion_Posesion_Interna.docx: </w:t>
      </w:r>
      <w:r>
        <w:t>Constancia de Posesión. Se emite a favor del asociado una vez cancelada la cuota inicial del 30% y suscrito el contrato principal, sirviendo como título interno habilitante para iniciar trámites de diseño.</w:t>
      </w:r>
    </w:p>
    <w:p>
      <w:r>
        <w:rPr>
          <w:b/>
        </w:rPr>
        <w:t xml:space="preserve">■ 08_Anexo_Riesgos_Disclosure.docx: </w:t>
      </w:r>
      <w:r>
        <w:t>Anexo de Advertencia Legal. Debe ser firmado obligatoriamente por el cliente. Explica la naturaleza rústica del desierto, el carácter progresivo del saneamiento y el modelo asociativo.</w:t>
      </w:r>
    </w:p>
    <w:p>
      <w:r>
        <w:rPr>
          <w:b/>
        </w:rPr>
        <w:t xml:space="preserve">■ 09_Reglamento_Interno_Base.docx: </w:t>
      </w:r>
      <w:r>
        <w:t>Reglamento de Convivencia y Edificación. Establece las normas constructivas (cemento Tipo V, f'c &gt;= 210 kg/cm², altura máxima, retiros). Protege la estética rústica y el valor patrimonial del condominio.</w:t>
      </w:r>
    </w:p>
    <w:p>
      <w:r>
        <w:rPr>
          <w:b/>
        </w:rPr>
        <w:t xml:space="preserve">■ 10_Checklist_Previo_Firma_Lanzamiento.docx: </w:t>
      </w:r>
      <w:r>
        <w:t>Documento Interno de Control. Checklist que debe llenar el oficial de ventas antes de procesar cualquier firma, verificando la recepción del 30% inicial y la validación en el inventario.</w:t>
      </w:r>
    </w:p>
    <w:p>
      <w:r>
        <w:br/>
      </w:r>
    </w:p>
    <w:p>
      <w:r>
        <w:t>Recomendación del Jefe Financiero: Para asegurar la consistencia y eliminar riesgos operativos, el equipo comercial deberá utilizar exclusivamente el archivo MASTERPLAN_TECNICO_MOON_PARACAS.xlsx como la única fuente de verdad para extraer los números de lotes, manzanas, áreas exactas, distancias y precios que se digiten en los contratos.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