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8"/>
        </w:rPr>
        <w:t>ACUERDO DE APORTE, VALORIZACION Y PAGO DEL TERRENO</w:t>
      </w:r>
    </w:p>
    <w:p>
      <w:pPr>
        <w:jc w:val="center"/>
      </w:pPr>
      <w:r>
        <w:rPr>
          <w:i/>
          <w:color w:val="0F766E"/>
          <w:sz w:val="22"/>
        </w:rPr>
        <w:t>Documento interno entre aportantes y entidad administradora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</w:tcPr>
          <w:p>
            <w:r>
              <w:rPr>
                <w:b/>
                <w:color w:val="0F172A"/>
                <w:sz w:val="20"/>
              </w:rPr>
              <w:t>Uso interno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Este documento no es pieza comercial para cliente. Sirve para ordenar la valorizacion del predio, la forma de pago a los aportantes y la cancelacion final de obligaciones internas del proyecto.</w:t>
            </w:r>
          </w:p>
        </w:tc>
      </w:tr>
    </w:tbl>
    <w:p/>
    <w:p>
      <w:pPr>
        <w:pStyle w:val="Heading1"/>
        <w:keepNext/>
      </w:pPr>
      <w:r>
        <w:t>I. Partes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Parte</w:t>
            </w:r>
          </w:p>
        </w:tc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Datos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APORTANTE / TITULAR DE DERECHO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Nombre, DNI/RUC, domicilio y calidad en la que interviene.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ENTIDAD ADMINISTRADORA / ASOCIACION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Razon social, RUC, partida, representante y poderes.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INTERVINIENTES / GESTORES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Personas que participan en gestion, desarrollo, comercializacion o administracion.</w:t>
            </w:r>
          </w:p>
        </w:tc>
      </w:tr>
    </w:tbl>
    <w:p/>
    <w:p>
      <w:pPr>
        <w:pStyle w:val="Heading1"/>
        <w:keepNext/>
      </w:pPr>
      <w:r>
        <w:t>II. Objeto</w:t>
      </w:r>
    </w:p>
    <w:p>
      <w:r>
        <w:t>El presente acuerdo regula la valorizacion del terreno matriz o derechos vinculados al proyecto Moon Paracas, su aporte o afectacion al desarrollo, y el mecanismo de pago progresivo al aportante, combinando efectivo dosificado y asignacion de lotes, derechos internos o areas equivalentes.</w:t>
      </w:r>
    </w:p>
    <w:p>
      <w:pPr>
        <w:pStyle w:val="Heading1"/>
        <w:keepNext/>
      </w:pPr>
      <w:r>
        <w:t>III. Valorizacion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Valor referencial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Area matriz referencial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112,391.80 m2, segun plano topografico del proyecto.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Valor por m2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S/ [___] por m2 o el valor que las partes acuerden.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Valorizacion total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S/ [___].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Criterio de ajuste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El valor podra actualizarse por acuerdo escrito, saneamiento, carga, contingencia o modificacion tecnica relevante.</w:t>
            </w:r>
          </w:p>
        </w:tc>
      </w:tr>
    </w:tbl>
    <w:p/>
    <w:p>
      <w:pPr>
        <w:pStyle w:val="Heading1"/>
        <w:keepNext/>
      </w:pPr>
      <w:r>
        <w:t>IV. Forma de pago</w:t>
      </w:r>
    </w:p>
    <w:p>
      <w:pPr>
        <w:spacing w:after="100"/>
      </w:pPr>
      <w:r>
        <w:rPr>
          <w:b/>
          <w:color w:val="0F172A"/>
          <w:sz w:val="20"/>
        </w:rPr>
        <w:t xml:space="preserve">1. Efectivo dosificado. </w:t>
      </w:r>
      <w:r>
        <w:rPr>
          <w:sz w:val="19"/>
        </w:rPr>
        <w:t>El [60%] de la valorizacion sera pagado en efectivo de manera progresiva, conforme a la cobranza efectiva del proyecto, manteniendo caja operativa, gastos aprobados y reserva prudencial.</w:t>
      </w:r>
    </w:p>
    <w:p>
      <w:pPr>
        <w:spacing w:after="100"/>
      </w:pPr>
      <w:r>
        <w:rPr>
          <w:b/>
          <w:color w:val="0F172A"/>
          <w:sz w:val="20"/>
        </w:rPr>
        <w:t xml:space="preserve">2. Lotes, derechos o areas equivalentes. </w:t>
      </w:r>
      <w:r>
        <w:rPr>
          <w:sz w:val="19"/>
        </w:rPr>
        <w:t>El [40%] restante sera compensado mediante lotes, derechos internos, membresias, areas de uso exclusivo o unidades equivalentes, valorizadas segun la lista de precios o criterio aprobado para cada etapa comercial.</w:t>
      </w:r>
    </w:p>
    <w:p>
      <w:pPr>
        <w:spacing w:after="100"/>
      </w:pPr>
      <w:r>
        <w:rPr>
          <w:b/>
          <w:color w:val="0F172A"/>
          <w:sz w:val="20"/>
        </w:rPr>
        <w:t xml:space="preserve">3. Finalidad de cierre. </w:t>
      </w:r>
      <w:r>
        <w:rPr>
          <w:sz w:val="19"/>
        </w:rPr>
        <w:t>La estructura busca que, al concluir la comercializacion del proyecto, no exista deuda pendiente con los aportantes por concepto de terreno, valorizacion o derechos aportados, salvo pacto escrito distinto.</w:t>
      </w:r>
    </w:p>
    <w:p>
      <w:pPr>
        <w:spacing w:after="100"/>
      </w:pPr>
      <w:r>
        <w:rPr>
          <w:b/>
          <w:color w:val="0F172A"/>
          <w:sz w:val="20"/>
        </w:rPr>
        <w:t xml:space="preserve">4. No subordinacion de la obra critica. </w:t>
      </w:r>
      <w:r>
        <w:rPr>
          <w:sz w:val="19"/>
        </w:rPr>
        <w:t>El pago al aportante debera coordinarse con las necesidades de operacion, mantenimiento, obligaciones frente a asociados y desarrollo progresivo del proyecto, evitando descalces de caja o compromisos que afecten la continuidad del desarrollo.</w:t>
      </w:r>
    </w:p>
    <w:p>
      <w:pPr>
        <w:pStyle w:val="Heading1"/>
        <w:keepNext/>
      </w:pPr>
      <w:r>
        <w:t>V. Prioridad de caja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Orden</w:t>
            </w:r>
          </w:p>
        </w:tc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Destino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Gastos legales, administrativos, tributarios y de formalizacion necesarios.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Operacion comercial, gestion de clientes, documentos, visitas y CRM.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Intervenciones fisicas prioritarias del proyecto.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Pago dosificado al aportante segun disponibilidad real.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Reserva, contingencias y mejoras aprobadas.</w:t>
            </w:r>
          </w:p>
        </w:tc>
      </w:tr>
    </w:tbl>
    <w:p/>
    <w:p>
      <w:pPr>
        <w:pStyle w:val="Heading1"/>
        <w:keepNext/>
      </w:pPr>
      <w:r>
        <w:t>VI. Transparencia interna</w:t>
      </w:r>
    </w:p>
    <w:p>
      <w:r>
        <w:t>La administracion llevara un control de ventas, cobranza, pagos al aportante, lotes o derechos asignados, saldo pendiente y soporte documentario. Los pagos y compensaciones deberan constar en actas, recibos, liquidaciones o documentos equivalentes.</w:t>
      </w:r>
    </w:p>
    <w:p>
      <w:pPr>
        <w:pStyle w:val="Heading1"/>
        <w:keepNext/>
      </w:pPr>
      <w:r>
        <w:t>VII. Declaraciones</w:t>
      </w:r>
    </w:p>
    <w:p>
      <w:pPr>
        <w:pStyle w:val="ListBullet"/>
        <w:spacing w:after="40"/>
      </w:pPr>
      <w:r>
        <w:rPr>
          <w:sz w:val="18"/>
        </w:rPr>
        <w:t>El aportante declara tener legitimidad suficiente para celebrar este acuerdo o se obliga a obtener las autorizaciones necesarias.</w:t>
      </w:r>
    </w:p>
    <w:p>
      <w:pPr>
        <w:pStyle w:val="ListBullet"/>
        <w:spacing w:after="40"/>
      </w:pPr>
      <w:r>
        <w:rPr>
          <w:sz w:val="18"/>
        </w:rPr>
        <w:t>La entidad administradora declara que el proyecto requiere desarrollo progresivo y manejo prudente de caja.</w:t>
      </w:r>
    </w:p>
    <w:p>
      <w:pPr>
        <w:pStyle w:val="ListBullet"/>
        <w:spacing w:after="40"/>
      </w:pPr>
      <w:r>
        <w:rPr>
          <w:sz w:val="18"/>
        </w:rPr>
        <w:t>Las partes reconocen que este acuerdo es interno y no reemplaza los documentos que se firmen con los asociados compradores.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6"/>
              </w:rPr>
              <w:t>APORTANTE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6"/>
              </w:rPr>
              <w:t>ENTIDAD ADMINISTRADORA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b/>
                <w:sz w:val="16"/>
              </w:rPr>
              <w:t>GESTOR / INTERVINIENTE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Documento de trabajo. Debe ser revisado por abogado antes de firma, uso comercial o elevacion notarial.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MOON PARACAS - Acuerdo interno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