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f0aa47d12f061274196205c2e9aec39ecc0b58b"/>
    <w:p>
      <w:pPr>
        <w:pStyle w:val="Heading1"/>
      </w:pPr>
      <w:r>
        <w:t xml:space="preserve">Plan de Negocios Institucional de</w:t>
      </w:r>
      <w:r>
        <w:t xml:space="preserve"> </w:t>
      </w:r>
      <w:r>
        <w:rPr>
          <w:b/>
          <w:bCs/>
        </w:rPr>
        <w:t xml:space="preserve">PachaNova</w:t>
      </w:r>
    </w:p>
    <w:bookmarkStart w:id="21" w:name="Xd3a5d21cafeec9bf9b78d53b8eaf19c0e0d3702"/>
    <w:p>
      <w:pPr>
        <w:pStyle w:val="Heading2"/>
      </w:pPr>
      <w:r>
        <w:t xml:space="preserve">Alcance, Definiciones y Descargos de Responsabilidad</w:t>
      </w:r>
    </w:p>
    <w:p>
      <w:pPr>
        <w:pStyle w:val="FirstParagraph"/>
      </w:pPr>
      <w:r>
        <w:rPr>
          <w:b/>
          <w:bCs/>
        </w:rPr>
        <w:t xml:space="preserve">Alcance del proyecto:</w:t>
      </w:r>
      <w:r>
        <w:t xml:space="preserve"> </w:t>
      </w:r>
      <w:r>
        <w:rPr>
          <w:i/>
          <w:iCs/>
        </w:rPr>
        <w:t xml:space="preserve">PachaNova</w:t>
      </w:r>
      <w:r>
        <w:t xml:space="preserve"> </w:t>
      </w:r>
      <w:r>
        <w:t xml:space="preserve">es una plataforma de inversión</w:t>
      </w:r>
      <w:r>
        <w:t xml:space="preserve"> </w:t>
      </w:r>
      <w:r>
        <w:rPr>
          <w:b/>
          <w:bCs/>
        </w:rPr>
        <w:t xml:space="preserve">fraccionada en tierra bruta mediante tokens</w:t>
      </w:r>
      <w:r>
        <w:t xml:space="preserve"> </w:t>
      </w:r>
      <w:r>
        <w:t xml:space="preserve">(activos digitales) de tipo permisionado. Busca</w:t>
      </w:r>
      <w:r>
        <w:t xml:space="preserve"> </w:t>
      </w:r>
      <w:r>
        <w:rPr>
          <w:b/>
          <w:bCs/>
        </w:rPr>
        <w:t xml:space="preserve">capturar la plusvalía del suelo</w:t>
      </w:r>
      <w:r>
        <w:t xml:space="preserve"> </w:t>
      </w:r>
      <w:r>
        <w:t xml:space="preserve">generada por mejoras de infraestructura pública y ordenamiento urbano en la zona sur de Lima, Perú. El activo subyacente es un</w:t>
      </w:r>
      <w:r>
        <w:t xml:space="preserve"> </w:t>
      </w:r>
      <w:r>
        <w:rPr>
          <w:b/>
          <w:bCs/>
        </w:rPr>
        <w:t xml:space="preserve">terreno de 5 hectáreas (50,000 m²)</w:t>
      </w:r>
      <w:r>
        <w:t xml:space="preserve"> </w:t>
      </w:r>
      <w:r>
        <w:t xml:space="preserve">ubicado en el distrito de San Bartolo (Lima Sur). La propiedad será mantenida sin desarrollos (tierra</w:t>
      </w:r>
      <w:r>
        <w:t xml:space="preserve"> </w:t>
      </w:r>
      <w:r>
        <w:rPr>
          <w:i/>
          <w:iCs/>
        </w:rPr>
        <w:t xml:space="preserve">bruta</w:t>
      </w:r>
      <w:r>
        <w:t xml:space="preserve">, sin habilitación urbana) durante un horizonte de 5 años, periodo tras el cual se planea</w:t>
      </w:r>
      <w:r>
        <w:t xml:space="preserve"> </w:t>
      </w:r>
      <w:r>
        <w:rPr>
          <w:b/>
          <w:bCs/>
        </w:rPr>
        <w:t xml:space="preserve">vender el terreno completo</w:t>
      </w:r>
      <w:r>
        <w:t xml:space="preserve"> </w:t>
      </w:r>
      <w:r>
        <w:t xml:space="preserve">y distribuir los resultados económicos conforme a la estructura definida.</w:t>
      </w:r>
    </w:p>
    <w:p>
      <w:pPr>
        <w:pStyle w:val="BodyText"/>
      </w:pPr>
      <w:r>
        <w:rPr>
          <w:b/>
          <w:bCs/>
        </w:rPr>
        <w:t xml:space="preserve">Tokenización y estructura económica:</w:t>
      </w:r>
      <w:r>
        <w:t xml:space="preserve"> </w:t>
      </w:r>
      <w:r>
        <w:t xml:space="preserve">Se emitirá un total de</w:t>
      </w:r>
      <w:r>
        <w:t xml:space="preserve"> </w:t>
      </w:r>
      <w:r>
        <w:rPr>
          <w:b/>
          <w:bCs/>
        </w:rPr>
        <w:t xml:space="preserve">500,000 tokens</w:t>
      </w:r>
      <w:r>
        <w:t xml:space="preserve">, equivalentes a 0.1 m² de tierra cada uno (50,000 m² / 500,000 tokens). En consecuencia,</w:t>
      </w:r>
      <w:r>
        <w:t xml:space="preserve"> </w:t>
      </w:r>
      <w:r>
        <w:rPr>
          <w:b/>
          <w:bCs/>
        </w:rPr>
        <w:t xml:space="preserve">1 token representa 0.1 m²</w:t>
      </w:r>
      <w:r>
        <w:t xml:space="preserve"> </w:t>
      </w:r>
      <w:r>
        <w:t xml:space="preserve">de la propiedad; por consistencia, el</w:t>
      </w:r>
      <w:r>
        <w:t xml:space="preserve"> </w:t>
      </w:r>
      <w:r>
        <w:rPr>
          <w:b/>
          <w:bCs/>
        </w:rPr>
        <w:t xml:space="preserve">precio de cada token = 0.1 × precio por m²</w:t>
      </w:r>
      <w:r>
        <w:t xml:space="preserve"> </w:t>
      </w:r>
      <w:r>
        <w:t xml:space="preserve">de la tierra. Por ejemplo, un precio de US$120/m² equivale a US$12 por token, y así sucesivamente. Esta conversión fija garantiza transparencia en la valorización: cualquier apreciación del valor por m² se refleja proporcionalmente en el valor de cada token.</w:t>
      </w:r>
    </w:p>
    <w:p>
      <w:pPr>
        <w:pStyle w:val="BodyText"/>
      </w:pPr>
      <w:r>
        <w:rPr>
          <w:b/>
          <w:bCs/>
        </w:rPr>
        <w:t xml:space="preserve">Política de precios inicial:</w:t>
      </w:r>
      <w:r>
        <w:t xml:space="preserve"> </w:t>
      </w:r>
      <w:r>
        <w:t xml:space="preserve">El</w:t>
      </w:r>
      <w:r>
        <w:t xml:space="preserve"> </w:t>
      </w:r>
      <w:r>
        <w:rPr>
          <w:b/>
          <w:bCs/>
        </w:rPr>
        <w:t xml:space="preserve">precio de lanzamiento</w:t>
      </w:r>
      <w:r>
        <w:t xml:space="preserve"> </w:t>
      </w:r>
      <w:r>
        <w:t xml:space="preserve">se ha fijado en</w:t>
      </w:r>
      <w:r>
        <w:t xml:space="preserve"> </w:t>
      </w:r>
      <w:r>
        <w:rPr>
          <w:b/>
          <w:bCs/>
        </w:rPr>
        <w:t xml:space="preserve">US$120/m²</w:t>
      </w:r>
      <w:r>
        <w:t xml:space="preserve"> </w:t>
      </w:r>
      <w:r>
        <w:t xml:space="preserve">(US$12.00/token). Adicionalmente, se contempla una</w:t>
      </w:r>
      <w:r>
        <w:t xml:space="preserve"> </w:t>
      </w:r>
      <w:r>
        <w:rPr>
          <w:b/>
          <w:bCs/>
        </w:rPr>
        <w:t xml:space="preserve">Preventa inicial del 10% del suministro</w:t>
      </w:r>
      <w:r>
        <w:t xml:space="preserve"> </w:t>
      </w:r>
      <w:r>
        <w:t xml:space="preserve">(50,000 tokens, equivalentes a 5,000 m²) con un</w:t>
      </w:r>
      <w:r>
        <w:t xml:space="preserve"> </w:t>
      </w:r>
      <w:r>
        <w:rPr>
          <w:b/>
          <w:bCs/>
        </w:rPr>
        <w:t xml:space="preserve">descuento del 30%</w:t>
      </w:r>
      <w:r>
        <w:t xml:space="preserve"> </w:t>
      </w:r>
      <w:r>
        <w:t xml:space="preserve">respecto al lanzamiento, es decir a</w:t>
      </w:r>
      <w:r>
        <w:t xml:space="preserve"> </w:t>
      </w:r>
      <w:r>
        <w:rPr>
          <w:b/>
          <w:bCs/>
        </w:rPr>
        <w:t xml:space="preserve">US$84/m²</w:t>
      </w:r>
      <w:r>
        <w:t xml:space="preserve"> </w:t>
      </w:r>
      <w:r>
        <w:t xml:space="preserve">(US$8.40/token), orientada a inversores semilla y socios estratégicos. Esta preventa permitirá obtener liquidez temprana para financiar la estructura legal, implementación tecnológica y costos de puesta en marcha (ver modelo financiero).</w:t>
      </w:r>
    </w:p>
    <w:p>
      <w:pPr>
        <w:pStyle w:val="BodyText"/>
      </w:pPr>
      <w:r>
        <w:rPr>
          <w:b/>
          <w:bCs/>
        </w:rPr>
        <w:t xml:space="preserve">Descargo – Qué</w:t>
      </w:r>
      <w:r>
        <w:rPr>
          <w:b/>
          <w:bCs/>
        </w:rPr>
        <w:t xml:space="preserve"> </w:t>
      </w:r>
      <w:r>
        <w:rPr>
          <w:b/>
          <w:bCs/>
          <w:i/>
          <w:iCs/>
        </w:rPr>
        <w:t xml:space="preserve">no</w:t>
      </w:r>
      <w:r>
        <w:rPr>
          <w:b/>
          <w:bCs/>
        </w:rPr>
        <w:t xml:space="preserve"> </w:t>
      </w:r>
      <w:r>
        <w:rPr>
          <w:b/>
          <w:bCs/>
        </w:rPr>
        <w:t xml:space="preserve">es este proyecto:</w:t>
      </w:r>
      <w:r>
        <w:t xml:space="preserve"> </w:t>
      </w:r>
      <w:r>
        <w:t xml:space="preserve">Este plan de negocios no constituye una oferta pública registrada de valores ni una promesa garantizada de rentabilidad.</w:t>
      </w:r>
      <w:r>
        <w:t xml:space="preserve"> </w:t>
      </w:r>
      <w:r>
        <w:rPr>
          <w:b/>
          <w:bCs/>
        </w:rPr>
        <w:t xml:space="preserve">PachaNova no desarrollará el terreno</w:t>
      </w:r>
      <w:r>
        <w:t xml:space="preserve"> </w:t>
      </w:r>
      <w:r>
        <w:t xml:space="preserve">(no ejecutará habilitación urbana ni construcciones); la apreciación de valor provendrá de factores externos (infraestructura pública y ordenamiento urbano).</w:t>
      </w:r>
      <w:r>
        <w:t xml:space="preserve"> </w:t>
      </w:r>
      <w:r>
        <w:rPr>
          <w:b/>
          <w:bCs/>
        </w:rPr>
        <w:t xml:space="preserve">No se garantiza un retorno fijo</w:t>
      </w:r>
      <w:r>
        <w:t xml:space="preserve"> </w:t>
      </w:r>
      <w:r>
        <w:t xml:space="preserve">a los inversionistas – las proyecciones de plusvalía son</w:t>
      </w:r>
      <w:r>
        <w:t xml:space="preserve"> </w:t>
      </w:r>
      <w:r>
        <w:rPr>
          <w:i/>
          <w:iCs/>
        </w:rPr>
        <w:t xml:space="preserve">hipótesis de planificación</w:t>
      </w:r>
      <w:r>
        <w:t xml:space="preserve">, no compromisos de rendimiento. Todos los tokens estarán sujetos a</w:t>
      </w:r>
      <w:r>
        <w:t xml:space="preserve"> </w:t>
      </w:r>
      <w:r>
        <w:rPr>
          <w:b/>
          <w:bCs/>
        </w:rPr>
        <w:t xml:space="preserve">restricciones de transferencia</w:t>
      </w:r>
      <w:r>
        <w:t xml:space="preserve"> </w:t>
      </w:r>
      <w:r>
        <w:t xml:space="preserve">y cumplimiento (KYC/AML), y solo podrán intercambiarse entre inversionistas elegibles dentro de un entorno controlado. Finalmente, la ejecución del proyecto depende de</w:t>
      </w:r>
      <w:r>
        <w:t xml:space="preserve"> </w:t>
      </w:r>
      <w:r>
        <w:rPr>
          <w:b/>
          <w:bCs/>
        </w:rPr>
        <w:t xml:space="preserve">condiciones precedentes clave</w:t>
      </w:r>
      <w:r>
        <w:t xml:space="preserve"> </w:t>
      </w:r>
      <w:r>
        <w:t xml:space="preserve">(por ejemplo, saneamiento del título de propiedad, implementación del fideicomiso vehicular, entre otras) detalladas en la sección de Condiciones Precedentes. Los inversores deben entender los</w:t>
      </w:r>
      <w:r>
        <w:t xml:space="preserve"> </w:t>
      </w:r>
      <w:r>
        <w:rPr>
          <w:b/>
          <w:bCs/>
        </w:rPr>
        <w:t xml:space="preserve">riesgos inherentes</w:t>
      </w:r>
      <w:r>
        <w:t xml:space="preserve">: retrasos o cambios en los proyectos públicos, riesgos regulatorios, iliquidez del activo hasta su venta final, entre otros (ver sección de riesgos).</w:t>
      </w:r>
      <w:r>
        <w:t xml:space="preserve"> </w:t>
      </w:r>
      <w:r>
        <w:rPr>
          <w:i/>
          <w:iCs/>
        </w:rPr>
        <w:t xml:space="preserve">Este documento es de carácter institucional interno y se entrega con fines informativos; cualquier oferta formal futura se realizará conforme al marco legal aplicable y con la documentación de divulgación correspondiente.</w:t>
      </w:r>
    </w:p>
    <w:bookmarkEnd w:id="21"/>
    <w:bookmarkStart w:id="33" w:name="resumen-ejecutivo"/>
    <w:p>
      <w:pPr>
        <w:pStyle w:val="Heading2"/>
      </w:pPr>
      <w:r>
        <w:t xml:space="preserve">Resumen Ejecutivo</w:t>
      </w:r>
    </w:p>
    <w:p>
      <w:pPr>
        <w:pStyle w:val="FirstParagraph"/>
      </w:pPr>
      <w:r>
        <w:rPr>
          <w:b/>
          <w:bCs/>
        </w:rPr>
        <w:t xml:space="preserve">Proyecto y propuesta de valor:</w:t>
      </w:r>
      <w:r>
        <w:t xml:space="preserve"> </w:t>
      </w:r>
      <w:r>
        <w:rPr>
          <w:i/>
          <w:iCs/>
        </w:rPr>
        <w:t xml:space="preserve">PachaNova</w:t>
      </w:r>
      <w:r>
        <w:t xml:space="preserve"> </w:t>
      </w:r>
      <w:r>
        <w:t xml:space="preserve">es una plataforma de inversión inmobiliaria alternativa que permite a inversores acceder a la</w:t>
      </w:r>
      <w:r>
        <w:t xml:space="preserve"> </w:t>
      </w:r>
      <w:r>
        <w:rPr>
          <w:b/>
          <w:bCs/>
        </w:rPr>
        <w:t xml:space="preserve">plusvalía de un terreno</w:t>
      </w:r>
      <w:r>
        <w:t xml:space="preserve"> </w:t>
      </w:r>
      <w:r>
        <w:t xml:space="preserve">de gran potencial mediante la compra de</w:t>
      </w:r>
      <w:r>
        <w:t xml:space="preserve"> </w:t>
      </w:r>
      <w:r>
        <w:rPr>
          <w:b/>
          <w:bCs/>
        </w:rPr>
        <w:t xml:space="preserve">tokens digitales representativos de fracciones de ese terreno</w:t>
      </w:r>
      <w:r>
        <w:t xml:space="preserve">. La iniciativa aborda un problema tradicional: invertir en suelo urbano con alta expectativa de valorización suele requerir</w:t>
      </w:r>
      <w:r>
        <w:t xml:space="preserve"> </w:t>
      </w:r>
      <w:r>
        <w:rPr>
          <w:b/>
          <w:bCs/>
        </w:rPr>
        <w:t xml:space="preserve">tickets de entrada muy elevados, baja liquidez, trámites complejos y largos plazos</w:t>
      </w:r>
      <w:r>
        <w:t xml:space="preserve">. PachaNova propone una</w:t>
      </w:r>
      <w:r>
        <w:t xml:space="preserve"> </w:t>
      </w:r>
      <w:r>
        <w:rPr>
          <w:b/>
          <w:bCs/>
        </w:rPr>
        <w:t xml:space="preserve">solución de fraccionamiento tokenizado y permisionado</w:t>
      </w:r>
      <w:r>
        <w:t xml:space="preserve">, donde múltiples inversores pueden comprar pequeñas porciones de exposición económica al terreno. Esto</w:t>
      </w:r>
      <w:r>
        <w:t xml:space="preserve"> </w:t>
      </w:r>
      <w:r>
        <w:rPr>
          <w:b/>
          <w:bCs/>
        </w:rPr>
        <w:t xml:space="preserve">democratiza el acceso</w:t>
      </w:r>
      <w:r>
        <w:t xml:space="preserve"> </w:t>
      </w:r>
      <w:r>
        <w:t xml:space="preserve">(reduce el monto mínimo de inversión),</w:t>
      </w:r>
      <w:r>
        <w:t xml:space="preserve"> </w:t>
      </w:r>
      <w:r>
        <w:rPr>
          <w:b/>
          <w:bCs/>
        </w:rPr>
        <w:t xml:space="preserve">mejora la trazabilidad</w:t>
      </w:r>
      <w:r>
        <w:t xml:space="preserve"> </w:t>
      </w:r>
      <w:r>
        <w:t xml:space="preserve">(registro en blockchain) y podría habilitar eventuales</w:t>
      </w:r>
      <w:r>
        <w:t xml:space="preserve"> </w:t>
      </w:r>
      <w:r>
        <w:rPr>
          <w:b/>
          <w:bCs/>
        </w:rPr>
        <w:t xml:space="preserve">transferencias secundarias ágiles</w:t>
      </w:r>
      <w:r>
        <w:t xml:space="preserve"> </w:t>
      </w:r>
      <w:r>
        <w:t xml:space="preserve">bajo ciertas condiciones (siempre cumpliendo requisitos regulatorios). En otras palabras, se crea una alternativa de inversión inmobiliaria</w:t>
      </w:r>
      <w:r>
        <w:t xml:space="preserve"> </w:t>
      </w:r>
      <w:r>
        <w:rPr>
          <w:b/>
          <w:bCs/>
        </w:rPr>
        <w:t xml:space="preserve">sin necesidad de comprar un lote completo ni esperar décadas</w:t>
      </w:r>
      <w:r>
        <w:t xml:space="preserve">, capturando la apreciación del suelo en el mediano plazo.</w:t>
      </w:r>
    </w:p>
    <w:p>
      <w:pPr>
        <w:pStyle w:val="BodyText"/>
      </w:pPr>
      <w:r>
        <w:rPr>
          <w:b/>
          <w:bCs/>
        </w:rPr>
        <w:t xml:space="preserve">Activos y catalizadores clave:</w:t>
      </w:r>
      <w:r>
        <w:t xml:space="preserve"> </w:t>
      </w:r>
      <w:r>
        <w:t xml:space="preserve">El activo subyacente es un</w:t>
      </w:r>
      <w:r>
        <w:t xml:space="preserve"> </w:t>
      </w:r>
      <w:r>
        <w:rPr>
          <w:b/>
          <w:bCs/>
        </w:rPr>
        <w:t xml:space="preserve">terreno de 5 hectáreas en San Bartolo</w:t>
      </w:r>
      <w:r>
        <w:t xml:space="preserve">, en la franja costera al sur de Lima Metropolitana. Esta zona se encuentra en el foco de dos grandes</w:t>
      </w:r>
      <w:r>
        <w:t xml:space="preserve"> </w:t>
      </w:r>
      <w:r>
        <w:rPr>
          <w:b/>
          <w:bCs/>
        </w:rPr>
        <w:t xml:space="preserve">catalizadores de valorización</w:t>
      </w:r>
      <w:r>
        <w:t xml:space="preserve">: (i) el proyecto de</w:t>
      </w:r>
      <w:r>
        <w:t xml:space="preserve"> </w:t>
      </w:r>
      <w:r>
        <w:rPr>
          <w:b/>
          <w:bCs/>
        </w:rPr>
        <w:t xml:space="preserve">Ferrocarril Lima–Ica</w:t>
      </w:r>
      <w:r>
        <w:t xml:space="preserve">, un tren interurbano de ~280 km que conectará Lima con Ica y reducirá el viaje a ~2.5 horas,</w:t>
      </w:r>
      <w:r>
        <w:t xml:space="preserve"> </w:t>
      </w:r>
      <w:r>
        <w:rPr>
          <w:b/>
          <w:bCs/>
        </w:rPr>
        <w:t xml:space="preserve">beneficiando directamente a ~5.8 millones de personas e indirectamente a otras 6.5 millones</w:t>
      </w:r>
      <w:r>
        <w:t xml:space="preserve"> </w:t>
      </w:r>
      <w:r>
        <w:t xml:space="preserve">(aprox. 12.3 millones en total) según estimaciones oficiales</w:t>
      </w:r>
      <w:hyperlink r:id="rId22">
        <w:r>
          <w:rPr>
            <w:rStyle w:val="Hyperlink"/>
          </w:rPr>
          <w:t xml:space="preserve">[1]</w:t>
        </w:r>
      </w:hyperlink>
      <w:hyperlink r:id="rId23">
        <w:r>
          <w:rPr>
            <w:rStyle w:val="Hyperlink"/>
          </w:rPr>
          <w:t xml:space="preserve">[2]</w:t>
        </w:r>
      </w:hyperlink>
      <w:r>
        <w:t xml:space="preserve">; y (ii) el</w:t>
      </w:r>
      <w:r>
        <w:t xml:space="preserve"> </w:t>
      </w:r>
      <w:r>
        <w:rPr>
          <w:b/>
          <w:bCs/>
        </w:rPr>
        <w:t xml:space="preserve">Plan de Desarrollo Urbano “Lima Balnearios del Sur” (PDULBS)</w:t>
      </w:r>
      <w:r>
        <w:t xml:space="preserve">, aprobado en 2023 por la Municipalidad de Lima, que proyecta convertir la franja sur en una “</w:t>
      </w:r>
      <w:r>
        <w:rPr>
          <w:i/>
          <w:iCs/>
        </w:rPr>
        <w:t xml:space="preserve">nueva ciudad</w:t>
      </w:r>
      <w:r>
        <w:t xml:space="preserve">” ordenada y sostenible para 870 mil habitantes al 2034, con zonificación actualizada, clústers industriales/turísticos y</w:t>
      </w:r>
      <w:r>
        <w:t xml:space="preserve"> </w:t>
      </w:r>
      <w:r>
        <w:rPr>
          <w:b/>
          <w:bCs/>
        </w:rPr>
        <w:t xml:space="preserve">San Bartolo definido como centralidad interregional</w:t>
      </w:r>
      <w:r>
        <w:t xml:space="preserve"> </w:t>
      </w:r>
      <w:r>
        <w:t xml:space="preserve">conectada por infraestructura vial</w:t>
      </w:r>
      <w:hyperlink r:id="rId24">
        <w:r>
          <w:rPr>
            <w:rStyle w:val="Hyperlink"/>
          </w:rPr>
          <w:t xml:space="preserve">[3]</w:t>
        </w:r>
      </w:hyperlink>
      <w:hyperlink r:id="rId25">
        <w:r>
          <w:rPr>
            <w:rStyle w:val="Hyperlink"/>
          </w:rPr>
          <w:t xml:space="preserve">[4]</w:t>
        </w:r>
      </w:hyperlink>
      <w:r>
        <w:t xml:space="preserve">. Estos dos factores – el tren y el plan urbano – se espera que incrementen sustancialmente la demanda y valor del suelo en la zona en los próximos años, creando la</w:t>
      </w:r>
      <w:r>
        <w:t xml:space="preserve"> </w:t>
      </w:r>
      <w:r>
        <w:rPr>
          <w:b/>
          <w:bCs/>
        </w:rPr>
        <w:t xml:space="preserve">tesis de inversión de PachaNova:</w:t>
      </w:r>
      <w:r>
        <w:t xml:space="preserve"> </w:t>
      </w:r>
      <w:r>
        <w:rPr>
          <w:i/>
          <w:iCs/>
        </w:rPr>
        <w:t xml:space="preserve">capturar la valorización del terreno impulsada por la inversión pública en conectividad y la formalización del desarrollo urbano</w:t>
      </w:r>
      <w:r>
        <w:t xml:space="preserve">.</w:t>
      </w:r>
    </w:p>
    <w:p>
      <w:pPr>
        <w:pStyle w:val="BodyText"/>
      </w:pPr>
      <w:r>
        <w:rPr>
          <w:b/>
          <w:bCs/>
        </w:rPr>
        <w:t xml:space="preserve">Modelo de monetización:</w:t>
      </w:r>
      <w:r>
        <w:t xml:space="preserve"> </w:t>
      </w:r>
      <w:r>
        <w:t xml:space="preserve">La estrategia de PachaNova es estrictamente</w:t>
      </w:r>
      <w:r>
        <w:t xml:space="preserve"> </w:t>
      </w:r>
      <w:r>
        <w:rPr>
          <w:b/>
          <w:bCs/>
        </w:rPr>
        <w:t xml:space="preserve">mantener y vender exposición económica</w:t>
      </w:r>
      <w:r>
        <w:t xml:space="preserve"> </w:t>
      </w:r>
      <w:r>
        <w:t xml:space="preserve">al terreno a lo largo de 5 años, sin incurrir en desarrollos físicos. Los tokens otorgarán a sus tenedores un</w:t>
      </w:r>
      <w:r>
        <w:t xml:space="preserve"> </w:t>
      </w:r>
      <w:r>
        <w:rPr>
          <w:b/>
          <w:bCs/>
        </w:rPr>
        <w:t xml:space="preserve">derecho económico pro-rata</w:t>
      </w:r>
      <w:r>
        <w:t xml:space="preserve"> </w:t>
      </w:r>
      <w:r>
        <w:t xml:space="preserve">sobre el valor final de la tierra (y eventualmente sobre su venta). Durante el período de 5 años, se realizarán</w:t>
      </w:r>
      <w:r>
        <w:t xml:space="preserve"> </w:t>
      </w:r>
      <w:r>
        <w:rPr>
          <w:b/>
          <w:bCs/>
        </w:rPr>
        <w:t xml:space="preserve">auditorías independientes anuales de valuación</w:t>
      </w:r>
      <w:r>
        <w:t xml:space="preserve"> </w:t>
      </w:r>
      <w:r>
        <w:t xml:space="preserve">para reflejar la evolución del valor del m² conforme avancen los catalizadores (estado del proyecto ferroviario, implementación del plan urbano, etc.). Cada año se abrirán</w:t>
      </w:r>
      <w:r>
        <w:t xml:space="preserve"> </w:t>
      </w:r>
      <w:r>
        <w:rPr>
          <w:b/>
          <w:bCs/>
        </w:rPr>
        <w:t xml:space="preserve">ventas primarias adicionales de tokens</w:t>
      </w:r>
      <w:r>
        <w:t xml:space="preserve"> </w:t>
      </w:r>
      <w:r>
        <w:t xml:space="preserve">(excepto el último, en el cual ya todos los tokens estarían colocados) a un</w:t>
      </w:r>
      <w:r>
        <w:t xml:space="preserve"> </w:t>
      </w:r>
      <w:r>
        <w:rPr>
          <w:b/>
          <w:bCs/>
        </w:rPr>
        <w:t xml:space="preserve">precio actualizado</w:t>
      </w:r>
      <w:r>
        <w:t xml:space="preserve"> </w:t>
      </w:r>
      <w:r>
        <w:t xml:space="preserve">según la nueva valuación (“marcación a mercado”). Al final del año 5, se procederá a</w:t>
      </w:r>
      <w:r>
        <w:t xml:space="preserve"> </w:t>
      </w:r>
      <w:r>
        <w:rPr>
          <w:b/>
          <w:bCs/>
        </w:rPr>
        <w:t xml:space="preserve">vender el terreno completo</w:t>
      </w:r>
      <w:r>
        <w:t xml:space="preserve"> </w:t>
      </w:r>
      <w:r>
        <w:t xml:space="preserve">en el mercado inmobiliario tradicional y los fondos obtenidos se destinarán a la</w:t>
      </w:r>
      <w:r>
        <w:t xml:space="preserve"> </w:t>
      </w:r>
      <w:r>
        <w:rPr>
          <w:b/>
          <w:bCs/>
        </w:rPr>
        <w:t xml:space="preserve">liquidación/redención</w:t>
      </w:r>
      <w:r>
        <w:t xml:space="preserve"> </w:t>
      </w:r>
      <w:r>
        <w:t xml:space="preserve">final de los tokens, conforme a la estructura legal definida (ej. vía fideicomiso). De esta manera, los inversores capturan la plusvalía realizada del activo subyacente en el horizonte establecido.</w:t>
      </w:r>
    </w:p>
    <w:p>
      <w:pPr>
        <w:pStyle w:val="BodyText"/>
      </w:pPr>
      <w:r>
        <w:rPr>
          <w:b/>
          <w:bCs/>
        </w:rPr>
        <w:t xml:space="preserve">Ingresos proyectados y escenarios:</w:t>
      </w:r>
      <w:r>
        <w:t xml:space="preserve"> </w:t>
      </w:r>
      <w:r>
        <w:t xml:space="preserve">En el</w:t>
      </w:r>
      <w:r>
        <w:t xml:space="preserve"> </w:t>
      </w:r>
      <w:r>
        <w:rPr>
          <w:b/>
          <w:bCs/>
        </w:rPr>
        <w:t xml:space="preserve">escenario base de planeación</w:t>
      </w:r>
      <w:r>
        <w:t xml:space="preserve">, se asume una venta gradual y consistente de los tokens a lo largo de 5 años (90% del total, ya que 10% se coloca en la preventa inicial). Bajo este escenario,</w:t>
      </w:r>
      <w:r>
        <w:t xml:space="preserve"> </w:t>
      </w:r>
      <w:r>
        <w:rPr>
          <w:i/>
          <w:iCs/>
        </w:rPr>
        <w:t xml:space="preserve">PachaNova</w:t>
      </w:r>
      <w:r>
        <w:t xml:space="preserve"> </w:t>
      </w:r>
      <w:r>
        <w:t xml:space="preserve">proyecta recaudar aproximadamente</w:t>
      </w:r>
      <w:r>
        <w:t xml:space="preserve"> </w:t>
      </w:r>
      <w:r>
        <w:rPr>
          <w:b/>
          <w:bCs/>
        </w:rPr>
        <w:t xml:space="preserve">US$7.0 millones brutos</w:t>
      </w:r>
      <w:r>
        <w:t xml:space="preserve"> </w:t>
      </w:r>
      <w:r>
        <w:t xml:space="preserve">por la venta de tokens durante 5 años, incluyendo la preventa. Desglose: la</w:t>
      </w:r>
      <w:r>
        <w:t xml:space="preserve"> </w:t>
      </w:r>
      <w:r>
        <w:rPr>
          <w:b/>
          <w:bCs/>
        </w:rPr>
        <w:t xml:space="preserve">Preventa del 10%</w:t>
      </w:r>
      <w:r>
        <w:t xml:space="preserve"> </w:t>
      </w:r>
      <w:r>
        <w:t xml:space="preserve">(5,000 m² a US$84/m²) genera</w:t>
      </w:r>
      <w:r>
        <w:t xml:space="preserve"> </w:t>
      </w:r>
      <w:r>
        <w:rPr>
          <w:b/>
          <w:bCs/>
        </w:rPr>
        <w:t xml:space="preserve">US$420,000</w:t>
      </w:r>
      <w:r>
        <w:t xml:space="preserve">; luego, una</w:t>
      </w:r>
      <w:r>
        <w:t xml:space="preserve"> </w:t>
      </w:r>
      <w:r>
        <w:rPr>
          <w:b/>
          <w:bCs/>
        </w:rPr>
        <w:t xml:space="preserve">venta primaria anual</w:t>
      </w:r>
      <w:r>
        <w:t xml:space="preserve"> </w:t>
      </w:r>
      <w:r>
        <w:t xml:space="preserve">de ~9,000 m² por año (aprox. 90,000 tokens) a precios crecientes produce en total ~</w:t>
      </w:r>
      <w:r>
        <w:rPr>
          <w:b/>
          <w:bCs/>
        </w:rPr>
        <w:t xml:space="preserve">US$6.58 millones</w:t>
      </w:r>
      <w:r>
        <w:t xml:space="preserve"> </w:t>
      </w:r>
      <w:r>
        <w:t xml:space="preserve">adicionales en cinco años (ver detalles en la sección</w:t>
      </w:r>
      <w:r>
        <w:t xml:space="preserve"> </w:t>
      </w:r>
      <w:r>
        <w:rPr>
          <w:i/>
          <w:iCs/>
        </w:rPr>
        <w:t xml:space="preserve">Modelo Financiero</w:t>
      </w:r>
      <w:r>
        <w:t xml:space="preserve">). En suma,</w:t>
      </w:r>
      <w:r>
        <w:t xml:space="preserve"> </w:t>
      </w:r>
      <w:r>
        <w:rPr>
          <w:b/>
          <w:bCs/>
        </w:rPr>
        <w:t xml:space="preserve">recaudación bruta acumulada ~US$7.0MM</w:t>
      </w:r>
      <w:r>
        <w:t xml:space="preserve"> </w:t>
      </w:r>
      <w:r>
        <w:t xml:space="preserve">(sin considerar la venta final del terreno)</w:t>
      </w:r>
      <w:hyperlink r:id="rId26">
        <w:r>
          <w:rPr>
            <w:rStyle w:val="Hyperlink"/>
          </w:rPr>
          <w:t xml:space="preserve">[5]</w:t>
        </w:r>
      </w:hyperlink>
      <w:r>
        <w:t xml:space="preserve">. Los supuestos de apreciación de precio en este escenario base son incrementos de</w:t>
      </w:r>
      <w:r>
        <w:t xml:space="preserve"> </w:t>
      </w:r>
      <w:r>
        <w:rPr>
          <w:b/>
          <w:bCs/>
        </w:rPr>
        <w:t xml:space="preserve">+8%, +10%, +12% y +12% anual</w:t>
      </w:r>
      <w:r>
        <w:t xml:space="preserve"> </w:t>
      </w:r>
      <w:r>
        <w:t xml:space="preserve">después del año 1, reflejando una curva de valorización moderada conforme se reduce la incertidumbre y se concretan hitos públicos (ej. inicio de obras del tren, implementación del plan urbano)</w:t>
      </w:r>
      <w:hyperlink r:id="rId27">
        <w:r>
          <w:rPr>
            <w:rStyle w:val="Hyperlink"/>
          </w:rPr>
          <w:t xml:space="preserve">[6]</w:t>
        </w:r>
      </w:hyperlink>
      <w:r>
        <w:t xml:space="preserve">. Adicionalmente, se han modelado un</w:t>
      </w:r>
      <w:r>
        <w:t xml:space="preserve"> </w:t>
      </w:r>
      <w:r>
        <w:rPr>
          <w:b/>
          <w:bCs/>
        </w:rPr>
        <w:t xml:space="preserve">escenario conservador</w:t>
      </w:r>
      <w:r>
        <w:t xml:space="preserve"> </w:t>
      </w:r>
      <w:r>
        <w:t xml:space="preserve">(valorización más lenta: escaladores 4%-5%-6%-6% anual) y un</w:t>
      </w:r>
      <w:r>
        <w:t xml:space="preserve"> </w:t>
      </w:r>
      <w:r>
        <w:rPr>
          <w:b/>
          <w:bCs/>
        </w:rPr>
        <w:t xml:space="preserve">escenario alto</w:t>
      </w:r>
      <w:r>
        <w:t xml:space="preserve"> </w:t>
      </w:r>
      <w:r>
        <w:t xml:space="preserve">(valorización más acelerada: 12%-14%-15%-15% anual) para analizar rangos de resultados. Por ejemplo, el precio final del m² al año 5 podría variar desde ~US$147 (escenario conservador) hasta ~US$203 (escenario agresivo), implicando un volumen total recaudado de ~US$6.38MM a US$7.50MM respectivamente</w:t>
      </w:r>
      <w:hyperlink r:id="rId28">
        <w:r>
          <w:rPr>
            <w:rStyle w:val="Hyperlink"/>
          </w:rPr>
          <w:t xml:space="preserve">[7]</w:t>
        </w:r>
      </w:hyperlink>
      <w:r>
        <w:t xml:space="preserve">.</w:t>
      </w:r>
      <w:r>
        <w:t xml:space="preserve"> </w:t>
      </w:r>
      <w:r>
        <w:rPr>
          <w:b/>
          <w:bCs/>
        </w:rPr>
        <w:t xml:space="preserve">Nota:</w:t>
      </w:r>
      <w:r>
        <w:t xml:space="preserve"> </w:t>
      </w:r>
      <w:r>
        <w:t xml:space="preserve">Estas cifras suponen 100% del token colocado; en la práctica, ritmos de venta menores implicarían menor recaudación pero potencialmente un precio promedio mayor por token (dado que se emiten menos tokens antes de la venta final del terreno).</w:t>
      </w:r>
      <w:r>
        <w:t xml:space="preserve"> </w:t>
      </w:r>
      <w:r>
        <w:rPr>
          <w:i/>
          <w:iCs/>
        </w:rPr>
        <w:t xml:space="preserve">Ninguno de estos escenarios representa una promesa de retorno, sino proyecciones hipotéticas para fines de planificación y control de riesgos.</w:t>
      </w:r>
    </w:p>
    <w:p>
      <w:pPr>
        <w:pStyle w:val="BodyText"/>
      </w:pPr>
      <w:r>
        <w:rPr>
          <w:b/>
          <w:bCs/>
        </w:rPr>
        <w:t xml:space="preserve">Uso de fondos y costo operativo:</w:t>
      </w:r>
      <w:r>
        <w:t xml:space="preserve"> </w:t>
      </w:r>
      <w:r>
        <w:t xml:space="preserve">PachaNova seguirá un modelo</w:t>
      </w:r>
      <w:r>
        <w:t xml:space="preserve"> </w:t>
      </w:r>
      <w:r>
        <w:rPr>
          <w:i/>
          <w:iCs/>
        </w:rPr>
        <w:t xml:space="preserve">lean</w:t>
      </w:r>
      <w:r>
        <w:t xml:space="preserve"> </w:t>
      </w:r>
      <w:r>
        <w:t xml:space="preserve">con</w:t>
      </w:r>
      <w:r>
        <w:t xml:space="preserve"> </w:t>
      </w:r>
      <w:r>
        <w:rPr>
          <w:b/>
          <w:bCs/>
        </w:rPr>
        <w:t xml:space="preserve">presupuesto institucional mínimo viable (IMV)</w:t>
      </w:r>
      <w:r>
        <w:t xml:space="preserve">. Los fondos recaudados en la preventa (US$420k) se destinarán a cubrir la</w:t>
      </w:r>
      <w:r>
        <w:t xml:space="preserve"> </w:t>
      </w:r>
      <w:r>
        <w:rPr>
          <w:b/>
          <w:bCs/>
        </w:rPr>
        <w:t xml:space="preserve">implementación inicial</w:t>
      </w:r>
      <w:r>
        <w:t xml:space="preserve">: gastos legales de estructuración (constitución del fideicomiso o vehículo, contratos), desarrollo tecnológico de la plataforma de tokenización, integración de proveedores (KYC/AML, custodia) y actividades de marketing y originación de inversores. A partir del año 1, las ventas de tokens de cada año proveerán liquidez para costear: auditorías anuales (valuación del terreno y auditoría del smart contract/cumplimiento), gastos de administración del fideicomiso, impuestos prediales y operativos menores del terreno, y un presupuesto de marketing y distribución para colocar los tokens restantes. Se mantendrá una</w:t>
      </w:r>
      <w:r>
        <w:t xml:space="preserve"> </w:t>
      </w:r>
      <w:r>
        <w:rPr>
          <w:b/>
          <w:bCs/>
        </w:rPr>
        <w:t xml:space="preserve">estructura de costos variable</w:t>
      </w:r>
      <w:r>
        <w:t xml:space="preserve"> </w:t>
      </w:r>
      <w:r>
        <w:t xml:space="preserve">en lo posible (muchos costos se activan solo si hay cierta escala de colocación) y se definirá una</w:t>
      </w:r>
      <w:r>
        <w:t xml:space="preserve"> </w:t>
      </w:r>
      <w:r>
        <w:rPr>
          <w:b/>
          <w:bCs/>
        </w:rPr>
        <w:t xml:space="preserve">reserva de contingencia</w:t>
      </w:r>
      <w:r>
        <w:t xml:space="preserve"> </w:t>
      </w:r>
      <w:r>
        <w:t xml:space="preserve">para asegurar continuidad incluso si las ventas son más lentas de lo previsto. En caso de períodos de baja colocación, se priorizará preservar caja reduciendo gastos discrecionales y</w:t>
      </w:r>
      <w:r>
        <w:t xml:space="preserve"> </w:t>
      </w:r>
      <w:r>
        <w:rPr>
          <w:b/>
          <w:bCs/>
        </w:rPr>
        <w:t xml:space="preserve">maximizando ingresos por comisiones</w:t>
      </w:r>
      <w:r>
        <w:t xml:space="preserve"> </w:t>
      </w:r>
      <w:r>
        <w:t xml:space="preserve">asociadas al servicio (por ejemplo, comisiones de entrada/salida o transacción en el mercado secundario permisionado, ver estructura de</w:t>
      </w:r>
      <w:r>
        <w:t xml:space="preserve"> </w:t>
      </w:r>
      <w:r>
        <w:rPr>
          <w:i/>
          <w:iCs/>
        </w:rPr>
        <w:t xml:space="preserve">fees</w:t>
      </w:r>
      <w:r>
        <w:t xml:space="preserve"> </w:t>
      </w:r>
      <w:r>
        <w:t xml:space="preserve">en modelo financiero). El objetivo es garantizar la</w:t>
      </w:r>
      <w:r>
        <w:t xml:space="preserve"> </w:t>
      </w:r>
      <w:r>
        <w:rPr>
          <w:b/>
          <w:bCs/>
        </w:rPr>
        <w:t xml:space="preserve">sostenibilidad operativa por al menos 5 años</w:t>
      </w:r>
      <w:r>
        <w:t xml:space="preserve"> </w:t>
      </w:r>
      <w:r>
        <w:t xml:space="preserve">sin depender críticamente de nuevas emisiones después de la preventa.</w:t>
      </w:r>
    </w:p>
    <w:p>
      <w:pPr>
        <w:pStyle w:val="BodyText"/>
      </w:pPr>
      <w:r>
        <w:rPr>
          <w:b/>
          <w:bCs/>
        </w:rPr>
        <w:t xml:space="preserve">Ventaja competitiva e</w:t>
      </w:r>
      <w:r>
        <w:rPr>
          <w:b/>
          <w:bCs/>
        </w:rPr>
        <w:t xml:space="preserve"> </w:t>
      </w:r>
      <w:r>
        <w:rPr>
          <w:b/>
          <w:bCs/>
          <w:i/>
          <w:iCs/>
        </w:rPr>
        <w:t xml:space="preserve">“por qué ahora”:</w:t>
      </w:r>
      <w:r>
        <w:rPr>
          <w:b/>
          <w:bCs/>
        </w:rPr>
        <w:t xml:space="preserve">} La propuesta de PachaNova combina</w:t>
      </w:r>
      <w:r>
        <w:rPr>
          <w:b/>
          <w:bCs/>
        </w:rPr>
        <w:t xml:space="preserve"> </w:t>
      </w:r>
      <w:r>
        <w:rPr>
          <w:b/>
          <w:bCs/>
          <w:i/>
          <w:iCs/>
        </w:rPr>
        <w:t xml:space="preserve">tecnología blockchain permisionada</w:t>
      </w:r>
      <w:r>
        <w:rPr>
          <w:b/>
          <w:bCs/>
        </w:rPr>
        <w:t xml:space="preserve">, un activo real con alta probabilidad de plusvalía, y un</w:t>
      </w:r>
      <w:r>
        <w:t xml:space="preserve"> </w:t>
      </w:r>
      <w:r>
        <w:t xml:space="preserve">enfoque estricto de cumplimiento regulatorio</w:t>
      </w:r>
      <w:r>
        <w:rPr>
          <w:b/>
          <w:bCs/>
        </w:rPr>
        <w:t xml:space="preserve">, algo poco común en el incipiente mercado de tokenización inmobiliaria. La</w:t>
      </w:r>
      <w:r>
        <w:t xml:space="preserve"> </w:t>
      </w:r>
      <w:r>
        <w:t xml:space="preserve">tokenización de activos inmobiliarios</w:t>
      </w:r>
      <w:r>
        <w:t xml:space="preserve"> </w:t>
      </w:r>
      <w:r>
        <w:rPr>
          <w:b/>
          <w:bCs/>
        </w:rPr>
        <w:t xml:space="preserve">a nivel global está ganando tracción, con estimaciones que proyectan un crecimiento exponencial: por ejemplo, Standard Chartered proyecta que la</w:t>
      </w:r>
      <w:r>
        <w:t xml:space="preserve"> </w:t>
      </w:r>
      <w:r>
        <w:t xml:space="preserve">capitalización global de activos tokenizados</w:t>
      </w:r>
      <w:r>
        <w:t xml:space="preserve"> </w:t>
      </w:r>
      <w:r>
        <w:rPr>
          <w:b/>
          <w:bCs/>
        </w:rPr>
        <w:t xml:space="preserve">alcance</w:t>
      </w:r>
      <w:r>
        <w:t xml:space="preserve"> </w:t>
      </w:r>
      <w:r>
        <w:t xml:space="preserve">US$2 billones</w:t>
      </w:r>
      <w:r>
        <w:t xml:space="preserve"> </w:t>
      </w:r>
      <w:r>
        <w:rPr>
          <w:b/>
          <w:bCs/>
        </w:rPr>
        <w:t xml:space="preserve">en 2028 (56 veces el nivel actual)</w:t>
      </w:r>
      <w:hyperlink r:id="rId29">
        <w:r>
          <w:rPr>
            <w:rStyle w:val="Hyperlink"/>
            <w:b/>
            <w:bCs/>
          </w:rPr>
          <w:t xml:space="preserve">[8]</w:t>
        </w:r>
      </w:hyperlink>
      <w:r>
        <w:rPr>
          <w:b/>
          <w:bCs/>
        </w:rPr>
        <w:t xml:space="preserve">, con más de</w:t>
      </w:r>
      <w:r>
        <w:t xml:space="preserve"> </w:t>
      </w:r>
      <w:r>
        <w:t xml:space="preserve">US$400,000 millones en bienes raíces tokenizados</w:t>
      </w:r>
      <w:r>
        <w:t xml:space="preserve"> </w:t>
      </w:r>
      <w:r>
        <w:rPr>
          <w:b/>
          <w:bCs/>
        </w:rPr>
        <w:t xml:space="preserve">para ese año</w:t>
      </w:r>
      <w:hyperlink r:id="rId30">
        <w:r>
          <w:rPr>
            <w:rStyle w:val="Hyperlink"/>
            <w:b/>
            <w:bCs/>
          </w:rPr>
          <w:t xml:space="preserve">[9]</w:t>
        </w:r>
      </w:hyperlink>
      <w:r>
        <w:rPr>
          <w:b/>
          <w:bCs/>
        </w:rPr>
        <w:t xml:space="preserve">. Esta tendencia refleja un fuerte interés del mercado en la digitalización de activos tradicionales.</w:t>
      </w:r>
      <w:r>
        <w:rPr>
          <w:b/>
          <w:bCs/>
        </w:rPr>
        <w:t xml:space="preserve"> </w:t>
      </w:r>
      <w:r>
        <w:rPr>
          <w:b/>
          <w:bCs/>
          <w:i/>
          <w:iCs/>
        </w:rPr>
        <w:t xml:space="preserve">PachaNova</w:t>
      </w:r>
      <w:r>
        <w:rPr>
          <w:b/>
          <w:bCs/>
        </w:rPr>
        <w:t xml:space="preserve"> </w:t>
      </w:r>
      <w:r>
        <w:rPr>
          <w:b/>
          <w:bCs/>
        </w:rPr>
        <w:t xml:space="preserve">busca adelantarse a esa tendencia en Perú, ofreciendo una estructura innovadora pero</w:t>
      </w:r>
      <w:r>
        <w:t xml:space="preserve"> </w:t>
      </w:r>
      <w:r>
        <w:t xml:space="preserve">diseñada con estándares institucionales</w:t>
      </w:r>
      <w:r>
        <w:t xml:space="preserve"> </w:t>
      </w:r>
      <w:r>
        <w:rPr>
          <w:b/>
          <w:bCs/>
        </w:rPr>
        <w:t xml:space="preserve">(gobierno corporativo, auditorías, normativa AML) que la vuelven más defendible frente a competidores potenciales. En el contexto local, el marco regulatorio peruano ha empezado a</w:t>
      </w:r>
      <w:r>
        <w:t xml:space="preserve"> </w:t>
      </w:r>
      <w:r>
        <w:t xml:space="preserve">reconocer y regular las plataformas de activos virtuales</w:t>
      </w:r>
      <w:r>
        <w:rPr>
          <w:b/>
          <w:bCs/>
        </w:rPr>
        <w:t xml:space="preserve">: desde julio de 2023, los Proveedores de Servicios de Activos Virtuales (PSAV) están formalmente incorporados como sujetos obligados en el sistema de prevención de lavado de activos</w:t>
      </w:r>
      <w:hyperlink r:id="rId31">
        <w:r>
          <w:rPr>
            <w:rStyle w:val="Hyperlink"/>
            <w:b/>
            <w:bCs/>
          </w:rPr>
          <w:t xml:space="preserve">[10]</w:t>
        </w:r>
      </w:hyperlink>
      <w:r>
        <w:rPr>
          <w:b/>
          <w:bCs/>
        </w:rPr>
        <w:t xml:space="preserve">, y en agosto de 2024 la SBS emitió una norma sectorial que exige a los PSAV implementar controles de KYC/AML equivalentes a los del sector financiero</w:t>
      </w:r>
      <w:hyperlink r:id="rId32">
        <w:r>
          <w:rPr>
            <w:rStyle w:val="Hyperlink"/>
            <w:b/>
            <w:bCs/>
          </w:rPr>
          <w:t xml:space="preserve">[11]</w:t>
        </w:r>
      </w:hyperlink>
      <w:r>
        <w:rPr>
          <w:b/>
          <w:bCs/>
        </w:rPr>
        <w:t xml:space="preserve">.</w:t>
      </w:r>
      <w:r>
        <w:rPr>
          <w:b/>
          <w:bCs/>
        </w:rPr>
        <w:t xml:space="preserve"> </w:t>
      </w:r>
      <w:r>
        <w:rPr>
          <w:b/>
          <w:bCs/>
          <w:i/>
          <w:iCs/>
        </w:rPr>
        <w:t xml:space="preserve">PachaNova</w:t>
      </w:r>
      <w:r>
        <w:rPr>
          <w:b/>
          <w:bCs/>
        </w:rPr>
        <w:t xml:space="preserve"> </w:t>
      </w:r>
      <w:r>
        <w:rPr>
          <w:b/>
          <w:bCs/>
        </w:rPr>
        <w:t xml:space="preserve">se enmarca dentro de este entorno regulatorio conservador, lo que significa que desde el día 1 contará con políticas de debida diligencia de clientes, reportes de operaciones sospechosas, oficiales de cumplimiento designados, etc.,</w:t>
      </w:r>
      <w:r>
        <w:t xml:space="preserve"> </w:t>
      </w:r>
      <w:r>
        <w:t xml:space="preserve">garantizando un nivel de cumplimiento y transparencia poco común en emprendimientos de tokenización</w:t>
      </w:r>
      <w:r>
        <w:rPr>
          <w:b/>
          <w:bCs/>
        </w:rPr>
        <w:t xml:space="preserve">. Este enfoque “compliance-first” no solo reduce riesgos regulatorios, sino que crea un</w:t>
      </w:r>
      <w:r>
        <w:t xml:space="preserve"> </w:t>
      </w:r>
      <w:r>
        <w:t xml:space="preserve">diferenciador competitivo**: brinda confianza a inversionistas institucionales y retail sofisticados que hasta ahora han visto con escepticismo las cripto-inversiones por falta de salvaguardas.</w:t>
      </w:r>
    </w:p>
    <w:p>
      <w:pPr>
        <w:pStyle w:val="BodyText"/>
      </w:pPr>
      <w:r>
        <w:rPr>
          <w:b/>
          <w:bCs/>
        </w:rPr>
        <w:t xml:space="preserve">Riesgos clave y mitigantes:</w:t>
      </w:r>
      <w:r>
        <w:t xml:space="preserve"> </w:t>
      </w:r>
      <w:r>
        <w:t xml:space="preserve">Como en toda inversión, existen riesgos significativos. Los principales identificados incluyen: (a)</w:t>
      </w:r>
      <w:r>
        <w:t xml:space="preserve"> </w:t>
      </w:r>
      <w:r>
        <w:rPr>
          <w:b/>
          <w:bCs/>
        </w:rPr>
        <w:t xml:space="preserve">Riesgo de demanda/mercado:</w:t>
      </w:r>
      <w:r>
        <w:t xml:space="preserve"> </w:t>
      </w:r>
      <w:r>
        <w:t xml:space="preserve">que la apetito de inversionistas (locales o de la diáspora peruana) sea menor a la esperada, lo cual se mitiga realizando una</w:t>
      </w:r>
      <w:r>
        <w:t xml:space="preserve"> </w:t>
      </w:r>
      <w:r>
        <w:rPr>
          <w:b/>
          <w:bCs/>
        </w:rPr>
        <w:t xml:space="preserve">pre-venta a inversores estratégicos como prueba de mercado</w:t>
      </w:r>
      <w:r>
        <w:t xml:space="preserve"> </w:t>
      </w:r>
      <w:r>
        <w:t xml:space="preserve">y manteniendo proyecciones conservadoras sustentadas con evidencia pública (e.g. no asumir venta total si no hay señales sólidas); (b)</w:t>
      </w:r>
      <w:r>
        <w:t xml:space="preserve"> </w:t>
      </w:r>
      <w:r>
        <w:rPr>
          <w:b/>
          <w:bCs/>
        </w:rPr>
        <w:t xml:space="preserve">Riesgo regulatorio:</w:t>
      </w:r>
      <w:r>
        <w:t xml:space="preserve"> </w:t>
      </w:r>
      <w:r>
        <w:t xml:space="preserve">que los tokens pudieran ser considerados</w:t>
      </w:r>
      <w:r>
        <w:t xml:space="preserve"> </w:t>
      </w:r>
      <w:r>
        <w:rPr>
          <w:i/>
          <w:iCs/>
        </w:rPr>
        <w:t xml:space="preserve">valores mobiliarios</w:t>
      </w:r>
      <w:r>
        <w:t xml:space="preserve"> </w:t>
      </w:r>
      <w:r>
        <w:t xml:space="preserve">sujetos a registro en la SMV, o que nuevas restricciones afecten la operación con activos virtuales; se mitiga</w:t>
      </w:r>
      <w:r>
        <w:t xml:space="preserve"> </w:t>
      </w:r>
      <w:r>
        <w:rPr>
          <w:b/>
          <w:bCs/>
        </w:rPr>
        <w:t xml:space="preserve">estructurando la oferta de forma privada</w:t>
      </w:r>
      <w:r>
        <w:t xml:space="preserve"> </w:t>
      </w:r>
      <w:r>
        <w:t xml:space="preserve">(dirigida a inversionistas elegibles, evitando publicidad masiva) y obteniendo opiniones legales especializadas, además de operar bajo un</w:t>
      </w:r>
      <w:r>
        <w:t xml:space="preserve"> </w:t>
      </w:r>
      <w:r>
        <w:rPr>
          <w:b/>
          <w:bCs/>
        </w:rPr>
        <w:t xml:space="preserve">vehículo legal segregado (fideicomiso)</w:t>
      </w:r>
      <w:r>
        <w:t xml:space="preserve"> </w:t>
      </w:r>
      <w:r>
        <w:t xml:space="preserve">con fuertes políticas AML desde el inicio; (c)</w:t>
      </w:r>
      <w:r>
        <w:t xml:space="preserve"> </w:t>
      </w:r>
      <w:r>
        <w:rPr>
          <w:b/>
          <w:bCs/>
        </w:rPr>
        <w:t xml:space="preserve">Riesgo operativo/tecnológico:</w:t>
      </w:r>
      <w:r>
        <w:t xml:space="preserve"> </w:t>
      </w:r>
      <w:r>
        <w:t xml:space="preserve">que alguna brecha de seguridad en los contratos inteligentes o procesos ponga en peligro los fondos; se mitiga con</w:t>
      </w:r>
      <w:r>
        <w:t xml:space="preserve"> </w:t>
      </w:r>
      <w:r>
        <w:rPr>
          <w:b/>
          <w:bCs/>
        </w:rPr>
        <w:t xml:space="preserve">auditorías técnicas independientes</w:t>
      </w:r>
      <w:r>
        <w:t xml:space="preserve"> </w:t>
      </w:r>
      <w:r>
        <w:t xml:space="preserve">de la plataforma blockchain antes del lanzamiento y con la selección de proveedores robustos (p. ej. custodios calificados para activos digitales); (d)</w:t>
      </w:r>
      <w:r>
        <w:t xml:space="preserve"> </w:t>
      </w:r>
      <w:r>
        <w:rPr>
          <w:b/>
          <w:bCs/>
        </w:rPr>
        <w:t xml:space="preserve">Riesgo financiero de caja:</w:t>
      </w:r>
      <w:r>
        <w:t xml:space="preserve"> </w:t>
      </w:r>
      <w:r>
        <w:t xml:space="preserve">que las ventas de tokens no generen suficientes ingresos para cubrir gastos, produciendo un</w:t>
      </w:r>
      <w:r>
        <w:t xml:space="preserve"> </w:t>
      </w:r>
      <w:r>
        <w:rPr>
          <w:i/>
          <w:iCs/>
        </w:rPr>
        <w:t xml:space="preserve">descalce de caja</w:t>
      </w:r>
      <w:r>
        <w:t xml:space="preserve">; se mitiga manteniendo una estructura de costos liviana, con</w:t>
      </w:r>
      <w:r>
        <w:t xml:space="preserve"> </w:t>
      </w:r>
      <w:r>
        <w:rPr>
          <w:b/>
          <w:bCs/>
        </w:rPr>
        <w:t xml:space="preserve">gatillos de reducción de gastos</w:t>
      </w:r>
      <w:r>
        <w:t xml:space="preserve"> </w:t>
      </w:r>
      <w:r>
        <w:t xml:space="preserve">si la colocación es lenta, y guardando una</w:t>
      </w:r>
      <w:r>
        <w:t xml:space="preserve"> </w:t>
      </w:r>
      <w:r>
        <w:rPr>
          <w:b/>
          <w:bCs/>
        </w:rPr>
        <w:t xml:space="preserve">reserva mínima de liquidez</w:t>
      </w:r>
      <w:r>
        <w:t xml:space="preserve">; y (e)</w:t>
      </w:r>
      <w:r>
        <w:t xml:space="preserve"> </w:t>
      </w:r>
      <w:r>
        <w:rPr>
          <w:b/>
          <w:bCs/>
        </w:rPr>
        <w:t xml:space="preserve">Riesgo del activo subyacente:</w:t>
      </w:r>
      <w:r>
        <w:t xml:space="preserve"> </w:t>
      </w:r>
      <w:r>
        <w:t xml:space="preserve">que surja algún problema legal con el terreno (título, cargas, etc.) al momento de la venta final, lo cual se mitiga estableciendo desde ya que la</w:t>
      </w:r>
      <w:r>
        <w:t xml:space="preserve"> </w:t>
      </w:r>
      <w:r>
        <w:rPr>
          <w:b/>
          <w:bCs/>
        </w:rPr>
        <w:t xml:space="preserve">venta masiva a inversionistas no procederá sin completar el due diligence</w:t>
      </w:r>
      <w:r>
        <w:t xml:space="preserve"> </w:t>
      </w:r>
      <w:r>
        <w:t xml:space="preserve">del terreno – es una condición precedente fundamental y se monitoreará su avance periódicamente (ver Plan de Ejecución). En la sección de</w:t>
      </w:r>
      <w:r>
        <w:t xml:space="preserve"> </w:t>
      </w:r>
      <w:r>
        <w:rPr>
          <w:i/>
          <w:iCs/>
        </w:rPr>
        <w:t xml:space="preserve">Gobernanza y Gestión de Riesgos</w:t>
      </w:r>
      <w:r>
        <w:t xml:space="preserve"> </w:t>
      </w:r>
      <w:r>
        <w:t xml:space="preserve">se profundiza en estos y otros riesgos identificados, junto con las medidas de control planificadas.</w:t>
      </w:r>
    </w:p>
    <w:p>
      <w:pPr>
        <w:pStyle w:val="BodyText"/>
      </w:pPr>
      <w:r>
        <w:rPr>
          <w:b/>
          <w:bCs/>
        </w:rPr>
        <w:t xml:space="preserve">Conclusión –</w:t>
      </w:r>
      <w:r>
        <w:rPr>
          <w:b/>
          <w:bCs/>
        </w:rPr>
        <w:t xml:space="preserve"> </w:t>
      </w:r>
      <w:r>
        <w:rPr>
          <w:b/>
          <w:bCs/>
          <w:i/>
          <w:iCs/>
        </w:rPr>
        <w:t xml:space="preserve">“investment case”</w:t>
      </w:r>
      <w:r>
        <w:rPr>
          <w:b/>
          <w:bCs/>
        </w:rPr>
        <w:t xml:space="preserve"> </w:t>
      </w:r>
      <w:r>
        <w:rPr>
          <w:b/>
          <w:bCs/>
        </w:rPr>
        <w:t xml:space="preserve">resumido:</w:t>
      </w:r>
      <w:r>
        <w:t xml:space="preserve"> </w:t>
      </w:r>
      <w:r>
        <w:rPr>
          <w:i/>
          <w:iCs/>
        </w:rPr>
        <w:t xml:space="preserve">PachaNova</w:t>
      </w:r>
      <w:r>
        <w:t xml:space="preserve"> </w:t>
      </w:r>
      <w:r>
        <w:t xml:space="preserve">ofrece una</w:t>
      </w:r>
      <w:r>
        <w:t xml:space="preserve"> </w:t>
      </w:r>
      <w:r>
        <w:rPr>
          <w:b/>
          <w:bCs/>
        </w:rPr>
        <w:t xml:space="preserve">oportunidad única de invertir indirectamente en suelo peruano en alto crecimiento</w:t>
      </w:r>
      <w:r>
        <w:t xml:space="preserve"> </w:t>
      </w:r>
      <w:r>
        <w:t xml:space="preserve">(sur de Lima) con un instrumento moderno, fraccionado y líquido (relativamente) comparado a la tenencia directa de tierra. La tesis se apoya en</w:t>
      </w:r>
      <w:r>
        <w:t xml:space="preserve"> </w:t>
      </w:r>
      <w:r>
        <w:rPr>
          <w:b/>
          <w:bCs/>
        </w:rPr>
        <w:t xml:space="preserve">tendencias tangibles:</w:t>
      </w:r>
      <w:r>
        <w:t xml:space="preserve"> </w:t>
      </w:r>
      <w:r>
        <w:t xml:space="preserve">un mega-proyecto ferroviario viable y un plan urbano oficial, sumados a la creciente demanda habitacional y comercial hacia el sur de Lima. A diferencia de una inversión inmobiliaria tradicional, aquí el inversor cuenta con una</w:t>
      </w:r>
      <w:r>
        <w:t xml:space="preserve"> </w:t>
      </w:r>
      <w:r>
        <w:rPr>
          <w:b/>
          <w:bCs/>
        </w:rPr>
        <w:t xml:space="preserve">estrategia de salida clara a 5 años</w:t>
      </w:r>
      <w:r>
        <w:t xml:space="preserve"> </w:t>
      </w:r>
      <w:r>
        <w:t xml:space="preserve">(venta del activo) y con un</w:t>
      </w:r>
      <w:r>
        <w:t xml:space="preserve"> </w:t>
      </w:r>
      <w:r>
        <w:rPr>
          <w:b/>
          <w:bCs/>
        </w:rPr>
        <w:t xml:space="preserve">marco institucional</w:t>
      </w:r>
      <w:r>
        <w:t xml:space="preserve"> </w:t>
      </w:r>
      <w:r>
        <w:t xml:space="preserve">que busca minimizar sorpresas: valuaciones independientes anuales, transparencia en el uso de fondos, gobierno corporativo con comités de riesgos y auditoría, y cumplimiento regulatorio estricto. Si bien existen riesgos importantes (ejecución pública incierta, evolución del mercado de criptoactivos, iliquidez hasta la venta final, entre otros), el plan los reconoce explícitamente y presenta mitigantes concretos. En suma, para un comité de inversión,</w:t>
      </w:r>
      <w:r>
        <w:t xml:space="preserve"> </w:t>
      </w:r>
      <w:r>
        <w:rPr>
          <w:i/>
          <w:iCs/>
        </w:rPr>
        <w:t xml:space="preserve">PachaNova</w:t>
      </w:r>
      <w:r>
        <w:t xml:space="preserve"> </w:t>
      </w:r>
      <w:r>
        <w:t xml:space="preserve">representa una iniciativa de</w:t>
      </w:r>
      <w:r>
        <w:t xml:space="preserve"> </w:t>
      </w:r>
      <w:r>
        <w:rPr>
          <w:b/>
          <w:bCs/>
        </w:rPr>
        <w:t xml:space="preserve">tokenización inmobiliaria seria y pionera</w:t>
      </w:r>
      <w:r>
        <w:t xml:space="preserve">, con potencial de altos rendimientos asociados a la plusvalía del suelo (</w:t>
      </w:r>
      <w:r>
        <w:rPr>
          <w:i/>
          <w:iCs/>
        </w:rPr>
        <w:t xml:space="preserve">land value capture</w:t>
      </w:r>
      <w:r>
        <w:t xml:space="preserve">), construida bajo estándares de rigor que buscan asemejarla más a un vehículo de inversión institucional que a un experimento</w:t>
      </w:r>
      <w:r>
        <w:t xml:space="preserve"> </w:t>
      </w:r>
      <w:r>
        <w:rPr>
          <w:i/>
          <w:iCs/>
        </w:rPr>
        <w:t xml:space="preserve">fintech</w:t>
      </w:r>
      <w:r>
        <w:t xml:space="preserve"> </w:t>
      </w:r>
      <w:r>
        <w:t xml:space="preserve">al margen de la regulación.</w:t>
      </w:r>
      <w:r>
        <w:t xml:space="preserve"> </w:t>
      </w:r>
      <w:r>
        <w:rPr>
          <w:b/>
          <w:bCs/>
        </w:rPr>
        <w:t xml:space="preserve">La decisión requerida</w:t>
      </w:r>
      <w:r>
        <w:t xml:space="preserve"> </w:t>
      </w:r>
      <w:r>
        <w:t xml:space="preserve">en esta etapa inicial es la</w:t>
      </w:r>
      <w:r>
        <w:t xml:space="preserve"> </w:t>
      </w:r>
      <w:r>
        <w:rPr>
          <w:b/>
          <w:bCs/>
        </w:rPr>
        <w:t xml:space="preserve">aprobación para proceder con la preventa</w:t>
      </w:r>
      <w:r>
        <w:t xml:space="preserve"> </w:t>
      </w:r>
      <w:r>
        <w:t xml:space="preserve">(10% del activo) y el</w:t>
      </w:r>
      <w:r>
        <w:t xml:space="preserve"> </w:t>
      </w:r>
      <w:r>
        <w:rPr>
          <w:b/>
          <w:bCs/>
        </w:rPr>
        <w:t xml:space="preserve">mandato para estructurar el vehículo legal</w:t>
      </w:r>
      <w:r>
        <w:t xml:space="preserve"> </w:t>
      </w:r>
      <w:r>
        <w:t xml:space="preserve">correspondiente (fideicomiso o SPV) que custodiará el activo y formalizará los derechos de los inversionistas. Con esa luz verde, el equipo podrá activar la fase de ejecución detallada en este plan, encaminando a PachaNova hacia su hito de lanzamiento.</w:t>
      </w:r>
    </w:p>
    <w:p>
      <w:r>
        <w:pict>
          <v:rect style="width:0;height:1.5pt" o:hralign="center" o:hrstd="t" o:hr="t"/>
        </w:pict>
      </w:r>
    </w:p>
    <w:p>
      <w:pPr>
        <w:pStyle w:val="FirstParagraph"/>
      </w:pPr>
      <w:r>
        <w:rPr>
          <w:i/>
          <w:iCs/>
        </w:rPr>
        <w:t xml:space="preserve">(El documento continúa con secciones detalladas sobre la tesis de inversión, descripción del activo, análisis de mercado, producto/plataforma, marco legal, modelo financiero, riesgos y gobernanza, equipo y plan de ejecución, que amplían los puntos resumidos arriba.)</w:t>
      </w:r>
    </w:p>
    <w:bookmarkEnd w:id="33"/>
    <w:bookmarkStart w:id="37" w:name="tesis-de-inversión-y-oportunidad"/>
    <w:p>
      <w:pPr>
        <w:pStyle w:val="Heading2"/>
      </w:pPr>
      <w:r>
        <w:t xml:space="preserve">Tesis de Inversión y Oportunidad</w:t>
      </w:r>
    </w:p>
    <w:p>
      <w:pPr>
        <w:pStyle w:val="FirstParagraph"/>
      </w:pPr>
      <w:r>
        <w:rPr>
          <w:b/>
          <w:bCs/>
        </w:rPr>
        <w:t xml:space="preserve">Problema de fondo:</w:t>
      </w:r>
      <w:r>
        <w:t xml:space="preserve"> </w:t>
      </w:r>
      <w:r>
        <w:t xml:space="preserve">La inversión en</w:t>
      </w:r>
      <w:r>
        <w:t xml:space="preserve"> </w:t>
      </w:r>
      <w:r>
        <w:rPr>
          <w:b/>
          <w:bCs/>
        </w:rPr>
        <w:t xml:space="preserve">suelo urbano</w:t>
      </w:r>
      <w:r>
        <w:t xml:space="preserve"> </w:t>
      </w:r>
      <w:r>
        <w:t xml:space="preserve">con alto potencial de valorización históricamente ha enfrentado</w:t>
      </w:r>
      <w:r>
        <w:t xml:space="preserve"> </w:t>
      </w:r>
      <w:r>
        <w:rPr>
          <w:b/>
          <w:bCs/>
        </w:rPr>
        <w:t xml:space="preserve">barreras de entrada muy elevadas</w:t>
      </w:r>
      <w:r>
        <w:t xml:space="preserve">. Adquirir terrenos grandes en zonas de expansión requiere capital significativo, a menudo fuera del alcance de inversionistas individuales o familias promedio. Además, el</w:t>
      </w:r>
      <w:r>
        <w:t xml:space="preserve"> </w:t>
      </w:r>
      <w:r>
        <w:rPr>
          <w:b/>
          <w:bCs/>
        </w:rPr>
        <w:t xml:space="preserve">horizonte de maduración</w:t>
      </w:r>
      <w:r>
        <w:t xml:space="preserve"> </w:t>
      </w:r>
      <w:r>
        <w:t xml:space="preserve">para capturar plusvalías urbanísticas suele ser de varios años, periodo durante el cual el inversor enfrenta</w:t>
      </w:r>
      <w:r>
        <w:t xml:space="preserve"> </w:t>
      </w:r>
      <w:r>
        <w:rPr>
          <w:b/>
          <w:bCs/>
        </w:rPr>
        <w:t xml:space="preserve">liquidez prácticamente nula</w:t>
      </w:r>
      <w:r>
        <w:t xml:space="preserve"> </w:t>
      </w:r>
      <w:r>
        <w:t xml:space="preserve">(no es sencillo revender una fracción de terreno ni obtener rendimientos intermedios). A esto se suman</w:t>
      </w:r>
      <w:r>
        <w:t xml:space="preserve"> </w:t>
      </w:r>
      <w:r>
        <w:rPr>
          <w:b/>
          <w:bCs/>
        </w:rPr>
        <w:t xml:space="preserve">fricciones operativas</w:t>
      </w:r>
      <w:r>
        <w:t xml:space="preserve">: trámites notariales/registrales complejos para transferir propiedad, costos asociados (impuestos, notaría, estudios) y riesgos legales (saneamiento de título, zonificación, invasiones, etc.). En síntesis, invertir en tierra “prometedora” es visto como algo reservado a</w:t>
      </w:r>
      <w:r>
        <w:t xml:space="preserve"> </w:t>
      </w:r>
      <w:r>
        <w:rPr>
          <w:b/>
          <w:bCs/>
        </w:rPr>
        <w:t xml:space="preserve">grandes desarrolladores o patrimonios inmobiliarios</w:t>
      </w:r>
      <w:r>
        <w:t xml:space="preserve">, dejando fuera a inversionistas medianos que quisieran participar de las ganancias de plusvalía.</w:t>
      </w:r>
    </w:p>
    <w:p>
      <w:pPr>
        <w:pStyle w:val="BodyText"/>
      </w:pPr>
      <w:r>
        <w:rPr>
          <w:b/>
          <w:bCs/>
        </w:rPr>
        <w:t xml:space="preserve">Oportunidad detectada:</w:t>
      </w:r>
      <w:r>
        <w:t xml:space="preserve"> </w:t>
      </w:r>
      <w:r>
        <w:rPr>
          <w:i/>
          <w:iCs/>
        </w:rPr>
        <w:t xml:space="preserve">PachaNova</w:t>
      </w:r>
      <w:r>
        <w:t xml:space="preserve"> </w:t>
      </w:r>
      <w:r>
        <w:t xml:space="preserve">identifica una</w:t>
      </w:r>
      <w:r>
        <w:t xml:space="preserve"> </w:t>
      </w:r>
      <w:r>
        <w:rPr>
          <w:b/>
          <w:bCs/>
        </w:rPr>
        <w:t xml:space="preserve">zona específica</w:t>
      </w:r>
      <w:r>
        <w:t xml:space="preserve"> </w:t>
      </w:r>
      <w:r>
        <w:t xml:space="preserve">– la franja sur de Lima Metropolitana – donde la combinación de inversión pública en infraestructura y planificación urbana formal está creando las condiciones para un</w:t>
      </w:r>
      <w:r>
        <w:t xml:space="preserve"> </w:t>
      </w:r>
      <w:r>
        <w:rPr>
          <w:b/>
          <w:bCs/>
        </w:rPr>
        <w:t xml:space="preserve">salto significativo en el valor del suelo</w:t>
      </w:r>
      <w:r>
        <w:t xml:space="preserve"> </w:t>
      </w:r>
      <w:r>
        <w:t xml:space="preserve">en la próxima década. El</w:t>
      </w:r>
      <w:r>
        <w:t xml:space="preserve"> </w:t>
      </w:r>
      <w:r>
        <w:rPr>
          <w:b/>
          <w:bCs/>
        </w:rPr>
        <w:t xml:space="preserve">Ferrocarril Lima–Ica</w:t>
      </w:r>
      <w:r>
        <w:t xml:space="preserve">, con viabilidad aprobada y un presupuesto referencial de ~US$6,500 millones</w:t>
      </w:r>
      <w:hyperlink r:id="rId34">
        <w:r>
          <w:rPr>
            <w:rStyle w:val="Hyperlink"/>
          </w:rPr>
          <w:t xml:space="preserve">[12]</w:t>
        </w:r>
      </w:hyperlink>
      <w:hyperlink r:id="rId22">
        <w:r>
          <w:rPr>
            <w:rStyle w:val="Hyperlink"/>
          </w:rPr>
          <w:t xml:space="preserve">[1]</w:t>
        </w:r>
      </w:hyperlink>
      <w:r>
        <w:t xml:space="preserve">, proyecta conectar Lima con ciudades al sur en ~2030, recortando tiempos de viaje de ~5 horas actuales a solo 2.5 horas</w:t>
      </w:r>
      <w:hyperlink r:id="rId22">
        <w:r>
          <w:rPr>
            <w:rStyle w:val="Hyperlink"/>
          </w:rPr>
          <w:t xml:space="preserve">[1]</w:t>
        </w:r>
      </w:hyperlink>
      <w:r>
        <w:t xml:space="preserve">. Esto no solo integra a Ica en el circuito económico de Lima, sino que</w:t>
      </w:r>
      <w:r>
        <w:t xml:space="preserve"> </w:t>
      </w:r>
      <w:r>
        <w:rPr>
          <w:i/>
          <w:iCs/>
        </w:rPr>
        <w:t xml:space="preserve">revaloriza enormemente</w:t>
      </w:r>
      <w:r>
        <w:t xml:space="preserve"> </w:t>
      </w:r>
      <w:r>
        <w:t xml:space="preserve">los distritos sureños de Lima que tendrán estaciones o accesos cercanos, volviéndolos atractivos para vivienda, comercio y logística. En paralelo, el</w:t>
      </w:r>
      <w:r>
        <w:t xml:space="preserve"> </w:t>
      </w:r>
      <w:r>
        <w:rPr>
          <w:b/>
          <w:bCs/>
        </w:rPr>
        <w:t xml:space="preserve">Plan “Lima Balnearios del Sur” (2024–2034)</w:t>
      </w:r>
      <w:r>
        <w:t xml:space="preserve"> </w:t>
      </w:r>
      <w:r>
        <w:t xml:space="preserve">brinda el marco regulatorio para un crecimiento ordenado: actualiza la</w:t>
      </w:r>
      <w:r>
        <w:t xml:space="preserve"> </w:t>
      </w:r>
      <w:r>
        <w:rPr>
          <w:b/>
          <w:bCs/>
        </w:rPr>
        <w:t xml:space="preserve">zonificación</w:t>
      </w:r>
      <w:r>
        <w:t xml:space="preserve"> </w:t>
      </w:r>
      <w:r>
        <w:t xml:space="preserve">de grandes extensiones (36 mil hectáreas) fomentando polos industriales, parques tecnológicos y desarrollos residenciales planificados, todo con criterios de sostenibilidad</w:t>
      </w:r>
      <w:hyperlink r:id="rId35">
        <w:r>
          <w:rPr>
            <w:rStyle w:val="Hyperlink"/>
          </w:rPr>
          <w:t xml:space="preserve">[13]</w:t>
        </w:r>
      </w:hyperlink>
      <w:r>
        <w:t xml:space="preserve">. Este plan explícitamente ubica en San Bartolo equipamientos metropolitanos (mercado mayorista, ciudad científica) y lo designa como</w:t>
      </w:r>
      <w:r>
        <w:t xml:space="preserve"> </w:t>
      </w:r>
      <w:r>
        <w:rPr>
          <w:b/>
          <w:bCs/>
        </w:rPr>
        <w:t xml:space="preserve">núcleo interregional</w:t>
      </w:r>
      <w:r>
        <w:t xml:space="preserve"> </w:t>
      </w:r>
      <w:r>
        <w:t xml:space="preserve">para el sur</w:t>
      </w:r>
      <w:hyperlink r:id="rId25">
        <w:r>
          <w:rPr>
            <w:rStyle w:val="Hyperlink"/>
          </w:rPr>
          <w:t xml:space="preserve">[4]</w:t>
        </w:r>
      </w:hyperlink>
      <w:r>
        <w:t xml:space="preserve">. En la práctica, esto significa que terrenos que antes eran “playas lejanas” o parcelas rústicas, ahora se</w:t>
      </w:r>
      <w:r>
        <w:t xml:space="preserve"> </w:t>
      </w:r>
      <w:r>
        <w:rPr>
          <w:b/>
          <w:bCs/>
        </w:rPr>
        <w:t xml:space="preserve">reconceptualizan como parte de una futura ciudad satélite</w:t>
      </w:r>
      <w:r>
        <w:t xml:space="preserve"> </w:t>
      </w:r>
      <w:r>
        <w:t xml:space="preserve">de Lima, con demanda esperada de cientos de miles de nuevos residentes.</w:t>
      </w:r>
    </w:p>
    <w:p>
      <w:pPr>
        <w:pStyle w:val="BodyText"/>
      </w:pPr>
      <w:r>
        <w:t xml:space="preserve">La oportunidad, entonces, consiste en</w:t>
      </w:r>
      <w:r>
        <w:t xml:space="preserve"> </w:t>
      </w:r>
      <w:r>
        <w:rPr>
          <w:b/>
          <w:bCs/>
        </w:rPr>
        <w:t xml:space="preserve">adquirir y mantener hoy</w:t>
      </w:r>
      <w:r>
        <w:t xml:space="preserve"> </w:t>
      </w:r>
      <w:r>
        <w:t xml:space="preserve">un terreno estratégicamente ubicado en San Bartolo, antes de que la avalancha de demanda y mejoras públicas se refleje totalmente en su precio, para luego</w:t>
      </w:r>
      <w:r>
        <w:t xml:space="preserve"> </w:t>
      </w:r>
      <w:r>
        <w:rPr>
          <w:b/>
          <w:bCs/>
        </w:rPr>
        <w:t xml:space="preserve">capturar esa apreciación</w:t>
      </w:r>
      <w:r>
        <w:t xml:space="preserve"> </w:t>
      </w:r>
      <w:r>
        <w:t xml:space="preserve">en un horizonte de 5 años. Se trata de</w:t>
      </w:r>
      <w:r>
        <w:t xml:space="preserve"> </w:t>
      </w:r>
      <w:r>
        <w:rPr>
          <w:i/>
          <w:iCs/>
        </w:rPr>
        <w:t xml:space="preserve">capturar la plusvalía</w:t>
      </w:r>
      <w:r>
        <w:t xml:space="preserve"> </w:t>
      </w:r>
      <w:r>
        <w:t xml:space="preserve">generada por decisiones públicas: hay amplia evidencia académica y de organismos multilaterales de que inversiones en transporte masivo e intervenciones normativas urbanas suelen capitalizarse en el valor del suelo circundante (valor que típicamente beneficía solo a grandes propietarios)</w:t>
      </w:r>
      <w:hyperlink r:id="rId27">
        <w:r>
          <w:rPr>
            <w:rStyle w:val="Hyperlink"/>
          </w:rPr>
          <w:t xml:space="preserve">[6]</w:t>
        </w:r>
      </w:hyperlink>
      <w:r>
        <w:t xml:space="preserve">. PachaNova busca</w:t>
      </w:r>
      <w:r>
        <w:t xml:space="preserve"> </w:t>
      </w:r>
      <w:r>
        <w:rPr>
          <w:b/>
          <w:bCs/>
        </w:rPr>
        <w:t xml:space="preserve">democratizar el acceso a esa plusvalía</w:t>
      </w:r>
      <w:r>
        <w:t xml:space="preserve">, permitiendo que pequeños y medianos inversionistas obtengan una participación proporcional en la valorización futura de la tierra.</w:t>
      </w:r>
    </w:p>
    <w:p>
      <w:pPr>
        <w:pStyle w:val="BodyText"/>
      </w:pPr>
      <w:r>
        <w:rPr>
          <w:b/>
          <w:bCs/>
        </w:rPr>
        <w:t xml:space="preserve">¿Por qué este enfoque y por qué ahora?</w:t>
      </w:r>
      <w:r>
        <w:t xml:space="preserve"> </w:t>
      </w:r>
      <w:r>
        <w:t xml:space="preserve">La propuesta de fraccionar vía tokens responde a la necesidad de</w:t>
      </w:r>
      <w:r>
        <w:t xml:space="preserve"> </w:t>
      </w:r>
      <w:r>
        <w:rPr>
          <w:b/>
          <w:bCs/>
        </w:rPr>
        <w:t xml:space="preserve">eliminar las barreras económicas y de liquidez</w:t>
      </w:r>
      <w:r>
        <w:t xml:space="preserve"> </w:t>
      </w:r>
      <w:r>
        <w:t xml:space="preserve">mencionadas. Mediante la tokenización permisionada, se puede dividir el gran lote en 500,000 fracciones con propiedad económica compartida, de modo que un inversionista puede aportar, por ejemplo, US$1,200 para comprar 100 tokens (equivalentes a 10 m²) en lugar de tener que desembolsar cientos de miles por un lote entero. Además, a diferencia de un título de propiedad tradicional, los tokens pueden</w:t>
      </w:r>
      <w:r>
        <w:t xml:space="preserve"> </w:t>
      </w:r>
      <w:r>
        <w:rPr>
          <w:b/>
          <w:bCs/>
        </w:rPr>
        <w:t xml:space="preserve">eventualmente transferirse</w:t>
      </w:r>
      <w:r>
        <w:t xml:space="preserve"> </w:t>
      </w:r>
      <w:r>
        <w:t xml:space="preserve">de manera ágil en un mercado secundario controlado – por ejemplo, un inversionista que necesite liquidez antes del año 5 podría vender sus tokens a otro inversionista elegible, posibilitando una salida anticipada que hoy día simplemente no existe en inversiones de tierra (salvo encontrar un comprador privado para un porcentaje de la propiedad, algo impracticable). Este</w:t>
      </w:r>
      <w:r>
        <w:t xml:space="preserve"> </w:t>
      </w:r>
      <w:r>
        <w:rPr>
          <w:b/>
          <w:bCs/>
        </w:rPr>
        <w:t xml:space="preserve">modelo flexibiliza plazos y tamaños de inversión</w:t>
      </w:r>
      <w:r>
        <w:t xml:space="preserve">, haciéndolo atractivo para un rango mucho más amplio de participantes.</w:t>
      </w:r>
    </w:p>
    <w:p>
      <w:pPr>
        <w:pStyle w:val="BodyText"/>
      </w:pPr>
      <w:r>
        <w:t xml:space="preserve">El</w:t>
      </w:r>
      <w:r>
        <w:t xml:space="preserve"> </w:t>
      </w:r>
      <w:r>
        <w:rPr>
          <w:i/>
          <w:iCs/>
        </w:rPr>
        <w:t xml:space="preserve">timing</w:t>
      </w:r>
      <w:r>
        <w:t xml:space="preserve"> </w:t>
      </w:r>
      <w:r>
        <w:t xml:space="preserve">es propicio porque confluyen dos circunstancias: (1) la mencionada ventana antes de que los catalizadores (tren, plan urbano) se ejecuten por completo –</w:t>
      </w:r>
      <w:r>
        <w:t xml:space="preserve"> </w:t>
      </w:r>
      <w:r>
        <w:rPr>
          <w:i/>
          <w:iCs/>
        </w:rPr>
        <w:t xml:space="preserve">el momento de entrar es antes de que se construya el tren, no después</w:t>
      </w:r>
      <w:r>
        <w:t xml:space="preserve">, es decir,</w:t>
      </w:r>
      <w:r>
        <w:t xml:space="preserve"> </w:t>
      </w:r>
      <w:r>
        <w:rPr>
          <w:b/>
          <w:bCs/>
        </w:rPr>
        <w:t xml:space="preserve">“ahora” es cuando el precio aún no refleja totalmente esa expectativa</w:t>
      </w:r>
      <w:r>
        <w:t xml:space="preserve">; y (2) la</w:t>
      </w:r>
      <w:r>
        <w:t xml:space="preserve"> </w:t>
      </w:r>
      <w:r>
        <w:rPr>
          <w:b/>
          <w:bCs/>
        </w:rPr>
        <w:t xml:space="preserve">madurez de la tecnología de tokenización permisionada</w:t>
      </w:r>
      <w:r>
        <w:t xml:space="preserve">, que hace unos años era inmadura pero hoy cuenta con estándares específicos (ej. ERC-3643 para tokens con identidad y restricciones integradas) y un marco legal más claro. En 2023-2024, Perú actualizó su normativa para incluir activos virtuales en el perímetro regulatorio AML</w:t>
      </w:r>
      <w:hyperlink r:id="rId31">
        <w:r>
          <w:rPr>
            <w:rStyle w:val="Hyperlink"/>
          </w:rPr>
          <w:t xml:space="preserve">[10]</w:t>
        </w:r>
      </w:hyperlink>
      <w:r>
        <w:t xml:space="preserve"> </w:t>
      </w:r>
      <w:r>
        <w:t xml:space="preserve">y la SBS emitió lineamientos concretos para plataformas como la nuestra</w:t>
      </w:r>
      <w:hyperlink r:id="rId32">
        <w:r>
          <w:rPr>
            <w:rStyle w:val="Hyperlink"/>
          </w:rPr>
          <w:t xml:space="preserve">[11]</w:t>
        </w:r>
      </w:hyperlink>
      <w:r>
        <w:t xml:space="preserve">. Esto brinda la</w:t>
      </w:r>
      <w:r>
        <w:t xml:space="preserve"> </w:t>
      </w:r>
      <w:r>
        <w:rPr>
          <w:i/>
          <w:iCs/>
        </w:rPr>
        <w:t xml:space="preserve">certeza jurídica</w:t>
      </w:r>
      <w:r>
        <w:t xml:space="preserve"> </w:t>
      </w:r>
      <w:r>
        <w:t xml:space="preserve">para operar de forma legítima, algo que proyectos similares hace 4-5 años no tenían (eran terrenos más grises). Asimismo, existe una</w:t>
      </w:r>
      <w:r>
        <w:t xml:space="preserve"> </w:t>
      </w:r>
      <w:r>
        <w:rPr>
          <w:b/>
          <w:bCs/>
        </w:rPr>
        <w:t xml:space="preserve">base de inversores latentes</w:t>
      </w:r>
      <w:r>
        <w:t xml:space="preserve"> </w:t>
      </w:r>
      <w:r>
        <w:t xml:space="preserve">como la diáspora peruana en el extranjero – más de 3.5 millones de peruanos residen fuera del país</w:t>
      </w:r>
      <w:hyperlink r:id="rId36">
        <w:r>
          <w:rPr>
            <w:rStyle w:val="Hyperlink"/>
          </w:rPr>
          <w:t xml:space="preserve">[14]</w:t>
        </w:r>
      </w:hyperlink>
      <w:r>
        <w:t xml:space="preserve"> </w:t>
      </w:r>
      <w:r>
        <w:t xml:space="preserve">– que podrían estar interesados en invertir en su tierra natal si tuvieran mecanismos accesibles. Muchos de ellos no pueden gestionar la compra de un inmueble desde lejos, pero comprar tokens equivalentes a metros cuadrados, con trazabilidad y eventualmente intercambiables, puede resultarles atractivo. El contexto post-pandemia además ha acelerado la digitalización de inversiones y familiarizado a más personas con conceptos de</w:t>
      </w:r>
      <w:r>
        <w:t xml:space="preserve"> </w:t>
      </w:r>
      <w:r>
        <w:rPr>
          <w:i/>
          <w:iCs/>
        </w:rPr>
        <w:t xml:space="preserve">fintech</w:t>
      </w:r>
      <w:r>
        <w:t xml:space="preserve">, lo cual reduce las barreras educativas para adoptar este tipo de activo.</w:t>
      </w:r>
    </w:p>
    <w:p>
      <w:pPr>
        <w:pStyle w:val="BodyText"/>
      </w:pPr>
      <w:r>
        <w:rPr>
          <w:b/>
          <w:bCs/>
        </w:rPr>
        <w:t xml:space="preserve">Qué hace única a PachaNova:</w:t>
      </w:r>
      <w:r>
        <w:t xml:space="preserve"> </w:t>
      </w:r>
      <w:r>
        <w:t xml:space="preserve">A diferencia de simples</w:t>
      </w:r>
      <w:r>
        <w:t xml:space="preserve"> </w:t>
      </w:r>
      <w:r>
        <w:rPr>
          <w:i/>
          <w:iCs/>
        </w:rPr>
        <w:t xml:space="preserve">crowdfundings</w:t>
      </w:r>
      <w:r>
        <w:t xml:space="preserve"> </w:t>
      </w:r>
      <w:r>
        <w:t xml:space="preserve">inmobiliarios o esquemas informales de co-propiedad, PachaNova se construye desde cero con una visión institucional:</w:t>
      </w:r>
      <w:r>
        <w:t xml:space="preserve"> </w:t>
      </w:r>
      <w:r>
        <w:rPr>
          <w:b/>
          <w:bCs/>
        </w:rPr>
        <w:t xml:space="preserve">vehículo patrimonial segregado, derechos de los inversores claramente definidos, cumplimiento normativo estricto y transparencia total</w:t>
      </w:r>
      <w:r>
        <w:t xml:space="preserve">. El uso de tecnología blockchain no es para especulación, sino para</w:t>
      </w:r>
      <w:r>
        <w:t xml:space="preserve"> </w:t>
      </w:r>
      <w:r>
        <w:rPr>
          <w:b/>
          <w:bCs/>
        </w:rPr>
        <w:t xml:space="preserve">eficiencia operativa</w:t>
      </w:r>
      <w:r>
        <w:t xml:space="preserve"> </w:t>
      </w:r>
      <w:r>
        <w:t xml:space="preserve">(automatizar la emisión de participaciones, los registros de titularidad y las restricciones de transferencia) y</w:t>
      </w:r>
      <w:r>
        <w:t xml:space="preserve"> </w:t>
      </w:r>
      <w:r>
        <w:rPr>
          <w:b/>
          <w:bCs/>
        </w:rPr>
        <w:t xml:space="preserve">seguridad</w:t>
      </w:r>
      <w:r>
        <w:t xml:space="preserve"> </w:t>
      </w:r>
      <w:r>
        <w:t xml:space="preserve">(imposibilidad de manipular registros de propiedad económica). La elección de un</w:t>
      </w:r>
      <w:r>
        <w:t xml:space="preserve"> </w:t>
      </w:r>
      <w:r>
        <w:rPr>
          <w:b/>
          <w:bCs/>
        </w:rPr>
        <w:t xml:space="preserve">token permisionado</w:t>
      </w:r>
      <w:r>
        <w:t xml:space="preserve"> </w:t>
      </w:r>
      <w:r>
        <w:t xml:space="preserve">(en vez de uno público) significa que</w:t>
      </w:r>
      <w:r>
        <w:t xml:space="preserve"> </w:t>
      </w:r>
      <w:r>
        <w:rPr>
          <w:i/>
          <w:iCs/>
        </w:rPr>
        <w:t xml:space="preserve">cada inversionista será identificado y verificado</w:t>
      </w:r>
      <w:r>
        <w:t xml:space="preserve">, evitando riesgos de lavado de activos y cumpliendo las normativas (lo que le da legitimidad ante reguladores y bancos, a diferencia de proyectos cripto anónimos). Asimismo, PachaNova integrará un ecosistema de terceros de primer nivel: por ejemplo,</w:t>
      </w:r>
      <w:r>
        <w:t xml:space="preserve"> </w:t>
      </w:r>
      <w:r>
        <w:rPr>
          <w:b/>
          <w:bCs/>
        </w:rPr>
        <w:t xml:space="preserve">custodios</w:t>
      </w:r>
      <w:r>
        <w:t xml:space="preserve"> </w:t>
      </w:r>
      <w:r>
        <w:t xml:space="preserve">para mantener los activos digitales y fiat, un</w:t>
      </w:r>
      <w:r>
        <w:t xml:space="preserve"> </w:t>
      </w:r>
      <w:r>
        <w:rPr>
          <w:b/>
          <w:bCs/>
        </w:rPr>
        <w:t xml:space="preserve">trustee/fiduciario</w:t>
      </w:r>
      <w:r>
        <w:t xml:space="preserve"> </w:t>
      </w:r>
      <w:r>
        <w:t xml:space="preserve">para custodiar el terreno y actuar en beneficio de los tokenistas, y</w:t>
      </w:r>
      <w:r>
        <w:t xml:space="preserve"> </w:t>
      </w:r>
      <w:r>
        <w:rPr>
          <w:b/>
          <w:bCs/>
        </w:rPr>
        <w:t xml:space="preserve">auditores externos</w:t>
      </w:r>
      <w:r>
        <w:t xml:space="preserve"> </w:t>
      </w:r>
      <w:r>
        <w:t xml:space="preserve">(tanto financieros como tecnológicos). En resumen, se está empaquetando un activo inmobiliario tradicional en un formato moderno, pero recubriéndolo de todas las capas de confianza habituales en una transacción institucional. Esto genera un</w:t>
      </w:r>
      <w:r>
        <w:t xml:space="preserve"> </w:t>
      </w:r>
      <w:r>
        <w:rPr>
          <w:i/>
          <w:iCs/>
        </w:rPr>
        <w:t xml:space="preserve">benchmark</w:t>
      </w:r>
      <w:r>
        <w:t xml:space="preserve"> </w:t>
      </w:r>
      <w:r>
        <w:t xml:space="preserve">inédito en el mercado local, y prepara el terreno (valga la metáfora) para potenciales expansiones: si PachaNova demuestra éxito, se podría replicar el modelo con otros terrenos o proyectos similares, creando una nueva clase de activo invertible en Perú.</w:t>
      </w:r>
    </w:p>
    <w:p>
      <w:pPr>
        <w:pStyle w:val="BodyText"/>
      </w:pPr>
      <w:r>
        <w:rPr>
          <w:b/>
          <w:bCs/>
        </w:rPr>
        <w:t xml:space="preserve">Límites y alcances</w:t>
      </w:r>
      <w:r>
        <w:t xml:space="preserve"> </w:t>
      </w:r>
      <w:r>
        <w:t xml:space="preserve">(qué hará y qué no hará el proyecto): Es importante destacar que PachaNova</w:t>
      </w:r>
      <w:r>
        <w:t xml:space="preserve"> </w:t>
      </w:r>
      <w:r>
        <w:rPr>
          <w:b/>
          <w:bCs/>
        </w:rPr>
        <w:t xml:space="preserve">no es un proyecto de desarrollo inmobiliario</w:t>
      </w:r>
      <w:r>
        <w:t xml:space="preserve">. No urbanizaremos la tierra ni construiremos viviendas; por tanto, no generaremos flujos de alquiler, ni ventas intermedias de lotes, ni actividades operativas tradicionales de un proyecto inmobiliario (no habrá ingresos recurrentes durante los 5 años, solo la apreciación del activo). Esto significa que el retorno para los inversionistas proviene exclusivamente de la</w:t>
      </w:r>
      <w:r>
        <w:t xml:space="preserve"> </w:t>
      </w:r>
      <w:r>
        <w:rPr>
          <w:b/>
          <w:bCs/>
        </w:rPr>
        <w:t xml:space="preserve">valorización del terreno</w:t>
      </w:r>
      <w:r>
        <w:t xml:space="preserve"> </w:t>
      </w:r>
      <w:r>
        <w:t xml:space="preserve">y su venta final, lo que conlleva una dependencia alta de factores exógenos. Asimismo, PachaNova</w:t>
      </w:r>
      <w:r>
        <w:t xml:space="preserve"> </w:t>
      </w:r>
      <w:r>
        <w:rPr>
          <w:b/>
          <w:bCs/>
        </w:rPr>
        <w:t xml:space="preserve">no es un fondo de inversión ni un fideicomiso de titulización pública</w:t>
      </w:r>
      <w:r>
        <w:t xml:space="preserve">; se plantea como una transacción privada tokenizada. Consecuentemente, no estará abierto al público general sin restricciones, sino a inversionistas que cumplan criterios de elegibilidad (que se definirán con asesoría legal, probablemente orientados a asegurar idoneidad financiera y cumplimiento de exenciones regulatorias). Finalmente, recalcar que</w:t>
      </w:r>
      <w:r>
        <w:t xml:space="preserve"> </w:t>
      </w:r>
      <w:r>
        <w:rPr>
          <w:b/>
          <w:bCs/>
        </w:rPr>
        <w:t xml:space="preserve">no hay garantía estatal ni bancaria</w:t>
      </w:r>
      <w:r>
        <w:t xml:space="preserve"> </w:t>
      </w:r>
      <w:r>
        <w:t xml:space="preserve">sobre esta inversión: no es un bono ni un depósito; el riesgo es similar al de invertir directamente en tierra esperando plusvalía. Estos límites están comunicados claramente para alinear expectativas y asegurar que el perfil de inversionista sea el adecuado (ej. personas que comprendan riesgo inmobiliario y cripto, con horizonte de al menos 5 años y tolerancia a posibles iliquideces hasta entonces).</w:t>
      </w:r>
    </w:p>
    <w:p>
      <w:pPr>
        <w:pStyle w:val="BodyText"/>
      </w:pPr>
      <w:r>
        <w:t xml:space="preserve">En resumen, la tesis de inversión de PachaNova es sólida en lógica:</w:t>
      </w:r>
      <w:r>
        <w:t xml:space="preserve"> </w:t>
      </w:r>
      <w:r>
        <w:rPr>
          <w:b/>
          <w:bCs/>
        </w:rPr>
        <w:t xml:space="preserve">comprar bajo – esperar – vender alto</w:t>
      </w:r>
      <w:r>
        <w:t xml:space="preserve">, apalancado por catalizadores públicos concretos y habilitado por una estructura innovadora. El reto radica en la ejecución rigurosa para materializar esa lógica, minimizando los riesgos identificados. Los apartados siguientes detallan cómo se llevará a cabo dicha ejecución.</w:t>
      </w:r>
    </w:p>
    <w:bookmarkEnd w:id="37"/>
    <w:bookmarkStart w:id="41" w:name="activo-subyacente-y-estructura-económica"/>
    <w:p>
      <w:pPr>
        <w:pStyle w:val="Heading2"/>
      </w:pPr>
      <w:r>
        <w:t xml:space="preserve">Activo Subyacente y Estructura Económica</w:t>
      </w:r>
    </w:p>
    <w:p>
      <w:pPr>
        <w:pStyle w:val="FirstParagraph"/>
      </w:pPr>
      <w:r>
        <w:rPr>
          <w:b/>
          <w:bCs/>
        </w:rPr>
        <w:t xml:space="preserve">El terreno “PachaNova”:</w:t>
      </w:r>
      <w:r>
        <w:t xml:space="preserve"> </w:t>
      </w:r>
      <w:r>
        <w:t xml:space="preserve">El activo central del proyecto es un</w:t>
      </w:r>
      <w:r>
        <w:t xml:space="preserve"> </w:t>
      </w:r>
      <w:r>
        <w:rPr>
          <w:b/>
          <w:bCs/>
        </w:rPr>
        <w:t xml:space="preserve">lote de terreno de 5.00 hectáreas (50,000 m²)</w:t>
      </w:r>
      <w:r>
        <w:t xml:space="preserve"> </w:t>
      </w:r>
      <w:r>
        <w:t xml:space="preserve">ubicado en el distrito de</w:t>
      </w:r>
      <w:r>
        <w:t xml:space="preserve"> </w:t>
      </w:r>
      <w:r>
        <w:rPr>
          <w:b/>
          <w:bCs/>
        </w:rPr>
        <w:t xml:space="preserve">San Bartolo</w:t>
      </w:r>
      <w:r>
        <w:t xml:space="preserve">, provincia de Lima. Se trata de tierra</w:t>
      </w:r>
      <w:r>
        <w:t xml:space="preserve"> </w:t>
      </w:r>
      <w:r>
        <w:rPr>
          <w:i/>
          <w:iCs/>
        </w:rPr>
        <w:t xml:space="preserve">bruta</w:t>
      </w:r>
      <w:r>
        <w:t xml:space="preserve"> </w:t>
      </w:r>
      <w:r>
        <w:t xml:space="preserve">– es decir, actualmente sin habilitación urbana ni mejoras significativas – clasificada en la zonificación vigente como</w:t>
      </w:r>
      <w:r>
        <w:t xml:space="preserve"> </w:t>
      </w:r>
      <w:r>
        <w:rPr>
          <w:b/>
          <w:bCs/>
        </w:rPr>
        <w:t xml:space="preserve">zona de expansión urbana</w:t>
      </w:r>
      <w:r>
        <w:t xml:space="preserve"> </w:t>
      </w:r>
      <w:r>
        <w:t xml:space="preserve">(según el PDULBS, con potencial para uso residencial, industrial ligero o mixto futuro, sujeto a planes específicos). El terreno está situado en una zona estratégica: colinda con la antigua</w:t>
      </w:r>
      <w:r>
        <w:t xml:space="preserve"> </w:t>
      </w:r>
      <w:r>
        <w:rPr>
          <w:b/>
          <w:bCs/>
        </w:rPr>
        <w:t xml:space="preserve">Panamericana Sur</w:t>
      </w:r>
      <w:r>
        <w:t xml:space="preserve"> </w:t>
      </w:r>
      <w:r>
        <w:t xml:space="preserve">(eje vial principal) y se encuentra a pocos kilómetros de la</w:t>
      </w:r>
      <w:r>
        <w:t xml:space="preserve"> </w:t>
      </w:r>
      <w:r>
        <w:rPr>
          <w:b/>
          <w:bCs/>
        </w:rPr>
        <w:t xml:space="preserve">proyectada Estación San Bartolo del Tren Lima–Ica</w:t>
      </w:r>
      <w:r>
        <w:t xml:space="preserve"> </w:t>
      </w:r>
      <w:r>
        <w:t xml:space="preserve">(una de las 15 estaciones planificadas en el recorrido</w:t>
      </w:r>
      <w:hyperlink r:id="rId38">
        <w:r>
          <w:rPr>
            <w:rStyle w:val="Hyperlink"/>
          </w:rPr>
          <w:t xml:space="preserve">[15]</w:t>
        </w:r>
      </w:hyperlink>
      <w:r>
        <w:t xml:space="preserve">). Asimismo, está dentro del polígono del</w:t>
      </w:r>
      <w:r>
        <w:t xml:space="preserve"> </w:t>
      </w:r>
      <w:r>
        <w:rPr>
          <w:b/>
          <w:bCs/>
        </w:rPr>
        <w:t xml:space="preserve">Plan Lima Balnearios del Sur</w:t>
      </w:r>
      <w:r>
        <w:t xml:space="preserve">, que le asigna una importancia especial dado que San Bartolo será nodo de equipamientos metropolitanos. En síntesis, la ubicación combina</w:t>
      </w:r>
      <w:r>
        <w:t xml:space="preserve"> </w:t>
      </w:r>
      <w:r>
        <w:rPr>
          <w:b/>
          <w:bCs/>
        </w:rPr>
        <w:t xml:space="preserve">acceso vial actual</w:t>
      </w:r>
      <w:r>
        <w:t xml:space="preserve"> </w:t>
      </w:r>
      <w:r>
        <w:t xml:space="preserve">(vía Panamericana) con</w:t>
      </w:r>
      <w:r>
        <w:t xml:space="preserve"> </w:t>
      </w:r>
      <w:r>
        <w:rPr>
          <w:b/>
          <w:bCs/>
        </w:rPr>
        <w:t xml:space="preserve">promesa de conectividad futura</w:t>
      </w:r>
      <w:r>
        <w:t xml:space="preserve"> </w:t>
      </w:r>
      <w:r>
        <w:t xml:space="preserve">(tren) y está amparada por un marco normativo que incentiva su desarrollo ordenado. Estas características son cruciales: aseguran que el terreno tenga mercado en el futuro (por su conectividad), que su uso sea flexible (el plan urbano permite múltiples destinos productivos) y que goce de atractivo tanto para compradores locales como potencialmente para desarrolladores una vez se concrete la infraestructura.</w:t>
      </w:r>
    </w:p>
    <w:p>
      <w:pPr>
        <w:pStyle w:val="BodyText"/>
      </w:pPr>
      <w:r>
        <w:t xml:space="preserve">Actualmente, el terreno está</w:t>
      </w:r>
      <w:r>
        <w:t xml:space="preserve"> </w:t>
      </w:r>
      <w:r>
        <w:rPr>
          <w:b/>
          <w:bCs/>
        </w:rPr>
        <w:t xml:space="preserve">saneado registralmente en proceso</w:t>
      </w:r>
      <w:r>
        <w:t xml:space="preserve">. Se han identificado la partida registral y ficha catastral, y se viene tramitando la obtención de certificados de</w:t>
      </w:r>
      <w:r>
        <w:t xml:space="preserve"> </w:t>
      </w:r>
      <w:r>
        <w:rPr>
          <w:b/>
          <w:bCs/>
        </w:rPr>
        <w:t xml:space="preserve">título, cargas y gravámenes</w:t>
      </w:r>
      <w:r>
        <w:t xml:space="preserve"> </w:t>
      </w:r>
      <w:r>
        <w:t xml:space="preserve">ante SUNARP. Hasta donde se conoce, el terreno no tiene hipotecas ni gravámenes significativos, pero la confirmación oficial es</w:t>
      </w:r>
      <w:r>
        <w:t xml:space="preserve"> </w:t>
      </w:r>
      <w:r>
        <w:rPr>
          <w:b/>
          <w:bCs/>
        </w:rPr>
        <w:t xml:space="preserve">condición precedente</w:t>
      </w:r>
      <w:r>
        <w:t xml:space="preserve"> </w:t>
      </w:r>
      <w:r>
        <w:t xml:space="preserve">para la inversión institucional (ver sección CPs). Mientras tanto, para efectos del modelo financiero, se asume que el terreno se adquiere libre de cargas.</w:t>
      </w:r>
      <w:r>
        <w:t xml:space="preserve"> </w:t>
      </w:r>
      <w:r>
        <w:rPr>
          <w:i/>
          <w:iCs/>
        </w:rPr>
        <w:t xml:space="preserve">Nota:</w:t>
      </w:r>
      <w:r>
        <w:t xml:space="preserve"> </w:t>
      </w:r>
      <w:r>
        <w:t xml:space="preserve">PachaNova no revelará en esta versión del documento el valor de adquisición del terreno (por confidencialidad comercial), pero se aclara que el modelo financiero se ha elaborado de forma que</w:t>
      </w:r>
      <w:r>
        <w:t xml:space="preserve"> </w:t>
      </w:r>
      <w:r>
        <w:rPr>
          <w:b/>
          <w:bCs/>
        </w:rPr>
        <w:t xml:space="preserve">soporte la due diligence de un comité inversor incluso sin conocer ese dato</w:t>
      </w:r>
      <w:r>
        <w:t xml:space="preserve">; es decir, los números presentados serían consistentes independientemente del costo original, ya que lo relevante es la valorización futura y la distribución a tokenistas.</w:t>
      </w:r>
    </w:p>
    <w:p>
      <w:pPr>
        <w:pStyle w:val="BodyText"/>
      </w:pPr>
      <w:r>
        <w:rPr>
          <w:b/>
          <w:bCs/>
        </w:rPr>
        <w:t xml:space="preserve">Estructura de fraccionamiento mediante tokens:</w:t>
      </w:r>
      <w:r>
        <w:t xml:space="preserve"> </w:t>
      </w:r>
      <w:r>
        <w:t xml:space="preserve">La propiedad económica del terreno se fraccionará en</w:t>
      </w:r>
      <w:r>
        <w:t xml:space="preserve"> </w:t>
      </w:r>
      <w:r>
        <w:rPr>
          <w:b/>
          <w:bCs/>
        </w:rPr>
        <w:t xml:space="preserve">500,000 unidades digitales (tokens)</w:t>
      </w:r>
      <w:r>
        <w:t xml:space="preserve">, cada una representando</w:t>
      </w:r>
      <w:r>
        <w:t xml:space="preserve"> </w:t>
      </w:r>
      <w:r>
        <w:rPr>
          <w:b/>
          <w:bCs/>
        </w:rPr>
        <w:t xml:space="preserve">0.0002%</w:t>
      </w:r>
      <w:r>
        <w:t xml:space="preserve"> </w:t>
      </w:r>
      <w:r>
        <w:t xml:space="preserve">del activo (0.1 m² de 50,000 m²). Esta relación</w:t>
      </w:r>
      <w:r>
        <w:t xml:space="preserve"> </w:t>
      </w:r>
      <w:r>
        <w:rPr>
          <w:i/>
          <w:iCs/>
        </w:rPr>
        <w:t xml:space="preserve">token–metro cuadrado</w:t>
      </w:r>
      <w:r>
        <w:t xml:space="preserve"> </w:t>
      </w:r>
      <w:r>
        <w:t xml:space="preserve">se mantendrá fija y visible para los inversionistas. Al tokenizar de esta manera, cualquier valuación del terreno en US$/m² se puede convertir inmediatamente en un valor por token multiplicando por 0.1. Por ejemplo, valuación base de US$120/m² ⇒ US$12/token; valuación futura US$180/m² ⇒ US$18/token, etc. Esto ofrece</w:t>
      </w:r>
      <w:r>
        <w:t xml:space="preserve"> </w:t>
      </w:r>
      <w:r>
        <w:rPr>
          <w:b/>
          <w:bCs/>
        </w:rPr>
        <w:t xml:space="preserve">claridad</w:t>
      </w:r>
      <w:r>
        <w:t xml:space="preserve">: los tenedores de tokens saben que finalmente su rendimiento dependerá del precio por m² obtenido al vender el terreno, sin fórmulas opacas ni apalancamiento financiero que altere esa proporcionalidad.</w:t>
      </w:r>
    </w:p>
    <w:p>
      <w:pPr>
        <w:pStyle w:val="BodyText"/>
      </w:pPr>
      <w:r>
        <w:rPr>
          <w:b/>
          <w:bCs/>
        </w:rPr>
        <w:t xml:space="preserve">Relación legal del token con el activo:</w:t>
      </w:r>
      <w:r>
        <w:t xml:space="preserve"> </w:t>
      </w:r>
      <w:r>
        <w:t xml:space="preserve">Cada token otorgará a su titular un</w:t>
      </w:r>
      <w:r>
        <w:t xml:space="preserve"> </w:t>
      </w:r>
      <w:r>
        <w:rPr>
          <w:b/>
          <w:bCs/>
        </w:rPr>
        <w:t xml:space="preserve">derecho de carácter económico</w:t>
      </w:r>
      <w:r>
        <w:t xml:space="preserve"> </w:t>
      </w:r>
      <w:r>
        <w:t xml:space="preserve">(no necesariamente un derecho real inmobiliario directo, para evitar complicaciones registrales). En la práctica, los tokens representarán participaciones beneficiarias en un</w:t>
      </w:r>
      <w:r>
        <w:t xml:space="preserve"> </w:t>
      </w:r>
      <w:r>
        <w:rPr>
          <w:b/>
          <w:bCs/>
        </w:rPr>
        <w:t xml:space="preserve">vehículo patrimonial</w:t>
      </w:r>
      <w:r>
        <w:t xml:space="preserve"> </w:t>
      </w:r>
      <w:r>
        <w:t xml:space="preserve">que será el propietario legal del terreno. Estamos evaluando dos opciones para este vehículo: (1) un</w:t>
      </w:r>
      <w:r>
        <w:t xml:space="preserve"> </w:t>
      </w:r>
      <w:r>
        <w:rPr>
          <w:b/>
          <w:bCs/>
        </w:rPr>
        <w:t xml:space="preserve">Fideicomiso en Administración de Activos</w:t>
      </w:r>
      <w:r>
        <w:t xml:space="preserve"> </w:t>
      </w:r>
      <w:r>
        <w:t xml:space="preserve">que reciba el terreno en fideicomiso y emita certificados/token vinculados al valor fiduciario, o (2) una</w:t>
      </w:r>
      <w:r>
        <w:t xml:space="preserve"> </w:t>
      </w:r>
      <w:r>
        <w:rPr>
          <w:b/>
          <w:bCs/>
        </w:rPr>
        <w:t xml:space="preserve">Sociedad de Propósito Especial (SPV)</w:t>
      </w:r>
      <w:r>
        <w:t xml:space="preserve"> </w:t>
      </w:r>
      <w:r>
        <w:t xml:space="preserve">cuyo capital social o deuda esté representado por los tokens. La decisión se tomará con asesoría legal especializada, considerando eficiencia tributaria y facilidad de operaciones. El principio central es que el activo (terreno) esté</w:t>
      </w:r>
      <w:r>
        <w:t xml:space="preserve"> </w:t>
      </w:r>
      <w:r>
        <w:rPr>
          <w:b/>
          <w:bCs/>
        </w:rPr>
        <w:t xml:space="preserve">aislado legalmente</w:t>
      </w:r>
      <w:r>
        <w:t xml:space="preserve"> </w:t>
      </w:r>
      <w:r>
        <w:t xml:space="preserve">de los fundadores de PachaNova o de otras partes, de modo que los inversionistas tokenistas tengan la primera prelación sobre los ingresos de su venta futura. El</w:t>
      </w:r>
      <w:r>
        <w:t xml:space="preserve"> </w:t>
      </w:r>
      <w:r>
        <w:rPr>
          <w:i/>
          <w:iCs/>
        </w:rPr>
        <w:t xml:space="preserve">blueprint</w:t>
      </w:r>
      <w:r>
        <w:t xml:space="preserve"> </w:t>
      </w:r>
      <w:r>
        <w:t xml:space="preserve">actual se inclina hacia un</w:t>
      </w:r>
      <w:r>
        <w:t xml:space="preserve"> </w:t>
      </w:r>
      <w:r>
        <w:rPr>
          <w:b/>
          <w:bCs/>
        </w:rPr>
        <w:t xml:space="preserve">fideicomiso</w:t>
      </w:r>
      <w:r>
        <w:t xml:space="preserve"> </w:t>
      </w:r>
      <w:r>
        <w:t xml:space="preserve">por su claridad: el fiduciario (banco o entidad financiera) sería el titular registral del predio, y PachaNova (como empresa promotora) y los inversores serían fideicomitentes/beneficiarios. Los tokens representarían los</w:t>
      </w:r>
      <w:r>
        <w:t xml:space="preserve"> </w:t>
      </w:r>
      <w:r>
        <w:rPr>
          <w:b/>
          <w:bCs/>
        </w:rPr>
        <w:t xml:space="preserve">derechos fiduciarios de beneficio</w:t>
      </w:r>
      <w:r>
        <w:t xml:space="preserve">. Este esquema permitiría también adjuntar al fideicomiso reglas específicas (e.g. qué porcentaje de tokens debe aprobar la venta del activo, si aplica).</w:t>
      </w:r>
    </w:p>
    <w:p>
      <w:pPr>
        <w:pStyle w:val="BodyText"/>
      </w:pPr>
      <w:r>
        <w:rPr>
          <w:b/>
          <w:bCs/>
        </w:rPr>
        <w:t xml:space="preserve">Flujo simplificado de fondos (“waterfall”):</w:t>
      </w:r>
      <w:r>
        <w:t xml:space="preserve"> </w:t>
      </w:r>
      <w:r>
        <w:t xml:space="preserve">La estructura económica considerará cómo se distribuyen los flujos entrantes y salientes. A alto nivel:</w:t>
      </w:r>
      <w:r>
        <w:t xml:space="preserve"> </w:t>
      </w:r>
      <w:r>
        <w:t xml:space="preserve">-</w:t>
      </w:r>
      <w:r>
        <w:t xml:space="preserve"> </w:t>
      </w:r>
      <w:r>
        <w:rPr>
          <w:b/>
          <w:bCs/>
        </w:rPr>
        <w:t xml:space="preserve">Ingresos entrantes:</w:t>
      </w:r>
      <w:r>
        <w:t xml:space="preserve"> </w:t>
      </w:r>
      <w:r>
        <w:t xml:space="preserve">las</w:t>
      </w:r>
      <w:r>
        <w:t xml:space="preserve"> </w:t>
      </w:r>
      <w:r>
        <w:rPr>
          <w:b/>
          <w:bCs/>
        </w:rPr>
        <w:t xml:space="preserve">ventas de tokens</w:t>
      </w:r>
      <w:r>
        <w:t xml:space="preserve"> </w:t>
      </w:r>
      <w:r>
        <w:t xml:space="preserve">(preventa y emisiones anuales) constituyen los ingresos brutos del vehículo durante los años 0-5. Estos fondos ingresarán ya sea al fideicomiso o a la cuenta del SPV, según la estructura elegida.</w:t>
      </w:r>
      <w:r>
        <w:t xml:space="preserve"> </w:t>
      </w:r>
      <w:r>
        <w:t xml:space="preserve">-</w:t>
      </w:r>
      <w:r>
        <w:t xml:space="preserve"> </w:t>
      </w:r>
      <w:r>
        <w:rPr>
          <w:b/>
          <w:bCs/>
        </w:rPr>
        <w:t xml:space="preserve">Aplicación de fondos durante operación:</w:t>
      </w:r>
      <w:r>
        <w:t xml:space="preserve"> </w:t>
      </w:r>
      <w:r>
        <w:t xml:space="preserve">De estos ingresos brutos se cubrirán en primer lugar los</w:t>
      </w:r>
      <w:r>
        <w:t xml:space="preserve"> </w:t>
      </w:r>
      <w:r>
        <w:rPr>
          <w:b/>
          <w:bCs/>
        </w:rPr>
        <w:t xml:space="preserve">costos operativos del proyecto</w:t>
      </w:r>
      <w:r>
        <w:t xml:space="preserve"> </w:t>
      </w:r>
      <w:r>
        <w:t xml:space="preserve">(detallados más abajo: implementación tecnológica, honorarios legales, auditorías, marketing, impuestos, etc.). También, según se defina, podría retenerse una</w:t>
      </w:r>
      <w:r>
        <w:t xml:space="preserve"> </w:t>
      </w:r>
      <w:r>
        <w:rPr>
          <w:b/>
          <w:bCs/>
        </w:rPr>
        <w:t xml:space="preserve">comisión de estructuración o éxito</w:t>
      </w:r>
      <w:r>
        <w:t xml:space="preserve"> </w:t>
      </w:r>
      <w:r>
        <w:t xml:space="preserve">a favor del originador (los promotores de PachaNova) – típica en proyectos inmobiliarios – pero esta se limitaría para no diluir excesivamente la plusvalía de los inversionistas; actualmente se asume que los promotores obtienen su beneficio principalmente de la apreciación del terreno que no vendan en preventa (ej. reteniendo cierta porción de tokens).</w:t>
      </w:r>
      <w:r>
        <w:t xml:space="preserve"> </w:t>
      </w:r>
      <w:r>
        <w:t xml:space="preserve">-</w:t>
      </w:r>
      <w:r>
        <w:t xml:space="preserve"> </w:t>
      </w:r>
      <w:r>
        <w:rPr>
          <w:b/>
          <w:bCs/>
        </w:rPr>
        <w:t xml:space="preserve">Flujo de salida final:</w:t>
      </w:r>
      <w:r>
        <w:t xml:space="preserve"> </w:t>
      </w:r>
      <w:r>
        <w:t xml:space="preserve">en el año 5, al</w:t>
      </w:r>
      <w:r>
        <w:t xml:space="preserve"> </w:t>
      </w:r>
      <w:r>
        <w:rPr>
          <w:b/>
          <w:bCs/>
        </w:rPr>
        <w:t xml:space="preserve">venderse el terreno</w:t>
      </w:r>
      <w:r>
        <w:t xml:space="preserve"> </w:t>
      </w:r>
      <w:r>
        <w:t xml:space="preserve">a un tercero (por ejemplo un desarrollador inmobiliario o gobierno local, dependiendo del mercado), el</w:t>
      </w:r>
      <w:r>
        <w:t xml:space="preserve"> </w:t>
      </w:r>
      <w:r>
        <w:rPr>
          <w:b/>
          <w:bCs/>
        </w:rPr>
        <w:t xml:space="preserve">100% del neto recibido</w:t>
      </w:r>
      <w:r>
        <w:t xml:space="preserve"> </w:t>
      </w:r>
      <w:r>
        <w:t xml:space="preserve">por esa venta ingresará al vehículo fiduciario/SPV. De ahí se</w:t>
      </w:r>
      <w:r>
        <w:t xml:space="preserve"> </w:t>
      </w:r>
      <w:r>
        <w:rPr>
          <w:b/>
          <w:bCs/>
        </w:rPr>
        <w:t xml:space="preserve">pagarán cualquier obligación remanente</w:t>
      </w:r>
      <w:r>
        <w:t xml:space="preserve"> </w:t>
      </w:r>
      <w:r>
        <w:t xml:space="preserve">(por ejemplo, impuestos de transferencia, comisiones de venta, ultimas auditorías). El saldo final neto se destinará íntegramente a</w:t>
      </w:r>
      <w:r>
        <w:t xml:space="preserve"> </w:t>
      </w:r>
      <w:r>
        <w:rPr>
          <w:b/>
          <w:bCs/>
        </w:rPr>
        <w:t xml:space="preserve">redimir los tokens</w:t>
      </w:r>
      <w:r>
        <w:t xml:space="preserve">. La redención se hará de forma proporcional: cada token recibirá su parte alícuota del valor, que idealmente debería equivaler al precio por token al valor de venta. En términos simples, si el terreno se vende en $X por m², cada token recibirá $0.1×X.</w:t>
      </w:r>
      <w:r>
        <w:t xml:space="preserve"> </w:t>
      </w:r>
      <w:r>
        <w:t xml:space="preserve">-</w:t>
      </w:r>
      <w:r>
        <w:t xml:space="preserve"> </w:t>
      </w:r>
      <w:r>
        <w:rPr>
          <w:b/>
          <w:bCs/>
        </w:rPr>
        <w:t xml:space="preserve">Orden de prioridad (waterfall)</w:t>
      </w:r>
      <w:r>
        <w:t xml:space="preserve">: 1) Costos de transacción y liquidación (impuestos, comisiones de venta) del terreno; 2) pagos de cualquier deuda u obligación prioritaria del vehículo (no se planea endeudamiento, pero por formalidad se incluye esta capa); 3) distribución a tenedores de tokens (beneficiarios) en proporción a sus tenencias. No habrá pagos preferenciales a promotores salvo que éstos mismos sean tenedores de tokens – es decir,</w:t>
      </w:r>
      <w:r>
        <w:t xml:space="preserve"> </w:t>
      </w:r>
      <w:r>
        <w:rPr>
          <w:b/>
          <w:bCs/>
        </w:rPr>
        <w:t xml:space="preserve">los promotores ganan solo en la medida que la plusvalía se materialice y ellos posean tokens</w:t>
      </w:r>
      <w:r>
        <w:t xml:space="preserve">, alineando incentivos con los inversores.</w:t>
      </w:r>
    </w:p>
    <w:p>
      <w:pPr>
        <w:pStyle w:val="BodyText"/>
      </w:pPr>
      <w:r>
        <w:t xml:space="preserve">Este esquema asegura la</w:t>
      </w:r>
      <w:r>
        <w:t xml:space="preserve"> </w:t>
      </w:r>
      <w:r>
        <w:rPr>
          <w:b/>
          <w:bCs/>
        </w:rPr>
        <w:t xml:space="preserve">transparencia de “quién cobra qué y cuándo”</w:t>
      </w:r>
      <w:r>
        <w:t xml:space="preserve">. Desde la perspectiva de un comité de inversión, es fundamental ver que no haya fugas ocultas de valor: los únicos montos que se sustraen de los ingresos totales son por gastos necesarios o compensaciones claramente definidas, y el residual va a los inversionistas.</w:t>
      </w:r>
    </w:p>
    <w:p>
      <w:pPr>
        <w:pStyle w:val="BodyText"/>
      </w:pPr>
      <w:r>
        <w:rPr>
          <w:b/>
          <w:bCs/>
        </w:rPr>
        <w:t xml:space="preserve">Política de precios y emisión anual:</w:t>
      </w:r>
      <w:r>
        <w:t xml:space="preserve"> </w:t>
      </w:r>
      <w:r>
        <w:t xml:space="preserve">Como ya se mencionó, el</w:t>
      </w:r>
      <w:r>
        <w:t xml:space="preserve"> </w:t>
      </w:r>
      <w:r>
        <w:rPr>
          <w:b/>
          <w:bCs/>
        </w:rPr>
        <w:t xml:space="preserve">precio de lanzamiento</w:t>
      </w:r>
      <w:r>
        <w:t xml:space="preserve"> </w:t>
      </w:r>
      <w:r>
        <w:t xml:space="preserve">es US$120/m². Tras la preventa, cada año se actualizará el precio de emisión de tokens en base a las</w:t>
      </w:r>
      <w:r>
        <w:t xml:space="preserve"> </w:t>
      </w:r>
      <w:r>
        <w:rPr>
          <w:b/>
          <w:bCs/>
        </w:rPr>
        <w:t xml:space="preserve">valuaciones independientes</w:t>
      </w:r>
      <w:r>
        <w:t xml:space="preserve">. En el escenario base, suponemos incrementos de +8%, +10%, +12%, +12% anual (compuesto equivale ~8.3% CAGR de precio)</w:t>
      </w:r>
      <w:hyperlink r:id="rId27">
        <w:r>
          <w:rPr>
            <w:rStyle w:val="Hyperlink"/>
          </w:rPr>
          <w:t xml:space="preserve">[6]</w:t>
        </w:r>
      </w:hyperlink>
      <w:r>
        <w:t xml:space="preserve">. Así, los tokens emitidos en Año 1 se venderían a ~US$12.00, Año 2 a ~US$12.96, Año 3 a ~US$14.26, Año 4 a ~US$15.97 y Año 5 a ~US$17.88 (si hubiera emisión, aunque se planea completar la emisión en el Año 4 para llegar con 100% colocado al inicio del Año 5)</w:t>
      </w:r>
      <w:hyperlink r:id="rId26">
        <w:r>
          <w:rPr>
            <w:rStyle w:val="Hyperlink"/>
          </w:rPr>
          <w:t xml:space="preserve">[5]</w:t>
        </w:r>
      </w:hyperlink>
      <w:r>
        <w:t xml:space="preserve">. Estos números corresponden al escenario base; en práctica, la actualización anual del precio dependerá de las tasaciones:</w:t>
      </w:r>
      <w:r>
        <w:t xml:space="preserve"> </w:t>
      </w:r>
      <w:r>
        <w:rPr>
          <w:b/>
          <w:bCs/>
        </w:rPr>
        <w:t xml:space="preserve">si los avances del tren y el PDU son más rápidos y contundentes, la valuación podría subir más (escenario alto)</w:t>
      </w:r>
      <w:r>
        <w:t xml:space="preserve">; si hay demoras o incertidumbre macro, se subiría menos (escenario conservador)</w:t>
      </w:r>
      <w:hyperlink r:id="rId28">
        <w:r>
          <w:rPr>
            <w:rStyle w:val="Hyperlink"/>
          </w:rPr>
          <w:t xml:space="preserve">[7]</w:t>
        </w:r>
      </w:hyperlink>
      <w:r>
        <w:t xml:space="preserve">. Lo importante es que la</w:t>
      </w:r>
      <w:r>
        <w:t xml:space="preserve"> </w:t>
      </w:r>
      <w:r>
        <w:rPr>
          <w:b/>
          <w:bCs/>
        </w:rPr>
        <w:t xml:space="preserve">emisión de nuevos tokens se alinea al valor real del activo en cada momento</w:t>
      </w:r>
      <w:r>
        <w:t xml:space="preserve">, evitando diluir a los tenedores previos. Cada emisión anual sería aprobada por el comité de inversiones del vehículo (según gobierno corporativo) asegurando que se justifica con base en la evidencia de plusvalía.</w:t>
      </w:r>
    </w:p>
    <w:p>
      <w:pPr>
        <w:pStyle w:val="BodyText"/>
      </w:pPr>
      <w:r>
        <w:rPr>
          <w:b/>
          <w:bCs/>
        </w:rPr>
        <w:t xml:space="preserve">Mecánica de preventa (10% inicial):</w:t>
      </w:r>
      <w:r>
        <w:t xml:space="preserve"> </w:t>
      </w:r>
      <w:r>
        <w:t xml:space="preserve">La preventa, planeada idealmente para 2026 una vez listo el vehículo legal, ofrece tokens a</w:t>
      </w:r>
      <w:r>
        <w:t xml:space="preserve"> </w:t>
      </w:r>
      <w:r>
        <w:rPr>
          <w:b/>
          <w:bCs/>
        </w:rPr>
        <w:t xml:space="preserve">US$84/m² (30% descuento)</w:t>
      </w:r>
      <w:hyperlink r:id="rId39">
        <w:r>
          <w:rPr>
            <w:rStyle w:val="Hyperlink"/>
          </w:rPr>
          <w:t xml:space="preserve">[16]</w:t>
        </w:r>
      </w:hyperlink>
      <w:r>
        <w:t xml:space="preserve">. Este descuento sustancial cumple dos objetivos: (1)</w:t>
      </w:r>
      <w:r>
        <w:t xml:space="preserve"> </w:t>
      </w:r>
      <w:r>
        <w:rPr>
          <w:b/>
          <w:bCs/>
        </w:rPr>
        <w:t xml:space="preserve">Incorporar un “founders’ round” de inversionistas semilla</w:t>
      </w:r>
      <w:r>
        <w:t xml:space="preserve"> </w:t>
      </w:r>
      <w:r>
        <w:t xml:space="preserve">con alineamiento de largo plazo – típicamente institucionales pequeños o</w:t>
      </w:r>
      <w:r>
        <w:t xml:space="preserve"> </w:t>
      </w:r>
      <w:r>
        <w:rPr>
          <w:i/>
          <w:iCs/>
        </w:rPr>
        <w:t xml:space="preserve">family offices</w:t>
      </w:r>
      <w:r>
        <w:t xml:space="preserve"> </w:t>
      </w:r>
      <w:r>
        <w:t xml:space="preserve">interesados en apoyar la fase inicial a cambio de mayor potencial de retorno; y (2)</w:t>
      </w:r>
      <w:r>
        <w:t xml:space="preserve"> </w:t>
      </w:r>
      <w:r>
        <w:rPr>
          <w:b/>
          <w:bCs/>
        </w:rPr>
        <w:t xml:space="preserve">Probar la tesis de mercado</w:t>
      </w:r>
      <w:r>
        <w:t xml:space="preserve"> </w:t>
      </w:r>
      <w:r>
        <w:t xml:space="preserve">en forma temprana – validando que exista apetito por el producto antes de comprometer la ejecución completa. Los fondos de la preventa (US$420k) actuarán como</w:t>
      </w:r>
      <w:r>
        <w:t xml:space="preserve"> </w:t>
      </w:r>
      <w:r>
        <w:rPr>
          <w:i/>
          <w:iCs/>
        </w:rPr>
        <w:t xml:space="preserve">equity seed capital</w:t>
      </w:r>
      <w:r>
        <w:t xml:space="preserve"> </w:t>
      </w:r>
      <w:r>
        <w:t xml:space="preserve">para financiar los primeros hitos críticos (fideicomiso, plataforma tecnológica, obtención de permisos/registros necesarios, etc.). Los inversores de la preventa asumirán mayor riesgo (entran antes de ver avances tangibles) pero obtienen esa participación con descuento que, en caso de éxito, les rendiría significativamente más. Por ejemplo, si al año 5 el precio llega a ~US$180/m², quienes compraron a US$84/m² habrán más que duplicado el valor de su token, implicando un retorno compuesto anual ~16% (no garantizado, pero proyectado) – atractivo frente a otras inversiones de similar perfil.</w:t>
      </w:r>
    </w:p>
    <w:p>
      <w:pPr>
        <w:pStyle w:val="BodyText"/>
      </w:pPr>
      <w:r>
        <w:rPr>
          <w:b/>
          <w:bCs/>
        </w:rPr>
        <w:t xml:space="preserve">Mercado secundario permisionado:</w:t>
      </w:r>
      <w:r>
        <w:t xml:space="preserve"> </w:t>
      </w:r>
      <w:r>
        <w:t xml:space="preserve">Un elemento diferenciador del diseño económico es la posibilidad de un</w:t>
      </w:r>
      <w:r>
        <w:t xml:space="preserve"> </w:t>
      </w:r>
      <w:r>
        <w:rPr>
          <w:b/>
          <w:bCs/>
        </w:rPr>
        <w:t xml:space="preserve">mercado secundario interno</w:t>
      </w:r>
      <w:r>
        <w:t xml:space="preserve"> </w:t>
      </w:r>
      <w:r>
        <w:t xml:space="preserve">para los tokens. Debido a restricciones legales, los tokens PachaNova</w:t>
      </w:r>
      <w:r>
        <w:t xml:space="preserve"> </w:t>
      </w:r>
      <w:r>
        <w:rPr>
          <w:b/>
          <w:bCs/>
        </w:rPr>
        <w:t xml:space="preserve">no cotizarán en exchanges públicos</w:t>
      </w:r>
      <w:r>
        <w:t xml:space="preserve">; en lugar de ello, se implementará una funcionalidad de</w:t>
      </w:r>
      <w:r>
        <w:t xml:space="preserve"> </w:t>
      </w:r>
      <w:r>
        <w:rPr>
          <w:i/>
          <w:iCs/>
        </w:rPr>
        <w:t xml:space="preserve">“tablero de anuncios”</w:t>
      </w:r>
      <w:r>
        <w:t xml:space="preserve"> </w:t>
      </w:r>
      <w:r>
        <w:t xml:space="preserve">o</w:t>
      </w:r>
      <w:r>
        <w:t xml:space="preserve"> </w:t>
      </w:r>
      <w:r>
        <w:rPr>
          <w:i/>
          <w:iCs/>
        </w:rPr>
        <w:t xml:space="preserve">OTC interno</w:t>
      </w:r>
      <w:r>
        <w:t xml:space="preserve"> </w:t>
      </w:r>
      <w:r>
        <w:t xml:space="preserve">donde inversionistas existentes puedan indicar su interés en vender tokens y potenciales nuevos inversionistas (que pasen KYC) puedan comprarlos. Todas las transferencias estarán condicionadas a aprobación (whitelisting) por parte del vehículo para asegurar que el adquirente cumple las políticas (ej. que no excede límites si hay algún tope por inversionista, o que es residente de jurisdicciones permitidas). La tecnología Ethereum (vía el estándar ERC-3643) permite programar estas restricciones directamente en el contrato del token, de modo que un token “conoce” si la dirección destino está habilitada o no para recibirlo</w:t>
      </w:r>
      <w:hyperlink r:id="rId40">
        <w:r>
          <w:rPr>
            <w:rStyle w:val="Hyperlink"/>
          </w:rPr>
          <w:t xml:space="preserve">[17]</w:t>
        </w:r>
      </w:hyperlink>
      <w:r>
        <w:t xml:space="preserve">. Esto brinda</w:t>
      </w:r>
      <w:r>
        <w:t xml:space="preserve"> </w:t>
      </w:r>
      <w:r>
        <w:rPr>
          <w:b/>
          <w:bCs/>
        </w:rPr>
        <w:t xml:space="preserve">control total</w:t>
      </w:r>
      <w:r>
        <w:t xml:space="preserve"> </w:t>
      </w:r>
      <w:r>
        <w:t xml:space="preserve">sobre la base de inversionistas – crucial para mantener la oferta privada y cumpliendo excepciones regulatorias. El mercado secundario será</w:t>
      </w:r>
      <w:r>
        <w:t xml:space="preserve"> </w:t>
      </w:r>
      <w:r>
        <w:rPr>
          <w:i/>
          <w:iCs/>
        </w:rPr>
        <w:t xml:space="preserve">limitado en frecuencia</w:t>
      </w:r>
      <w:r>
        <w:t xml:space="preserve"> </w:t>
      </w:r>
      <w:r>
        <w:t xml:space="preserve">(p.ej., ventanas trimestrales de liquidez) y en volumen (para no entorpecer las emisiones primarias), pero ofrecerá cierta</w:t>
      </w:r>
      <w:r>
        <w:t xml:space="preserve"> </w:t>
      </w:r>
      <w:r>
        <w:rPr>
          <w:b/>
          <w:bCs/>
        </w:rPr>
        <w:t xml:space="preserve">salida anticipada</w:t>
      </w:r>
      <w:r>
        <w:t xml:space="preserve"> </w:t>
      </w:r>
      <w:r>
        <w:t xml:space="preserve">para quienes necesiten liquidar, y a la vez permitirá la entrada de nuevos participantes en etapas posteriores sin esperar la emisión anual. Los precios en este secundario se espera que sigan la tendencia de valuación (posiblemente transando a prima o descuento leve según oferta/demanda puntual). El vehículo fiduciario actuará como</w:t>
      </w:r>
      <w:r>
        <w:t xml:space="preserve"> </w:t>
      </w:r>
      <w:r>
        <w:rPr>
          <w:b/>
          <w:bCs/>
        </w:rPr>
        <w:t xml:space="preserve">intermediario de confianza</w:t>
      </w:r>
      <w:r>
        <w:t xml:space="preserve"> </w:t>
      </w:r>
      <w:r>
        <w:t xml:space="preserve">en estas transacciones (escrow), reteniendo fiat/cripto y tokens hasta confirmar KYC de ambas partes y completar la transferencia de propiedad.</w:t>
      </w:r>
    </w:p>
    <w:p>
      <w:pPr>
        <w:pStyle w:val="BodyText"/>
      </w:pPr>
      <w:r>
        <w:rPr>
          <w:b/>
          <w:bCs/>
        </w:rPr>
        <w:t xml:space="preserve">Estructura de ingresos del proyecto (fees):</w:t>
      </w:r>
      <w:r>
        <w:t xml:space="preserve"> </w:t>
      </w:r>
      <w:r>
        <w:t xml:space="preserve">Si bien el grueso del valor para inversores proviene de la apreciación del activo, el modelo considerará</w:t>
      </w:r>
      <w:r>
        <w:t xml:space="preserve"> </w:t>
      </w:r>
      <w:r>
        <w:rPr>
          <w:b/>
          <w:bCs/>
        </w:rPr>
        <w:t xml:space="preserve">ingresos por comisiones</w:t>
      </w:r>
      <w:r>
        <w:t xml:space="preserve"> </w:t>
      </w:r>
      <w:r>
        <w:t xml:space="preserve">para sostener operaciones. Posibles</w:t>
      </w:r>
      <w:r>
        <w:t xml:space="preserve"> </w:t>
      </w:r>
      <w:r>
        <w:rPr>
          <w:i/>
          <w:iCs/>
        </w:rPr>
        <w:t xml:space="preserve">fees</w:t>
      </w:r>
      <w:r>
        <w:t xml:space="preserve"> </w:t>
      </w:r>
      <w:r>
        <w:t xml:space="preserve">a implementar:</w:t>
      </w:r>
      <w:r>
        <w:t xml:space="preserve"> </w:t>
      </w:r>
      <w:r>
        <w:t xml:space="preserve">-</w:t>
      </w:r>
      <w:r>
        <w:t xml:space="preserve"> </w:t>
      </w:r>
      <w:r>
        <w:rPr>
          <w:b/>
          <w:bCs/>
        </w:rPr>
        <w:t xml:space="preserve">Fee de emisión/colocación primaria:</w:t>
      </w:r>
      <w:r>
        <w:t xml:space="preserve"> </w:t>
      </w:r>
      <w:r>
        <w:t xml:space="preserve">un pequeño</w:t>
      </w:r>
      <w:r>
        <w:t xml:space="preserve"> </w:t>
      </w:r>
      <w:r>
        <w:rPr>
          <w:i/>
          <w:iCs/>
        </w:rPr>
        <w:t xml:space="preserve">load</w:t>
      </w:r>
      <w:r>
        <w:t xml:space="preserve"> </w:t>
      </w:r>
      <w:r>
        <w:t xml:space="preserve">cobrado sobre el precio de cada token vendido, para cubrir costos de originación (similar a comisión de estructuración). Podría ser del orden de 1-2% del monto.</w:t>
      </w:r>
      <w:r>
        <w:t xml:space="preserve"> </w:t>
      </w:r>
      <w:r>
        <w:t xml:space="preserve">-</w:t>
      </w:r>
      <w:r>
        <w:t xml:space="preserve"> </w:t>
      </w:r>
      <w:r>
        <w:rPr>
          <w:b/>
          <w:bCs/>
        </w:rPr>
        <w:t xml:space="preserve">Fee de transacción secundaria:</w:t>
      </w:r>
      <w:r>
        <w:t xml:space="preserve"> </w:t>
      </w:r>
      <w:r>
        <w:t xml:space="preserve">comisión al vendedor y/o comprador en el mercado OTC interno (ej. 0.5%–1% por lado) para cubrir costos de supervisión y escrow.</w:t>
      </w:r>
      <w:r>
        <w:t xml:space="preserve"> </w:t>
      </w:r>
      <w:r>
        <w:t xml:space="preserve">-</w:t>
      </w:r>
      <w:r>
        <w:t xml:space="preserve"> </w:t>
      </w:r>
      <w:r>
        <w:rPr>
          <w:b/>
          <w:bCs/>
        </w:rPr>
        <w:t xml:space="preserve">Fee de administración anual:</w:t>
      </w:r>
      <w:r>
        <w:t xml:space="preserve"> </w:t>
      </w:r>
      <w:r>
        <w:t xml:space="preserve">el fideicomiso podría cobrar una tarifa anual (fija o % del activo bajo gestión) para mantenimiento operativo. Esto sería una salida de caja que se costea con las mismas ventas de tokens anuales.</w:t>
      </w:r>
      <w:r>
        <w:t xml:space="preserve"> </w:t>
      </w:r>
      <w:r>
        <w:t xml:space="preserve">-</w:t>
      </w:r>
      <w:r>
        <w:t xml:space="preserve"> </w:t>
      </w:r>
      <w:r>
        <w:rPr>
          <w:b/>
          <w:bCs/>
        </w:rPr>
        <w:t xml:space="preserve">Fee de éxito (carry):</w:t>
      </w:r>
      <w:r>
        <w:t xml:space="preserve"> </w:t>
      </w:r>
      <w:r>
        <w:t xml:space="preserve">opcionalmente, los promotores podrían retener un porcentaje del excedente si la venta final supera cierto umbral. Por prudencia institucional, este carry se podría fijar solo después de entregar cierto retorno base a los inversionistas.</w:t>
      </w:r>
      <w:r>
        <w:t xml:space="preserve"> </w:t>
      </w:r>
      <w:r>
        <w:rPr>
          <w:i/>
          <w:iCs/>
        </w:rPr>
        <w:t xml:space="preserve">(Nota: Este concepto no está definido en la versión actual; se podría proponer al comité según estándares de fondos, pero en proyecciones se considera nulo para ser conservadores.)</w:t>
      </w:r>
    </w:p>
    <w:p>
      <w:pPr>
        <w:pStyle w:val="BodyText"/>
      </w:pPr>
      <w:r>
        <w:t xml:space="preserve">En cualquier caso, todos estos fees en conjunto se calibrarán de modo que</w:t>
      </w:r>
      <w:r>
        <w:t xml:space="preserve"> </w:t>
      </w:r>
      <w:r>
        <w:rPr>
          <w:b/>
          <w:bCs/>
        </w:rPr>
        <w:t xml:space="preserve">los gastos totales del proyecto queden cubiertos</w:t>
      </w:r>
      <w:r>
        <w:t xml:space="preserve">, pero sin erosionar en exceso el retorno de los inversionistas. La filosofía es que la mayor “comisión” que PachaNova se atribuye es la</w:t>
      </w:r>
      <w:r>
        <w:t xml:space="preserve"> </w:t>
      </w:r>
      <w:r>
        <w:rPr>
          <w:b/>
          <w:bCs/>
        </w:rPr>
        <w:t xml:space="preserve">diferencia de valor entre el precio de preventa y el valor final</w:t>
      </w:r>
      <w:r>
        <w:t xml:space="preserve"> </w:t>
      </w:r>
      <w:r>
        <w:t xml:space="preserve">en los tokens que los propios fundadores retengan (si retienen una parte en preventa). Así, sus incentivos están alineados con maximizar la plusvalía del activo, no simplemente cobrar comisiones.</w:t>
      </w:r>
    </w:p>
    <w:p>
      <w:pPr>
        <w:pStyle w:val="BodyText"/>
      </w:pPr>
      <w:r>
        <w:rPr>
          <w:b/>
          <w:bCs/>
        </w:rPr>
        <w:t xml:space="preserve">Resumen cuantitativo de la estructura económica (escenario base):</w:t>
      </w:r>
      <w:r>
        <w:t xml:space="preserve"> </w:t>
      </w:r>
      <w:r>
        <w:t xml:space="preserve">A continuación se presenta un cuadro resumen de la emisión de tokens y precios en el escenario base de planeación, para visualizar la estructura: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Tramo</w:t>
            </w:r>
          </w:p>
        </w:tc>
        <w:tc>
          <w:tcPr/>
          <w:p>
            <w:pPr>
              <w:pStyle w:val="Compact"/>
            </w:pPr>
            <w:r>
              <w:rPr>
                <w:b/>
                <w:bCs/>
              </w:rPr>
              <w:t xml:space="preserve">Tokens emitidos</w:t>
            </w:r>
          </w:p>
        </w:tc>
        <w:tc>
          <w:tcPr/>
          <w:p>
            <w:pPr>
              <w:pStyle w:val="Compact"/>
            </w:pPr>
            <w:r>
              <w:rPr>
                <w:b/>
                <w:bCs/>
              </w:rPr>
              <w:t xml:space="preserve">Equiv. en m²</w:t>
            </w:r>
          </w:p>
        </w:tc>
        <w:tc>
          <w:tcPr/>
          <w:p>
            <w:pPr>
              <w:pStyle w:val="Compact"/>
            </w:pPr>
            <w:r>
              <w:rPr>
                <w:b/>
                <w:bCs/>
              </w:rPr>
              <w:t xml:space="preserve">Precio (US$/m²)</w:t>
            </w:r>
          </w:p>
        </w:tc>
        <w:tc>
          <w:tcPr/>
          <w:p>
            <w:pPr>
              <w:pStyle w:val="Compact"/>
            </w:pPr>
            <w:r>
              <w:rPr>
                <w:b/>
                <w:bCs/>
              </w:rPr>
              <w:t xml:space="preserve">Precio (US$/token)</w:t>
            </w:r>
          </w:p>
        </w:tc>
        <w:tc>
          <w:tcPr/>
          <w:p>
            <w:pPr>
              <w:pStyle w:val="Compact"/>
            </w:pPr>
            <w:r>
              <w:rPr>
                <w:b/>
                <w:bCs/>
              </w:rPr>
              <w:t xml:space="preserve">Ingresos brutos (US$)</w:t>
            </w:r>
          </w:p>
        </w:tc>
      </w:tr>
      <w:tr>
        <w:tc>
          <w:tcPr/>
          <w:p>
            <w:pPr>
              <w:pStyle w:val="Compact"/>
            </w:pPr>
            <w:r>
              <w:rPr>
                <w:b/>
                <w:bCs/>
              </w:rPr>
              <w:t xml:space="preserve">Preventa (2026)</w:t>
            </w:r>
          </w:p>
        </w:tc>
        <w:tc>
          <w:tcPr/>
          <w:p>
            <w:pPr>
              <w:pStyle w:val="Compact"/>
            </w:pPr>
            <w:r>
              <w:t xml:space="preserve">50,000 (10% supply)</w:t>
            </w:r>
          </w:p>
        </w:tc>
        <w:tc>
          <w:tcPr/>
          <w:p>
            <w:pPr>
              <w:pStyle w:val="Compact"/>
            </w:pPr>
            <w:r>
              <w:t xml:space="preserve">5,000 m²</w:t>
            </w:r>
          </w:p>
        </w:tc>
        <w:tc>
          <w:tcPr/>
          <w:p>
            <w:pPr>
              <w:pStyle w:val="Compact"/>
            </w:pPr>
            <w:r>
              <w:t xml:space="preserve">84.00</w:t>
            </w:r>
          </w:p>
        </w:tc>
        <w:tc>
          <w:tcPr/>
          <w:p>
            <w:pPr>
              <w:pStyle w:val="Compact"/>
            </w:pPr>
            <w:r>
              <w:t xml:space="preserve">8.40</w:t>
            </w:r>
          </w:p>
        </w:tc>
        <w:tc>
          <w:tcPr/>
          <w:p>
            <w:pPr>
              <w:pStyle w:val="Compact"/>
            </w:pPr>
            <w:r>
              <w:t xml:space="preserve">420,000</w:t>
            </w:r>
          </w:p>
        </w:tc>
      </w:tr>
      <w:tr>
        <w:tc>
          <w:tcPr/>
          <w:p>
            <w:pPr>
              <w:pStyle w:val="Compact"/>
            </w:pPr>
            <w:r>
              <w:rPr>
                <w:b/>
                <w:bCs/>
              </w:rPr>
              <w:t xml:space="preserve">Año 1 (2026)</w:t>
            </w:r>
          </w:p>
        </w:tc>
        <w:tc>
          <w:tcPr/>
          <w:p>
            <w:pPr>
              <w:pStyle w:val="Compact"/>
            </w:pPr>
            <w:r>
              <w:t xml:space="preserve">90,000</w:t>
            </w:r>
          </w:p>
        </w:tc>
        <w:tc>
          <w:tcPr/>
          <w:p>
            <w:pPr>
              <w:pStyle w:val="Compact"/>
            </w:pPr>
            <w:r>
              <w:t xml:space="preserve">9,000 m²</w:t>
            </w:r>
          </w:p>
        </w:tc>
        <w:tc>
          <w:tcPr/>
          <w:p>
            <w:pPr>
              <w:pStyle w:val="Compact"/>
            </w:pPr>
            <w:r>
              <w:t xml:space="preserve">120.00</w:t>
            </w:r>
          </w:p>
        </w:tc>
        <w:tc>
          <w:tcPr/>
          <w:p>
            <w:pPr>
              <w:pStyle w:val="Compact"/>
            </w:pPr>
            <w:r>
              <w:t xml:space="preserve">12.00</w:t>
            </w:r>
          </w:p>
        </w:tc>
        <w:tc>
          <w:tcPr/>
          <w:p>
            <w:pPr>
              <w:pStyle w:val="Compact"/>
            </w:pPr>
            <w:r>
              <w:t xml:space="preserve">1,080,000</w:t>
            </w:r>
          </w:p>
        </w:tc>
      </w:tr>
      <w:tr>
        <w:tc>
          <w:tcPr/>
          <w:p>
            <w:pPr>
              <w:pStyle w:val="Compact"/>
            </w:pPr>
            <w:r>
              <w:rPr>
                <w:b/>
                <w:bCs/>
              </w:rPr>
              <w:t xml:space="preserve">Año 2 (2027)</w:t>
            </w:r>
          </w:p>
        </w:tc>
        <w:tc>
          <w:tcPr/>
          <w:p>
            <w:pPr>
              <w:pStyle w:val="Compact"/>
            </w:pPr>
            <w:r>
              <w:t xml:space="preserve">90,000</w:t>
            </w:r>
          </w:p>
        </w:tc>
        <w:tc>
          <w:tcPr/>
          <w:p>
            <w:pPr>
              <w:pStyle w:val="Compact"/>
            </w:pPr>
            <w:r>
              <w:t xml:space="preserve">9,000 m²</w:t>
            </w:r>
          </w:p>
        </w:tc>
        <w:tc>
          <w:tcPr/>
          <w:p>
            <w:pPr>
              <w:pStyle w:val="Compact"/>
            </w:pPr>
            <w:r>
              <w:t xml:space="preserve">129.60</w:t>
            </w:r>
          </w:p>
        </w:tc>
        <w:tc>
          <w:tcPr/>
          <w:p>
            <w:pPr>
              <w:pStyle w:val="Compact"/>
            </w:pPr>
            <w:r>
              <w:t xml:space="preserve">12.96</w:t>
            </w:r>
          </w:p>
        </w:tc>
        <w:tc>
          <w:tcPr/>
          <w:p>
            <w:pPr>
              <w:pStyle w:val="Compact"/>
            </w:pPr>
            <w:r>
              <w:t xml:space="preserve">1,166,400</w:t>
            </w:r>
          </w:p>
        </w:tc>
      </w:tr>
      <w:tr>
        <w:tc>
          <w:tcPr/>
          <w:p>
            <w:pPr>
              <w:pStyle w:val="Compact"/>
            </w:pPr>
            <w:r>
              <w:rPr>
                <w:b/>
                <w:bCs/>
              </w:rPr>
              <w:t xml:space="preserve">Año 3 (2028)</w:t>
            </w:r>
          </w:p>
        </w:tc>
        <w:tc>
          <w:tcPr/>
          <w:p>
            <w:pPr>
              <w:pStyle w:val="Compact"/>
            </w:pPr>
            <w:r>
              <w:t xml:space="preserve">90,000</w:t>
            </w:r>
          </w:p>
        </w:tc>
        <w:tc>
          <w:tcPr/>
          <w:p>
            <w:pPr>
              <w:pStyle w:val="Compact"/>
            </w:pPr>
            <w:r>
              <w:t xml:space="preserve">9,000 m²</w:t>
            </w:r>
          </w:p>
        </w:tc>
        <w:tc>
          <w:tcPr/>
          <w:p>
            <w:pPr>
              <w:pStyle w:val="Compact"/>
            </w:pPr>
            <w:r>
              <w:t xml:space="preserve">142.56</w:t>
            </w:r>
          </w:p>
        </w:tc>
        <w:tc>
          <w:tcPr/>
          <w:p>
            <w:pPr>
              <w:pStyle w:val="Compact"/>
            </w:pPr>
            <w:r>
              <w:t xml:space="preserve">14.26</w:t>
            </w:r>
          </w:p>
        </w:tc>
        <w:tc>
          <w:tcPr/>
          <w:p>
            <w:pPr>
              <w:pStyle w:val="Compact"/>
            </w:pPr>
            <w:r>
              <w:t xml:space="preserve">1,283,040</w:t>
            </w:r>
          </w:p>
        </w:tc>
      </w:tr>
      <w:tr>
        <w:tc>
          <w:tcPr/>
          <w:p>
            <w:pPr>
              <w:pStyle w:val="Compact"/>
            </w:pPr>
            <w:r>
              <w:rPr>
                <w:b/>
                <w:bCs/>
              </w:rPr>
              <w:t xml:space="preserve">Año 4 (2029)</w:t>
            </w:r>
          </w:p>
        </w:tc>
        <w:tc>
          <w:tcPr/>
          <w:p>
            <w:pPr>
              <w:pStyle w:val="Compact"/>
            </w:pPr>
            <w:r>
              <w:t xml:space="preserve">90,000</w:t>
            </w:r>
          </w:p>
        </w:tc>
        <w:tc>
          <w:tcPr/>
          <w:p>
            <w:pPr>
              <w:pStyle w:val="Compact"/>
            </w:pPr>
            <w:r>
              <w:t xml:space="preserve">9,000 m²</w:t>
            </w:r>
          </w:p>
        </w:tc>
        <w:tc>
          <w:tcPr/>
          <w:p>
            <w:pPr>
              <w:pStyle w:val="Compact"/>
            </w:pPr>
            <w:r>
              <w:t xml:space="preserve">159.67</w:t>
            </w:r>
          </w:p>
        </w:tc>
        <w:tc>
          <w:tcPr/>
          <w:p>
            <w:pPr>
              <w:pStyle w:val="Compact"/>
            </w:pPr>
            <w:r>
              <w:t xml:space="preserve">15.97</w:t>
            </w:r>
          </w:p>
        </w:tc>
        <w:tc>
          <w:tcPr/>
          <w:p>
            <w:pPr>
              <w:pStyle w:val="Compact"/>
            </w:pPr>
            <w:r>
              <w:t xml:space="preserve">1,437,030</w:t>
            </w:r>
          </w:p>
        </w:tc>
      </w:tr>
      <w:tr>
        <w:tc>
          <w:tcPr/>
          <w:p>
            <w:pPr>
              <w:pStyle w:val="Compact"/>
            </w:pPr>
            <w:r>
              <w:rPr>
                <w:b/>
                <w:bCs/>
              </w:rPr>
              <w:t xml:space="preserve">Año 5 (2030)</w:t>
            </w:r>
          </w:p>
        </w:tc>
        <w:tc>
          <w:tcPr/>
          <w:p>
            <w:pPr>
              <w:pStyle w:val="Compact"/>
            </w:pPr>
            <w:r>
              <w:t xml:space="preserve">90,000</w:t>
            </w:r>
            <w:r>
              <w:t xml:space="preserve"> </w:t>
            </w:r>
            <w:r>
              <w:rPr>
                <w:i/>
                <w:iCs/>
              </w:rPr>
              <w:t xml:space="preserve">(tentativo)</w:t>
            </w:r>
          </w:p>
        </w:tc>
        <w:tc>
          <w:tcPr/>
          <w:p>
            <w:pPr>
              <w:pStyle w:val="Compact"/>
            </w:pPr>
            <w:r>
              <w:t xml:space="preserve">9,000 m²</w:t>
            </w:r>
          </w:p>
        </w:tc>
        <w:tc>
          <w:tcPr/>
          <w:p>
            <w:pPr>
              <w:pStyle w:val="Compact"/>
            </w:pPr>
            <w:r>
              <w:t xml:space="preserve">178.83</w:t>
            </w:r>
          </w:p>
        </w:tc>
        <w:tc>
          <w:tcPr/>
          <w:p>
            <w:pPr>
              <w:pStyle w:val="Compact"/>
            </w:pPr>
            <w:r>
              <w:t xml:space="preserve">17.88</w:t>
            </w:r>
          </w:p>
        </w:tc>
        <w:tc>
          <w:tcPr/>
          <w:p>
            <w:pPr>
              <w:pStyle w:val="Compact"/>
            </w:pPr>
            <w:r>
              <w:t xml:space="preserve">1,609,470</w:t>
            </w:r>
          </w:p>
        </w:tc>
      </w:tr>
      <w:tr>
        <w:tc>
          <w:tcPr/>
          <w:p>
            <w:pPr>
              <w:pStyle w:val="Compact"/>
            </w:pPr>
            <w:r>
              <w:rPr>
                <w:b/>
                <w:bCs/>
              </w:rPr>
              <w:t xml:space="preserve">Total 5 años:</w:t>
            </w:r>
          </w:p>
        </w:tc>
        <w:tc>
          <w:tcPr/>
          <w:p>
            <w:pPr>
              <w:pStyle w:val="Compact"/>
            </w:pPr>
            <w:r>
              <w:rPr>
                <w:i/>
                <w:iCs/>
              </w:rPr>
              <w:t xml:space="preserve">50k + 450k = 500k</w:t>
            </w:r>
          </w:p>
        </w:tc>
        <w:tc>
          <w:tcPr/>
          <w:p>
            <w:pPr>
              <w:pStyle w:val="Compact"/>
            </w:pPr>
            <w:r>
              <w:rPr>
                <w:i/>
                <w:iCs/>
              </w:rPr>
              <w:t xml:space="preserve">50,000 m²</w:t>
            </w:r>
          </w:p>
        </w:tc>
        <w:tc>
          <w:tcPr/>
          <w:p>
            <w:pPr>
              <w:pStyle w:val="Compact"/>
            </w:pPr>
            <w:r>
              <w:rPr>
                <w:i/>
                <w:iCs/>
              </w:rPr>
              <w:t xml:space="preserve">n/a</w:t>
            </w:r>
          </w:p>
        </w:tc>
        <w:tc>
          <w:tcPr/>
          <w:p>
            <w:pPr>
              <w:pStyle w:val="Compact"/>
            </w:pPr>
            <w:r>
              <w:rPr>
                <w:i/>
                <w:iCs/>
              </w:rPr>
              <w:t xml:space="preserve">n/a</w:t>
            </w:r>
          </w:p>
        </w:tc>
        <w:tc>
          <w:tcPr/>
          <w:p>
            <w:pPr>
              <w:pStyle w:val="Compact"/>
            </w:pPr>
            <w:r>
              <w:rPr>
                <w:b/>
                <w:bCs/>
              </w:rPr>
              <w:t xml:space="preserve">6,996,000 (~US$7.0MM)</w:t>
            </w:r>
          </w:p>
        </w:tc>
      </w:tr>
    </w:tbl>
    <w:p>
      <w:pPr>
        <w:pStyle w:val="BodyText"/>
      </w:pPr>
      <w:r>
        <w:rPr>
          <w:i/>
          <w:iCs/>
        </w:rPr>
        <w:t xml:space="preserve">Tabla:</w:t>
      </w:r>
      <w:r>
        <w:t xml:space="preserve"> </w:t>
      </w:r>
      <w:r>
        <w:t xml:space="preserve">Emisión de tokens y recaudación en escenario base (los años 1–5 suponen distribución uniforme de 90k tokens/año para simplicidad; la emisión en año 5 es opcional según estrategia, dado que ya no habría mucho tiempo de valorización restante antes de la venta final). La</w:t>
      </w:r>
      <w:r>
        <w:t xml:space="preserve"> </w:t>
      </w:r>
      <w:r>
        <w:rPr>
          <w:b/>
          <w:bCs/>
        </w:rPr>
        <w:t xml:space="preserve">recaudación bruta acumulada</w:t>
      </w:r>
      <w:r>
        <w:t xml:space="preserve"> </w:t>
      </w:r>
      <w:r>
        <w:t xml:space="preserve">al final de 5 años rondaría los</w:t>
      </w:r>
      <w:r>
        <w:t xml:space="preserve"> </w:t>
      </w:r>
      <w:r>
        <w:rPr>
          <w:b/>
          <w:bCs/>
        </w:rPr>
        <w:t xml:space="preserve">US$7.0 millones</w:t>
      </w:r>
      <w:hyperlink r:id="rId26">
        <w:r>
          <w:rPr>
            <w:rStyle w:val="Hyperlink"/>
          </w:rPr>
          <w:t xml:space="preserve">[5]</w:t>
        </w:r>
      </w:hyperlink>
      <w:r>
        <w:t xml:space="preserve">, con un precio final de ~US$179/m² (US$17.88/token).</w:t>
      </w:r>
    </w:p>
    <w:p>
      <w:pPr>
        <w:pStyle w:val="BodyText"/>
      </w:pPr>
      <w:r>
        <w:t xml:space="preserve">Cabe reiterar que al final del año 5 el terreno se vendería aproximadamente en</w:t>
      </w:r>
      <w:r>
        <w:t xml:space="preserve"> </w:t>
      </w:r>
      <w:r>
        <w:rPr>
          <w:b/>
          <w:bCs/>
        </w:rPr>
        <w:t xml:space="preserve">US$8.94 millones</w:t>
      </w:r>
      <w:r>
        <w:t xml:space="preserve"> </w:t>
      </w:r>
      <w:r>
        <w:t xml:space="preserve">(50k m² × $178.83), cuyos fondos servirían para redimir los 500k tokens a ~$17.88 cada uno. En este escenario, un inversionista que ingresó en preventa (8.40→17.88) obtendría un múltiplo de ~2.13x sobre su inversión en 5 años (IRR ~16% anualizado); uno que ingresó en lanzamiento (12.00→17.88) tendría ~1.49x (IRR ~8% anual). El retorno absoluto para cada inversionista varía según su punto de entrada, pero</w:t>
      </w:r>
      <w:r>
        <w:t xml:space="preserve"> </w:t>
      </w:r>
      <w:r>
        <w:rPr>
          <w:b/>
          <w:bCs/>
        </w:rPr>
        <w:t xml:space="preserve">todos capturan la misma tasa de apreciación del activo subyacente mientras mantuvieron sus tokens</w:t>
      </w:r>
      <w:r>
        <w:t xml:space="preserve">. Por transparencia, estas métricas de rendimiento</w:t>
      </w:r>
      <w:r>
        <w:t xml:space="preserve"> </w:t>
      </w:r>
      <w:r>
        <w:rPr>
          <w:i/>
          <w:iCs/>
        </w:rPr>
        <w:t xml:space="preserve">ex-post</w:t>
      </w:r>
      <w:r>
        <w:t xml:space="preserve"> </w:t>
      </w:r>
      <w:r>
        <w:t xml:space="preserve">serán incluidas en los reportes a inversionistas, enfatizando que son resultados de escenarios planificados, no garantizados.</w:t>
      </w:r>
    </w:p>
    <w:p>
      <w:pPr>
        <w:pStyle w:val="BodyText"/>
      </w:pPr>
      <w:r>
        <w:rPr>
          <w:b/>
          <w:bCs/>
        </w:rPr>
        <w:t xml:space="preserve">Consideraciones de inflación y tipo de cambio:</w:t>
      </w:r>
      <w:r>
        <w:t xml:space="preserve"> </w:t>
      </w:r>
      <w:r>
        <w:t xml:space="preserve">La modelación se realiza en</w:t>
      </w:r>
      <w:r>
        <w:t xml:space="preserve"> </w:t>
      </w:r>
      <w:r>
        <w:rPr>
          <w:b/>
          <w:bCs/>
        </w:rPr>
        <w:t xml:space="preserve">dólares americanos constantes</w:t>
      </w:r>
      <w:r>
        <w:t xml:space="preserve"> </w:t>
      </w:r>
      <w:r>
        <w:t xml:space="preserve">(asumiendo inflación moderada en EE.UU.). Los precios de tierra en la zona típicamente se tasan en USD, por lo que el riesgo de tipo de cambio local (PEN/USD) es bajo en cuanto a la valoración del activo – aunque habrá que monitorear la inflación local, ya que podría incidir en costos operativos y en las tasas de descuento implícitas del mercado. Si la inflación en Perú sube, eso podría presionar a mayor plusvalía nominal del suelo (valor refugio) pero también implicar un Sol más débil, haciendo al USD aún más relevante. Por ello,</w:t>
      </w:r>
      <w:r>
        <w:t xml:space="preserve"> </w:t>
      </w:r>
      <w:r>
        <w:rPr>
          <w:b/>
          <w:bCs/>
        </w:rPr>
        <w:t xml:space="preserve">todas las transacciones de PachaNova se plantean dolarizadas</w:t>
      </w:r>
      <w:r>
        <w:t xml:space="preserve"> </w:t>
      </w:r>
      <w:r>
        <w:t xml:space="preserve">o en stablecoins equivalentes. De este modo, se protege a los inversores de devaluación local y se facilita también la participación de la diáspora (que maneja dólares). En caso de que se acepte algún aporte en criptomonedas, será a través de stablecoins USD para mantener la paridad. La estrategia de mitigación de FX es mantener siempre los fondos recaudados en USD o instrumentos vinculados, minimizando exposición a otras monedas.</w:t>
      </w:r>
    </w:p>
    <w:p>
      <w:pPr>
        <w:pStyle w:val="BodyText"/>
      </w:pPr>
      <w:r>
        <w:t xml:space="preserve">En conclusión, la estructura económica de PachaNova está diseñada para</w:t>
      </w:r>
      <w:r>
        <w:t xml:space="preserve"> </w:t>
      </w:r>
      <w:r>
        <w:rPr>
          <w:b/>
          <w:bCs/>
        </w:rPr>
        <w:t xml:space="preserve">alinear incentivos</w:t>
      </w:r>
      <w:r>
        <w:t xml:space="preserve"> </w:t>
      </w:r>
      <w:r>
        <w:t xml:space="preserve">(promotores e inversores dependen de la misma plusvalía),</w:t>
      </w:r>
      <w:r>
        <w:t xml:space="preserve"> </w:t>
      </w:r>
      <w:r>
        <w:rPr>
          <w:b/>
          <w:bCs/>
        </w:rPr>
        <w:t xml:space="preserve">proteger el valor</w:t>
      </w:r>
      <w:r>
        <w:t xml:space="preserve"> </w:t>
      </w:r>
      <w:r>
        <w:t xml:space="preserve">(vehículo fiduciario aislado, sin apalancar la tierra) y</w:t>
      </w:r>
      <w:r>
        <w:t xml:space="preserve"> </w:t>
      </w:r>
      <w:r>
        <w:rPr>
          <w:b/>
          <w:bCs/>
        </w:rPr>
        <w:t xml:space="preserve">proporcionar suficiente liquidez operativa</w:t>
      </w:r>
      <w:r>
        <w:t xml:space="preserve"> </w:t>
      </w:r>
      <w:r>
        <w:t xml:space="preserve">(ventas escalonadas, estructura de fees) para llevar el proyecto a buen término. A continuación se evaluará el mercado y los catalizadores en detalle para fundamentar los supuestos de valorización y absorción que sustentan estas proyecciones.</w:t>
      </w:r>
    </w:p>
    <w:bookmarkEnd w:id="41"/>
    <w:bookmarkStart w:id="53" w:name="X2882ee6ad5538dc99f1360181cef971f27fbfb2"/>
    <w:p>
      <w:pPr>
        <w:pStyle w:val="Heading2"/>
      </w:pPr>
      <w:r>
        <w:t xml:space="preserve">Mercado Objetivo y Catalizadores de Valorización</w:t>
      </w:r>
    </w:p>
    <w:p>
      <w:pPr>
        <w:pStyle w:val="FirstParagraph"/>
      </w:pPr>
      <w:r>
        <w:rPr>
          <w:b/>
          <w:bCs/>
        </w:rPr>
        <w:t xml:space="preserve">Visión general del mercado inmobiliario sur de Lima:</w:t>
      </w:r>
      <w:r>
        <w:t xml:space="preserve"> </w:t>
      </w:r>
      <w:r>
        <w:t xml:space="preserve">La zona sur de Lima (Balnearios del Sur) históricamente fue un área de casas de playa y semi-rural, con densidades bajas. Sin embargo, la dinámica demográfica de Lima (expansión de población hacia periferias) y las mejoras en infraestructura vial ya realizadas (la nueva autopista Panamericana Sur hasta Pucusana, por ejemplo) han detonado un mayor interés por suelo en distritos como Lurín, Punta Hermosa, San Bartolo y Santa María. Actualmente, esos distritos combinan zonas residenciales consolidadas, proyectos industriales/logísticos (en Lurín principalmente) y grandes extensiones de terreno sin desarrollar. Los precios de tierra</w:t>
      </w:r>
      <w:r>
        <w:t xml:space="preserve"> </w:t>
      </w:r>
      <w:r>
        <w:rPr>
          <w:b/>
          <w:bCs/>
        </w:rPr>
        <w:t xml:space="preserve">“bruta”</w:t>
      </w:r>
      <w:r>
        <w:t xml:space="preserve"> </w:t>
      </w:r>
      <w:r>
        <w:t xml:space="preserve">(sin habilitación) varían mucho según la cercanía a la carretera, servicios y vista al mar, pero a modo de referencia, terrenos en San Bartolo con vocación urbana se han transado en un rango de ~US$70 a US$150 por m² en los últimos años (cifras preliminares recopiladas de brokers locales, sujetas a validación). Este amplio rango refleja la</w:t>
      </w:r>
      <w:r>
        <w:t xml:space="preserve"> </w:t>
      </w:r>
      <w:r>
        <w:rPr>
          <w:i/>
          <w:iCs/>
        </w:rPr>
        <w:t xml:space="preserve">incertidumbre</w:t>
      </w:r>
      <w:r>
        <w:t xml:space="preserve"> </w:t>
      </w:r>
      <w:r>
        <w:t xml:space="preserve">que existía: algunos lotes con buena ubicación pero sin claridades de desarrollo se vendieron baratos; otros con cierta habilitación o proyectos en marcha alcanzaron valores altos.</w:t>
      </w:r>
      <w:r>
        <w:t xml:space="preserve"> </w:t>
      </w:r>
      <w:r>
        <w:rPr>
          <w:b/>
          <w:bCs/>
        </w:rPr>
        <w:t xml:space="preserve">PachaNova asume un valor de US$120/m² de salida</w:t>
      </w:r>
      <w:r>
        <w:t xml:space="preserve"> </w:t>
      </w:r>
      <w:r>
        <w:t xml:space="preserve">para su terreno precisamente porque se ubica en la media de ese espectro, considerando que no tiene habilitación inmediata pero sí excelentes perspectivas a mediano plazo.</w:t>
      </w:r>
    </w:p>
    <w:p>
      <w:pPr>
        <w:pStyle w:val="BodyText"/>
      </w:pPr>
      <w:r>
        <w:rPr>
          <w:b/>
          <w:bCs/>
        </w:rPr>
        <w:t xml:space="preserve">Demanda potencial – inversores target:</w:t>
      </w:r>
      <w:r>
        <w:t xml:space="preserve"> </w:t>
      </w:r>
      <w:r>
        <w:t xml:space="preserve">A diferencia de un proyecto inmobiliario tradicional (que buscaría vender viviendas a usuarios finales),</w:t>
      </w:r>
      <w:r>
        <w:t xml:space="preserve"> </w:t>
      </w:r>
      <w:r>
        <w:rPr>
          <w:i/>
          <w:iCs/>
        </w:rPr>
        <w:t xml:space="preserve">PachaNova</w:t>
      </w:r>
      <w:r>
        <w:t xml:space="preserve"> </w:t>
      </w:r>
      <w:r>
        <w:t xml:space="preserve">dirige su propuesta a</w:t>
      </w:r>
      <w:r>
        <w:t xml:space="preserve"> </w:t>
      </w:r>
      <w:r>
        <w:rPr>
          <w:b/>
          <w:bCs/>
        </w:rPr>
        <w:t xml:space="preserve">inversionistas</w:t>
      </w:r>
      <w:r>
        <w:t xml:space="preserve"> </w:t>
      </w:r>
      <w:r>
        <w:t xml:space="preserve">interesados en exposición a tierra. Identificamos dos segmentos principales:</w:t>
      </w:r>
      <w:r>
        <w:t xml:space="preserve"> </w:t>
      </w:r>
      <w:r>
        <w:t xml:space="preserve">-</w:t>
      </w:r>
      <w:r>
        <w:t xml:space="preserve"> </w:t>
      </w:r>
      <w:r>
        <w:rPr>
          <w:b/>
          <w:bCs/>
        </w:rPr>
        <w:t xml:space="preserve">Inversionistas locales sofisticados:</w:t>
      </w:r>
      <w:r>
        <w:t xml:space="preserve"> </w:t>
      </w:r>
      <w:r>
        <w:t xml:space="preserve">personas naturales o jurídicas en Perú (Lima principalmente) que invierten en real estate como parte de su portafolio, pero que quizás no tienen el capital o la voluntad de inmovilizar dinero en un terreno completo. Este segmento incluiría profesionales, pequeños empresarios, cooperativas de ahorro,</w:t>
      </w:r>
      <w:r>
        <w:t xml:space="preserve"> </w:t>
      </w:r>
      <w:r>
        <w:rPr>
          <w:i/>
          <w:iCs/>
        </w:rPr>
        <w:t xml:space="preserve">family offices</w:t>
      </w:r>
      <w:r>
        <w:t xml:space="preserve">, etc. Para ellos, PachaNova ofrece la posibilidad de participar en la “jugada del tren y la nueva ciudad” sin encargarse de los pormenores (titulación, vigilancia del predio, trámites municipales, etc.), lo cual es atractivo. También elimina la necesidad de lidiar con inquilinos o construcciones – es una apuesta pura al valor del suelo.</w:t>
      </w:r>
      <w:r>
        <w:t xml:space="preserve"> </w:t>
      </w:r>
      <w:r>
        <w:t xml:space="preserve">-</w:t>
      </w:r>
      <w:r>
        <w:t xml:space="preserve"> </w:t>
      </w:r>
      <w:r>
        <w:rPr>
          <w:b/>
          <w:bCs/>
        </w:rPr>
        <w:t xml:space="preserve">Diáspora peruana en el exterior:</w:t>
      </w:r>
      <w:r>
        <w:t xml:space="preserve"> </w:t>
      </w:r>
      <w:r>
        <w:t xml:space="preserve">peruanos residentes fuera del país, muchos de los cuales mantienen apego e interés por invertir en Perú. Según datos oficiales,</w:t>
      </w:r>
      <w:r>
        <w:t xml:space="preserve"> </w:t>
      </w:r>
      <w:r>
        <w:rPr>
          <w:b/>
          <w:bCs/>
        </w:rPr>
        <w:t xml:space="preserve">más de 3.5 millones de peruanos viven en el extranjero</w:t>
      </w:r>
      <w:hyperlink r:id="rId36">
        <w:r>
          <w:rPr>
            <w:rStyle w:val="Hyperlink"/>
          </w:rPr>
          <w:t xml:space="preserve">[14]</w:t>
        </w:r>
      </w:hyperlink>
      <w:r>
        <w:t xml:space="preserve">, de los cuales un buen porcentaje son económicamente activos (la mayoría en edades 15–49 según INEI)</w:t>
      </w:r>
      <w:hyperlink r:id="rId36">
        <w:r>
          <w:rPr>
            <w:rStyle w:val="Hyperlink"/>
          </w:rPr>
          <w:t xml:space="preserve">[18]</w:t>
        </w:r>
      </w:hyperlink>
      <w:r>
        <w:t xml:space="preserve">. Este grupo envía remesas de ~US$4,446 millones al año a Perú</w:t>
      </w:r>
      <w:hyperlink r:id="rId42">
        <w:r>
          <w:rPr>
            <w:rStyle w:val="Hyperlink"/>
          </w:rPr>
          <w:t xml:space="preserve">[19]</w:t>
        </w:r>
      </w:hyperlink>
      <w:hyperlink r:id="rId43">
        <w:r>
          <w:rPr>
            <w:rStyle w:val="Hyperlink"/>
          </w:rPr>
          <w:t xml:space="preserve">[20]</w:t>
        </w:r>
      </w:hyperlink>
      <w:r>
        <w:t xml:space="preserve"> </w:t>
      </w:r>
      <w:r>
        <w:t xml:space="preserve">y suele invertir en bienes raíces (por ejemplo, comprando departamentos para familia). PachaNova podría canalizar una parte de ese flujo ofreciéndoles una inversión inmobiliaria</w:t>
      </w:r>
      <w:r>
        <w:t xml:space="preserve"> </w:t>
      </w:r>
      <w:r>
        <w:rPr>
          <w:i/>
          <w:iCs/>
        </w:rPr>
        <w:t xml:space="preserve">remota</w:t>
      </w:r>
      <w:r>
        <w:t xml:space="preserve"> </w:t>
      </w:r>
      <w:r>
        <w:t xml:space="preserve">y gestionada profesionalmente. De hecho, para muchos emigrantes sería inviable comprar un terreno desde fuera (por costo y trámites), pero</w:t>
      </w:r>
      <w:r>
        <w:t xml:space="preserve"> </w:t>
      </w:r>
      <w:r>
        <w:rPr>
          <w:i/>
          <w:iCs/>
        </w:rPr>
        <w:t xml:space="preserve">sí</w:t>
      </w:r>
      <w:r>
        <w:t xml:space="preserve"> </w:t>
      </w:r>
      <w:r>
        <w:t xml:space="preserve">podrían comprar tokens equivalentes a 20, 50, 100 m² de tierra en su país, como apuesta a largo plazo.</w:t>
      </w:r>
      <w:r>
        <w:t xml:space="preserve"> </w:t>
      </w:r>
      <w:r>
        <w:rPr>
          <w:b/>
          <w:bCs/>
        </w:rPr>
        <w:t xml:space="preserve">Hipótesis comercial:</w:t>
      </w:r>
      <w:r>
        <w:t xml:space="preserve"> </w:t>
      </w:r>
      <w:r>
        <w:t xml:space="preserve">si PachaNova logra articular un canal hacia comunidades peruanas en EE.UU., España, Chile, Japón, etc., podría lograr colocaciones considerables de tokens. Esto además diversifica el riesgo de depender solo de inversionistas locales.</w:t>
      </w:r>
    </w:p>
    <w:p>
      <w:pPr>
        <w:pStyle w:val="BodyText"/>
      </w:pPr>
      <w:r>
        <w:t xml:space="preserve">En términos de capacidad de absorción: con 500,000 tokens emitidos a ~US$12 promedio, el ticket total es ~US$6M. Este monto es modesto comparado con, por ejemplo, el tamaño anual de mercado de departamentos en Lima. Por ello, consideramos alcanzable su colocación en 5 años, distribuyéndolo entre cientos de inversionistas. Un inversionista minorista podría entrar con $1k–$5k, uno mediano con $10k–$50k, y algunos institucionales locales con $100k+. Basta unas decenas de inversionistas medianos y unos pocos de &gt;$100k para cubrir la emisión. Nuestra estrategia de</w:t>
      </w:r>
      <w:r>
        <w:t xml:space="preserve"> </w:t>
      </w:r>
      <w:r>
        <w:rPr>
          <w:b/>
          <w:bCs/>
        </w:rPr>
        <w:t xml:space="preserve">segmentación</w:t>
      </w:r>
      <w:r>
        <w:t xml:space="preserve"> </w:t>
      </w:r>
      <w:r>
        <w:t xml:space="preserve">apuntará a:</w:t>
      </w:r>
      <w:r>
        <w:t xml:space="preserve"> </w:t>
      </w:r>
      <w:r>
        <w:rPr>
          <w:i/>
          <w:iCs/>
        </w:rPr>
        <w:t xml:space="preserve">family offices</w:t>
      </w:r>
      <w:r>
        <w:t xml:space="preserve"> </w:t>
      </w:r>
      <w:r>
        <w:t xml:space="preserve">y patrimonios familiares (preventa y año1), red de profesionales de construcción/inmobiliarios (que entienden plusvalía) años 1–2, inversionistas retail calificados y diaspora años 2–4 una vez probado el modelo. Vale indicar que</w:t>
      </w:r>
      <w:r>
        <w:t xml:space="preserve"> </w:t>
      </w:r>
      <w:r>
        <w:rPr>
          <w:i/>
          <w:iCs/>
        </w:rPr>
        <w:t xml:space="preserve">si la demanda superara la oferta</w:t>
      </w:r>
      <w:r>
        <w:t xml:space="preserve">, el proyecto podría cerrar emisiones antes de los 5 años (vendiendo tokens más rápido) o, en caso de altísimo interés institucional, contemplar una</w:t>
      </w:r>
      <w:r>
        <w:t xml:space="preserve"> </w:t>
      </w:r>
      <w:r>
        <w:rPr>
          <w:b/>
          <w:bCs/>
        </w:rPr>
        <w:t xml:space="preserve">venta anticipada del terreno</w:t>
      </w:r>
      <w:r>
        <w:t xml:space="preserve"> </w:t>
      </w:r>
      <w:r>
        <w:t xml:space="preserve">(monetizando la plusvalía antes de tiempo). Sin embargo, este último caso sería una excepción evaluada llegado el momento.</w:t>
      </w:r>
    </w:p>
    <w:p>
      <w:pPr>
        <w:pStyle w:val="BodyText"/>
      </w:pPr>
      <w:r>
        <w:rPr>
          <w:b/>
          <w:bCs/>
        </w:rPr>
        <w:t xml:space="preserve">Catalizadores externos – evidencia y estado actual:</w:t>
      </w:r>
    </w:p>
    <w:p>
      <w:pPr>
        <w:numPr>
          <w:ilvl w:val="0"/>
          <w:numId w:val="1001"/>
        </w:numPr>
      </w:pPr>
      <w:r>
        <w:rPr>
          <w:b/>
          <w:bCs/>
        </w:rPr>
        <w:t xml:space="preserve">Proyecto Ferrocarril Lima–Ica:</w:t>
      </w:r>
      <w:r>
        <w:t xml:space="preserve"> </w:t>
      </w:r>
      <w:r>
        <w:t xml:space="preserve">Actualmente figura en el</w:t>
      </w:r>
      <w:r>
        <w:t xml:space="preserve"> </w:t>
      </w:r>
      <w:r>
        <w:rPr>
          <w:i/>
          <w:iCs/>
        </w:rPr>
        <w:t xml:space="preserve">Banco de Inversiones</w:t>
      </w:r>
      <w:r>
        <w:t xml:space="preserve"> </w:t>
      </w:r>
      <w:r>
        <w:t xml:space="preserve">del MEF con status de “viable” y modalidad de ejecución Gobierno a Gobierno</w:t>
      </w:r>
      <w:hyperlink r:id="rId44">
        <w:r>
          <w:rPr>
            <w:rStyle w:val="Hyperlink"/>
          </w:rPr>
          <w:t xml:space="preserve">[21]</w:t>
        </w:r>
      </w:hyperlink>
      <w:hyperlink r:id="rId45">
        <w:r>
          <w:rPr>
            <w:rStyle w:val="Hyperlink"/>
          </w:rPr>
          <w:t xml:space="preserve">[22]</w:t>
        </w:r>
      </w:hyperlink>
      <w:r>
        <w:t xml:space="preserve">. El gobierno peruano ha exhibido el proyecto ante embajadas de países desarrollados en busca de interesados</w:t>
      </w:r>
      <w:hyperlink r:id="rId46">
        <w:r>
          <w:rPr>
            <w:rStyle w:val="Hyperlink"/>
          </w:rPr>
          <w:t xml:space="preserve">[23]</w:t>
        </w:r>
      </w:hyperlink>
      <w:r>
        <w:t xml:space="preserve">. Las últimas declaraciones (nov. 2024) del Ministro MTC indican que la fase de preinversión culminó y se planea iniciar obras hacia</w:t>
      </w:r>
      <w:r>
        <w:t xml:space="preserve"> </w:t>
      </w:r>
      <w:r>
        <w:rPr>
          <w:b/>
          <w:bCs/>
        </w:rPr>
        <w:t xml:space="preserve">2026</w:t>
      </w:r>
      <w:r>
        <w:t xml:space="preserve">, con una fecha de entrega alrededor de</w:t>
      </w:r>
      <w:r>
        <w:t xml:space="preserve"> </w:t>
      </w:r>
      <w:r>
        <w:rPr>
          <w:b/>
          <w:bCs/>
        </w:rPr>
        <w:t xml:space="preserve">2032</w:t>
      </w:r>
      <w:hyperlink r:id="rId47">
        <w:r>
          <w:rPr>
            <w:rStyle w:val="Hyperlink"/>
          </w:rPr>
          <w:t xml:space="preserve">[24]</w:t>
        </w:r>
      </w:hyperlink>
      <w:r>
        <w:t xml:space="preserve">. El trazado de 280 km con 15 estaciones es conocido; San Bartolo no tendría estación propia (la más cercana estaría en Lurín o quizá Pucusana), pero la reducción de tiempo de viaje Lima–Sur</w:t>
      </w:r>
      <w:r>
        <w:t xml:space="preserve"> </w:t>
      </w:r>
      <w:r>
        <w:rPr>
          <w:i/>
          <w:iCs/>
        </w:rPr>
        <w:t xml:space="preserve">per se</w:t>
      </w:r>
      <w:r>
        <w:t xml:space="preserve"> </w:t>
      </w:r>
      <w:r>
        <w:t xml:space="preserve">genera valor en toda la franja. Un artículo de EFE resume:</w:t>
      </w:r>
      <w:r>
        <w:t xml:space="preserve"> </w:t>
      </w:r>
      <w:r>
        <w:rPr>
          <w:i/>
          <w:iCs/>
        </w:rPr>
        <w:t xml:space="preserve">“el tren... beneficiará directamente a 5.8 millones de personas y, de forma indirecta, a otras 6.5 millones”</w:t>
      </w:r>
      <w:hyperlink r:id="rId22">
        <w:r>
          <w:rPr>
            <w:rStyle w:val="Hyperlink"/>
          </w:rPr>
          <w:t xml:space="preserve">[1]</w:t>
        </w:r>
      </w:hyperlink>
      <w:hyperlink r:id="rId48">
        <w:r>
          <w:rPr>
            <w:rStyle w:val="Hyperlink"/>
          </w:rPr>
          <w:t xml:space="preserve">[25]</w:t>
        </w:r>
      </w:hyperlink>
      <w:r>
        <w:t xml:space="preserve">, lo cual sugiere que la zona de influencia se extiende ampliamente.</w:t>
      </w:r>
      <w:r>
        <w:t xml:space="preserve"> </w:t>
      </w:r>
      <w:r>
        <w:rPr>
          <w:b/>
          <w:bCs/>
        </w:rPr>
        <w:t xml:space="preserve">Riesgo:</w:t>
      </w:r>
      <w:r>
        <w:t xml:space="preserve"> </w:t>
      </w:r>
      <w:r>
        <w:t xml:space="preserve">Los proyectos ferroviarios en Perú han sufrido retrasos históricamente. Mitigación: hemos incorporado un escenario conservador donde el tren se retrasa o queda inconcluso (escalamiento de valor 50% menor), y aun así el proyecto retiene viabilidad pues el PDU generaría plusvalía por sí solo. Además, PachaNova no depende de ingresos del tren – solo de la expectativa de su ejecución, la cual se irá ajustando en las tasaciones anuales. Se hará seguimiento cercano a anuncios del MTC y se comunicará con transparencia a inversionistas cualquier cambio material.</w:t>
      </w:r>
    </w:p>
    <w:p>
      <w:pPr>
        <w:numPr>
          <w:ilvl w:val="0"/>
          <w:numId w:val="1001"/>
        </w:numPr>
      </w:pPr>
      <w:r>
        <w:rPr>
          <w:b/>
          <w:bCs/>
        </w:rPr>
        <w:t xml:space="preserve">Plan de Desarrollo Urbano Lima Balnearios del Sur (PDULBS):</w:t>
      </w:r>
      <w:r>
        <w:t xml:space="preserve"> </w:t>
      </w:r>
      <w:r>
        <w:t xml:space="preserve">Aprobado por Ordenanza Municipal N° 2767 en julio 2023</w:t>
      </w:r>
      <w:hyperlink r:id="rId24">
        <w:r>
          <w:rPr>
            <w:rStyle w:val="Hyperlink"/>
          </w:rPr>
          <w:t xml:space="preserve">[3]</w:t>
        </w:r>
      </w:hyperlink>
      <w:r>
        <w:t xml:space="preserve">, este plan ya es normativa vigente. Trae “reglas de juego” claras para los distritos de Santa María, San Bartolo, Punta Negra, Punta Hermosa y Pucusana, proyectando al 2034 una</w:t>
      </w:r>
      <w:r>
        <w:t xml:space="preserve"> </w:t>
      </w:r>
      <w:r>
        <w:rPr>
          <w:b/>
          <w:bCs/>
        </w:rPr>
        <w:t xml:space="preserve">“nueva ciudad en el sur de la metrópoli” de 870 mil habitantes</w:t>
      </w:r>
      <w:r>
        <w:t xml:space="preserve"> </w:t>
      </w:r>
      <w:r>
        <w:t xml:space="preserve">con polos económicos específicos</w:t>
      </w:r>
      <w:hyperlink r:id="rId35">
        <w:r>
          <w:rPr>
            <w:rStyle w:val="Hyperlink"/>
          </w:rPr>
          <w:t xml:space="preserve">[13]</w:t>
        </w:r>
      </w:hyperlink>
      <w:r>
        <w:t xml:space="preserve">. Entre sus componentes clave: actualiza la</w:t>
      </w:r>
      <w:r>
        <w:t xml:space="preserve"> </w:t>
      </w:r>
      <w:r>
        <w:rPr>
          <w:b/>
          <w:bCs/>
        </w:rPr>
        <w:t xml:space="preserve">zonificación</w:t>
      </w:r>
      <w:r>
        <w:t xml:space="preserve"> </w:t>
      </w:r>
      <w:r>
        <w:t xml:space="preserve">(por ejemplo, zonas que eran agrícolas sin uso definido ahora tienen zonificación urbana o industrial potencial), identifica</w:t>
      </w:r>
      <w:r>
        <w:t xml:space="preserve"> </w:t>
      </w:r>
      <w:r>
        <w:rPr>
          <w:b/>
          <w:bCs/>
        </w:rPr>
        <w:t xml:space="preserve">proyectos emblemáticos</w:t>
      </w:r>
      <w:r>
        <w:t xml:space="preserve"> </w:t>
      </w:r>
      <w:r>
        <w:t xml:space="preserve">(los mencionados: mercado mayorista, parque de la ciencia, ciudad de las lomas) y enfatiza la</w:t>
      </w:r>
      <w:r>
        <w:t xml:space="preserve"> </w:t>
      </w:r>
      <w:r>
        <w:rPr>
          <w:b/>
          <w:bCs/>
        </w:rPr>
        <w:t xml:space="preserve">atracción de inversión privada responsable</w:t>
      </w:r>
      <w:r>
        <w:t xml:space="preserve"> </w:t>
      </w:r>
      <w:r>
        <w:t xml:space="preserve">con incentivos y simplificación de procesos</w:t>
      </w:r>
      <w:hyperlink r:id="rId49">
        <w:r>
          <w:rPr>
            <w:rStyle w:val="Hyperlink"/>
          </w:rPr>
          <w:t xml:space="preserve">[26]</w:t>
        </w:r>
      </w:hyperlink>
      <w:hyperlink r:id="rId50">
        <w:r>
          <w:rPr>
            <w:rStyle w:val="Hyperlink"/>
          </w:rPr>
          <w:t xml:space="preserve">[27]</w:t>
        </w:r>
      </w:hyperlink>
      <w:r>
        <w:t xml:space="preserve">. Para San Bartolo en particular, se consolida como</w:t>
      </w:r>
      <w:r>
        <w:t xml:space="preserve"> </w:t>
      </w:r>
      <w:r>
        <w:rPr>
          <w:i/>
          <w:iCs/>
        </w:rPr>
        <w:t xml:space="preserve">hub</w:t>
      </w:r>
      <w:r>
        <w:t xml:space="preserve">: se menciona su conexión mediante un “sistema vial multimodal” que probablemente integra la vía expresa Panamericana, alimentadores al tren y conexiones internas</w:t>
      </w:r>
      <w:hyperlink r:id="rId25">
        <w:r>
          <w:rPr>
            <w:rStyle w:val="Hyperlink"/>
          </w:rPr>
          <w:t xml:space="preserve">[4]</w:t>
        </w:r>
      </w:hyperlink>
      <w:r>
        <w:t xml:space="preserve">.</w:t>
      </w:r>
      <w:r>
        <w:t xml:space="preserve"> </w:t>
      </w:r>
      <w:r>
        <w:rPr>
          <w:b/>
          <w:bCs/>
        </w:rPr>
        <w:t xml:space="preserve">Implicancias para PachaNova:</w:t>
      </w:r>
      <w:r>
        <w:t xml:space="preserve"> </w:t>
      </w:r>
      <w:r>
        <w:t xml:space="preserve">El terreno en cuestión se beneficiará de la nueva zonificación (pendiente de detalle, pero se anticipa podrá solicitar zonificación urbana específica con relativa facilidad). Además, el ordenamiento reduce riesgos de invasiones o usos indeseables vecinos. Un plan aprobado da confianza a desarrolladores: es más probable que hacia 2030 veamos empresas buscando landbank en la zona para proyectos habitacionales de interés social o industriales, sabiendo que hay un marco regulatorio. Este factor es fundamental para que en el año 5 haya</w:t>
      </w:r>
      <w:r>
        <w:t xml:space="preserve"> </w:t>
      </w:r>
      <w:r>
        <w:rPr>
          <w:b/>
          <w:bCs/>
        </w:rPr>
        <w:t xml:space="preserve">demandantes para comprar nuestro terreno</w:t>
      </w:r>
      <w:r>
        <w:t xml:space="preserve">.</w:t>
      </w:r>
      <w:r>
        <w:t xml:space="preserve"> </w:t>
      </w:r>
      <w:r>
        <w:rPr>
          <w:b/>
          <w:bCs/>
        </w:rPr>
        <w:t xml:space="preserve">Riesgo:</w:t>
      </w:r>
      <w:r>
        <w:t xml:space="preserve"> </w:t>
      </w:r>
      <w:r>
        <w:t xml:space="preserve">Que la implementación del plan sea lenta o que nuevas gestiones municipales cambien prioridades. Mitigación: el plan es ordenanza, no tan sencillo de revertir; además, ya hay inversiones en marcha (ej. un nuevo condominio en Santa María, la base militar aérea anunciada en Pucusana, etc.) que indican avance. No obstante, incorporamos escenarios de valorización más suaves si la inversión privada no llega al ritmo esperado.</w:t>
      </w:r>
    </w:p>
    <w:p>
      <w:pPr>
        <w:numPr>
          <w:ilvl w:val="0"/>
          <w:numId w:val="1001"/>
        </w:numPr>
      </w:pPr>
      <w:r>
        <w:rPr>
          <w:b/>
          <w:bCs/>
        </w:rPr>
        <w:t xml:space="preserve">Plusvalía por tendencia macro:</w:t>
      </w:r>
      <w:r>
        <w:t xml:space="preserve"> </w:t>
      </w:r>
      <w:r>
        <w:t xml:space="preserve">Más allá de los catalizadores específicos, la</w:t>
      </w:r>
      <w:r>
        <w:t xml:space="preserve"> </w:t>
      </w:r>
      <w:r>
        <w:rPr>
          <w:b/>
          <w:bCs/>
        </w:rPr>
        <w:t xml:space="preserve">expansión demográfica y urbana natural de Lima</w:t>
      </w:r>
      <w:r>
        <w:t xml:space="preserve"> </w:t>
      </w:r>
      <w:r>
        <w:t xml:space="preserve">juega a favor. Lima sigue creciendo en población ( ~10.0 millones en 2023, proyectado 11 millones en 2030) y la oferta de tierra bien ubicada es escasa. La zona sur ofrece espacio para crecimiento orgánico de la ciudad (lo que Lima Norte ya no tiene). Esta presión demográfica garantizará cierta apreciación del suelo incluso sin tren: las ciudades balneario vienen recibiendo migración de Lima urbana (gente que busca vivienda más asequible y calidad de vida). Además, la</w:t>
      </w:r>
      <w:r>
        <w:t xml:space="preserve"> </w:t>
      </w:r>
      <w:r>
        <w:rPr>
          <w:b/>
          <w:bCs/>
        </w:rPr>
        <w:t xml:space="preserve">inversión pública descentralizada</w:t>
      </w:r>
      <w:r>
        <w:t xml:space="preserve"> </w:t>
      </w:r>
      <w:r>
        <w:t xml:space="preserve">(post pandemia) es una política de gobierno – por ejemplo, hay planes de polos logísticos fuera de Lima central, etc., y el sur está en la mira. Organismos como el BID han señalado que mecanismos de</w:t>
      </w:r>
      <w:r>
        <w:t xml:space="preserve"> </w:t>
      </w:r>
      <w:r>
        <w:rPr>
          <w:i/>
          <w:iCs/>
        </w:rPr>
        <w:t xml:space="preserve">captura de plusvalías</w:t>
      </w:r>
      <w:r>
        <w:t xml:space="preserve"> </w:t>
      </w:r>
      <w:r>
        <w:t xml:space="preserve">(ej. impuestos prediales) deberían implementarse cuando hay grandes obras</w:t>
      </w:r>
      <w:hyperlink r:id="rId51">
        <w:r>
          <w:rPr>
            <w:rStyle w:val="Hyperlink"/>
          </w:rPr>
          <w:t xml:space="preserve">[28]</w:t>
        </w:r>
      </w:hyperlink>
      <w:r>
        <w:t xml:space="preserve">, justamente porque reconocen que los propietarios de tierra se benefician notablemente de estas. Esto respalda la tesis de que los terrenos en Lima Sur incrementarán su valor sin que el proyecto PachaNova tenga que hacer nada sobre el terreno.</w:t>
      </w:r>
      <w:r>
        <w:t xml:space="preserve"> </w:t>
      </w:r>
      <w:r>
        <w:rPr>
          <w:b/>
          <w:bCs/>
        </w:rPr>
        <w:t xml:space="preserve">Benchmark internacional:</w:t>
      </w:r>
      <w:r>
        <w:t xml:space="preserve"> </w:t>
      </w:r>
      <w:r>
        <w:t xml:space="preserve">Ciudades como Santiago de Chile experimentaron fenómenos similares con la expansión de metro/trenes: zonas periféricas se integraron y duplicaron su valor en pocos años. En Perú mismo, la zona del Metro de Lima (Línea 1) vio un alza fuerte en los precios de terrenos cercanos a estaciones tras su inauguración. Esa analogía nos guía en cuán conservadores o agresivos ser: un estudio sugiere 10-15% anual de plusvalía en zonas de influencia directa de nueva infraestructura</w:t>
      </w:r>
      <w:hyperlink r:id="rId48">
        <w:r>
          <w:rPr>
            <w:rStyle w:val="Hyperlink"/>
          </w:rPr>
          <w:t xml:space="preserve">[29]</w:t>
        </w:r>
      </w:hyperlink>
      <w:r>
        <w:t xml:space="preserve">. Nosotros, reconociendo que San Bartolo no es estación, hemos moderado a ~8-12% anual en base, con 15% en alta, lo cual parece razonable.</w:t>
      </w:r>
    </w:p>
    <w:p>
      <w:pPr>
        <w:pStyle w:val="FirstParagraph"/>
      </w:pPr>
      <w:r>
        <w:rPr>
          <w:b/>
          <w:bCs/>
        </w:rPr>
        <w:t xml:space="preserve">Evidencias a recolectar (plan de</w:t>
      </w:r>
      <w:r>
        <w:rPr>
          <w:b/>
          <w:bCs/>
        </w:rPr>
        <w:t xml:space="preserve"> </w:t>
      </w:r>
      <w:r>
        <w:rPr>
          <w:b/>
          <w:bCs/>
          <w:i/>
          <w:iCs/>
        </w:rPr>
        <w:t xml:space="preserve">Deep Search</w:t>
      </w:r>
      <w:r>
        <w:rPr>
          <w:b/>
          <w:bCs/>
        </w:rPr>
        <w:t xml:space="preserve">):</w:t>
      </w:r>
      <w:r>
        <w:t xml:space="preserve"> </w:t>
      </w:r>
      <w:r>
        <w:t xml:space="preserve">Para la versión final de este Business Plan, se incluirá una</w:t>
      </w:r>
      <w:r>
        <w:t xml:space="preserve"> </w:t>
      </w:r>
      <w:r>
        <w:rPr>
          <w:i/>
          <w:iCs/>
        </w:rPr>
        <w:t xml:space="preserve">Matriz de Evidencias</w:t>
      </w:r>
      <w:r>
        <w:t xml:space="preserve"> </w:t>
      </w:r>
      <w:r>
        <w:t xml:space="preserve">anexa que vincule cada afirmación clave con su fuente primaria oficial. Por ejemplo:</w:t>
      </w:r>
      <w:r>
        <w:t xml:space="preserve"> </w:t>
      </w:r>
      <w:r>
        <w:t xml:space="preserve">- Afirmación “Tren Lima–Ica figura como viable con inversión de US$6,542MM” → Fuente: Documento MTC o MEF</w:t>
      </w:r>
      <w:hyperlink r:id="rId44">
        <w:r>
          <w:rPr>
            <w:rStyle w:val="Hyperlink"/>
          </w:rPr>
          <w:t xml:space="preserve">[21]</w:t>
        </w:r>
      </w:hyperlink>
      <w:r>
        <w:t xml:space="preserve">.</w:t>
      </w:r>
      <w:r>
        <w:t xml:space="preserve"> </w:t>
      </w:r>
      <w:r>
        <w:t xml:space="preserve">- Afirmación “870k hab proj. en Lima Sur al 2034” → Fuente: Portal IMP (Plan Lima Sur)</w:t>
      </w:r>
      <w:hyperlink r:id="rId35">
        <w:r>
          <w:rPr>
            <w:rStyle w:val="Hyperlink"/>
          </w:rPr>
          <w:t xml:space="preserve">[13]</w:t>
        </w:r>
      </w:hyperlink>
      <w:r>
        <w:t xml:space="preserve">.</w:t>
      </w:r>
      <w:r>
        <w:t xml:space="preserve"> </w:t>
      </w:r>
      <w:r>
        <w:t xml:space="preserve">- Afirmación “3.5MM peruanos en el exterior” → Fuente: INEI / Cancillería</w:t>
      </w:r>
      <w:hyperlink r:id="rId36">
        <w:r>
          <w:rPr>
            <w:rStyle w:val="Hyperlink"/>
          </w:rPr>
          <w:t xml:space="preserve">[14]</w:t>
        </w:r>
      </w:hyperlink>
      <w:r>
        <w:t xml:space="preserve">.</w:t>
      </w:r>
      <w:r>
        <w:t xml:space="preserve"> </w:t>
      </w:r>
      <w:r>
        <w:t xml:space="preserve">- Benchmark precios tierra → Fuente: (Por obtener, p.ej. registro de tasaciones o informes de Capeco).</w:t>
      </w:r>
      <w:r>
        <w:t xml:space="preserve"> </w:t>
      </w:r>
      <w:r>
        <w:t xml:space="preserve">Esta matriz se prepara para robustecer la credibilidad en comité: todo dato será trazable a algo público. Hasta el momento, ya contamos con las fuentes para tren y PDU citadas en este documento, y se está recopilando información complementaria (ej. cronogramas oficiales publicados en diario El Peruano, literatura BID sobre casos de captura de plusvalía urbana</w:t>
      </w:r>
      <w:hyperlink r:id="rId52">
        <w:r>
          <w:rPr>
            <w:rStyle w:val="Hyperlink"/>
          </w:rPr>
          <w:t xml:space="preserve">[30]</w:t>
        </w:r>
      </w:hyperlink>
      <w:r>
        <w:t xml:space="preserve">, etc.).</w:t>
      </w:r>
    </w:p>
    <w:p>
      <w:pPr>
        <w:pStyle w:val="BodyText"/>
      </w:pPr>
      <w:r>
        <w:rPr>
          <w:b/>
          <w:bCs/>
        </w:rPr>
        <w:t xml:space="preserve">Competencia y alternativas:</w:t>
      </w:r>
      <w:r>
        <w:t xml:space="preserve"> </w:t>
      </w:r>
      <w:r>
        <w:t xml:space="preserve">En el ámbito local, actualmente</w:t>
      </w:r>
      <w:r>
        <w:t xml:space="preserve"> </w:t>
      </w:r>
      <w:r>
        <w:rPr>
          <w:b/>
          <w:bCs/>
        </w:rPr>
        <w:t xml:space="preserve">no existen proyectos similares de tokenización de tierra</w:t>
      </w:r>
      <w:r>
        <w:t xml:space="preserve"> </w:t>
      </w:r>
      <w:r>
        <w:t xml:space="preserve">conocidos públicamente. La competencia más cercana serían maneras tradicionales de invertir en tierra en Lima: comprar uno mismo un lote (requiere capital grande), asociarse en un fondo inmobiliario (no hay fondos dedicados solo a tierra por plusvalía urbana, suelen ser de desarrollo), o invertir en empresas inmobiliarias listadas (en Perú muy pocas, y ninguna enfocada en esa zona). En criptomercados globales, existen algunas plataformas de</w:t>
      </w:r>
      <w:r>
        <w:t xml:space="preserve"> </w:t>
      </w:r>
      <w:r>
        <w:rPr>
          <w:i/>
          <w:iCs/>
        </w:rPr>
        <w:t xml:space="preserve">real estate tokens</w:t>
      </w:r>
      <w:r>
        <w:t xml:space="preserve">, pero están orientadas a propiedades generadoras de renta (edificios en alquiler) o mercados desarrollados (EE.UU., Europa). Por tanto, PachaNova goza de una</w:t>
      </w:r>
      <w:r>
        <w:t xml:space="preserve"> </w:t>
      </w:r>
      <w:r>
        <w:rPr>
          <w:b/>
          <w:bCs/>
        </w:rPr>
        <w:t xml:space="preserve">ventana de oportunidad para posicionarse primero</w:t>
      </w:r>
      <w:r>
        <w:t xml:space="preserve">. Sin embargo, reconocemos que</w:t>
      </w:r>
      <w:r>
        <w:t xml:space="preserve"> </w:t>
      </w:r>
      <w:r>
        <w:rPr>
          <w:b/>
          <w:bCs/>
        </w:rPr>
        <w:t xml:space="preserve">la idea es replicable</w:t>
      </w:r>
      <w:r>
        <w:t xml:space="preserve">: si tenemos éxito, otros podrían intentar tokenizar terrenos vecinos u otros activos. Para entonces, nuestra ventaja será haber ganado experiencia operativa, confianza regulatoria y base de inversores. Además, la</w:t>
      </w:r>
      <w:r>
        <w:t xml:space="preserve"> </w:t>
      </w:r>
      <w:r>
        <w:rPr>
          <w:b/>
          <w:bCs/>
        </w:rPr>
        <w:t xml:space="preserve">curva de aprendizaje en cumplimiento</w:t>
      </w:r>
      <w:r>
        <w:t xml:space="preserve"> </w:t>
      </w:r>
      <w:r>
        <w:t xml:space="preserve">es alta – llevar la delantera en implementar todo el andamiaje legal/AML será un</w:t>
      </w:r>
      <w:r>
        <w:t xml:space="preserve"> </w:t>
      </w:r>
      <w:r>
        <w:rPr>
          <w:i/>
          <w:iCs/>
        </w:rPr>
        <w:t xml:space="preserve">moat</w:t>
      </w:r>
      <w:r>
        <w:t xml:space="preserve"> </w:t>
      </w:r>
      <w:r>
        <w:t xml:space="preserve">frente a nuevos entrantes que subestimen ese esfuerzo. Como mitigante a la replicabilidad, nos enfocaremos en</w:t>
      </w:r>
      <w:r>
        <w:t xml:space="preserve"> </w:t>
      </w:r>
      <w:r>
        <w:rPr>
          <w:b/>
          <w:bCs/>
        </w:rPr>
        <w:t xml:space="preserve">marca y reputación</w:t>
      </w:r>
      <w:r>
        <w:t xml:space="preserve">: ser vistos como “el proyecto serio” en un mar de potenciales imitadores confiere preferencia de los inversionistas. Adicionalmente, la estrategia de PachaNova es construir un</w:t>
      </w:r>
      <w:r>
        <w:t xml:space="preserve"> </w:t>
      </w:r>
      <w:r>
        <w:rPr>
          <w:b/>
          <w:bCs/>
        </w:rPr>
        <w:t xml:space="preserve">pipeline</w:t>
      </w:r>
      <w:r>
        <w:t xml:space="preserve">: ya se han identificado posibles terrenos adicionales (en la misma zona u otras con catalizadores similares) que podrían estructurarse en futuras emisiones si este resulta exitoso, creando incluso diversificación para los token holders (ej. token que combine varias propiedades). Esto sería una fase 2, pero la mencionamos para ilustrar que el</w:t>
      </w:r>
      <w:r>
        <w:t xml:space="preserve"> </w:t>
      </w:r>
      <w:r>
        <w:rPr>
          <w:i/>
          <w:iCs/>
        </w:rPr>
        <w:t xml:space="preserve">know-how</w:t>
      </w:r>
      <w:r>
        <w:t xml:space="preserve"> </w:t>
      </w:r>
      <w:r>
        <w:t xml:space="preserve">logrado con PachaNova se convertirá en plataforma de crecimiento, haciéndonos menos vulnerables a competidores tardíos.</w:t>
      </w:r>
    </w:p>
    <w:p>
      <w:pPr>
        <w:pStyle w:val="BodyText"/>
      </w:pPr>
      <w:r>
        <w:t xml:space="preserve">En resumen, el análisis de mercado nos brinda confianza en los</w:t>
      </w:r>
      <w:r>
        <w:t xml:space="preserve"> </w:t>
      </w:r>
      <w:r>
        <w:rPr>
          <w:b/>
          <w:bCs/>
        </w:rPr>
        <w:t xml:space="preserve">fundamentales de la tesis</w:t>
      </w:r>
      <w:r>
        <w:t xml:space="preserve">: el valor del suelo en Lima Sur debería apreciarse significativamente en 5 años si incluso una parte de los planes se concretan. PachaNova se asegura de</w:t>
      </w:r>
      <w:r>
        <w:t xml:space="preserve"> </w:t>
      </w:r>
      <w:r>
        <w:rPr>
          <w:b/>
          <w:bCs/>
        </w:rPr>
        <w:t xml:space="preserve">sustentar con datos oficiales</w:t>
      </w:r>
      <w:r>
        <w:t xml:space="preserve"> </w:t>
      </w:r>
      <w:r>
        <w:t xml:space="preserve">cada premisa y de</w:t>
      </w:r>
      <w:r>
        <w:t xml:space="preserve"> </w:t>
      </w:r>
      <w:r>
        <w:rPr>
          <w:b/>
          <w:bCs/>
        </w:rPr>
        <w:t xml:space="preserve">dimensionar correctamente la demanda</w:t>
      </w:r>
      <w:r>
        <w:t xml:space="preserve"> </w:t>
      </w:r>
      <w:r>
        <w:t xml:space="preserve">para que la colocación de tokens sea viable. La siguiente sección describirá el producto en sí – la plataforma tecnológica y operacional que permitirá ejecutar esta innovadora propuesta en la práctica.</w:t>
      </w:r>
    </w:p>
    <w:bookmarkEnd w:id="53"/>
    <w:bookmarkStart w:id="57" w:name="producto-y-plataforma-tecnológica"/>
    <w:p>
      <w:pPr>
        <w:pStyle w:val="Heading2"/>
      </w:pPr>
      <w:r>
        <w:t xml:space="preserve">Producto y Plataforma Tecnológica</w:t>
      </w:r>
    </w:p>
    <w:p>
      <w:pPr>
        <w:pStyle w:val="FirstParagraph"/>
      </w:pPr>
      <w:r>
        <w:rPr>
          <w:b/>
          <w:bCs/>
        </w:rPr>
        <w:t xml:space="preserve">Descripción del producto financiero:</w:t>
      </w:r>
      <w:r>
        <w:t xml:space="preserve"> </w:t>
      </w:r>
      <w:r>
        <w:t xml:space="preserve">El “producto” PachaNova es esencialmente un</w:t>
      </w:r>
      <w:r>
        <w:t xml:space="preserve"> </w:t>
      </w:r>
      <w:r>
        <w:rPr>
          <w:b/>
          <w:bCs/>
        </w:rPr>
        <w:t xml:space="preserve">token digital permisionado</w:t>
      </w:r>
      <w:r>
        <w:t xml:space="preserve"> </w:t>
      </w:r>
      <w:r>
        <w:t xml:space="preserve">respaldado por un activo inmobiliario. Cada token representa un derecho económico sobre 0.1 m² del terreno base, como ya establecido. Desde la perspectiva de un inversionista, comprar tokens PachaNova es análogo a</w:t>
      </w:r>
      <w:r>
        <w:t xml:space="preserve"> </w:t>
      </w:r>
      <w:r>
        <w:rPr>
          <w:b/>
          <w:bCs/>
        </w:rPr>
        <w:t xml:space="preserve">adquirir una participación fraccionaria</w:t>
      </w:r>
      <w:r>
        <w:t xml:space="preserve"> </w:t>
      </w:r>
      <w:r>
        <w:t xml:space="preserve">en un proyecto de plusvalía inmobiliaria de 5 años, con la diferencia de que esa participación viene en forma de activo digital transferible en vez de un documento físico. Se entrega al inversor un</w:t>
      </w:r>
      <w:r>
        <w:t xml:space="preserve"> </w:t>
      </w:r>
      <w:r>
        <w:rPr>
          <w:b/>
          <w:bCs/>
        </w:rPr>
        <w:t xml:space="preserve">dashboard en línea</w:t>
      </w:r>
      <w:r>
        <w:t xml:space="preserve"> </w:t>
      </w:r>
      <w:r>
        <w:t xml:space="preserve">donde puede ver sus tokens en custodia segura, el equivalente en m² que posee, y la valuación estimada actual de esos tokens según la última auditoría de valor. Además, podrá ver documentación relevante: informe de títulos del terreno, reportes de avance del tren/PDU, estados financieros simplificados del vehículo, etc. En resumen, aunque el trasfondo es complejo, para el usuario final queremos brindar una</w:t>
      </w:r>
      <w:r>
        <w:t xml:space="preserve"> </w:t>
      </w:r>
      <w:r>
        <w:rPr>
          <w:b/>
          <w:bCs/>
        </w:rPr>
        <w:t xml:space="preserve">experiencia de inversión lo más simple y transparente posible</w:t>
      </w:r>
      <w:r>
        <w:t xml:space="preserve">: invertir con unos clics, entender qué tiene y cómo evoluciona.</w:t>
      </w:r>
    </w:p>
    <w:p>
      <w:pPr>
        <w:pStyle w:val="BodyText"/>
      </w:pPr>
      <w:r>
        <w:rPr>
          <w:b/>
          <w:bCs/>
        </w:rPr>
        <w:t xml:space="preserve">Estandar ERC-3643 (tokens permisionados):</w:t>
      </w:r>
      <w:r>
        <w:t xml:space="preserve"> </w:t>
      </w:r>
      <w:r>
        <w:t xml:space="preserve">Los tokens PachaNova se emitirán en la</w:t>
      </w:r>
      <w:r>
        <w:t xml:space="preserve"> </w:t>
      </w:r>
      <w:r>
        <w:rPr>
          <w:b/>
          <w:bCs/>
        </w:rPr>
        <w:t xml:space="preserve">blockchain de Ethereum</w:t>
      </w:r>
      <w:r>
        <w:t xml:space="preserve">, siguiendo el estándar ERC-3643 (anteriormente conocido como T-REX por su impulsor, la firma Swiss Tokeny). A diferencia de un ERC-20 convencional (totalmente libre), el ERC-3643 incorpora controles que lo hacen ideal para activos regulados:</w:t>
      </w:r>
      <w:r>
        <w:t xml:space="preserve"> </w:t>
      </w:r>
      <w:r>
        <w:t xml:space="preserve">-</w:t>
      </w:r>
      <w:r>
        <w:t xml:space="preserve"> </w:t>
      </w:r>
      <w:r>
        <w:rPr>
          <w:b/>
          <w:bCs/>
        </w:rPr>
        <w:t xml:space="preserve">White-listing de direcciones:</w:t>
      </w:r>
      <w:r>
        <w:t xml:space="preserve"> </w:t>
      </w:r>
      <w:r>
        <w:t xml:space="preserve">Solo las direcciones (wallets) aprobadas por el administrador del token (en este caso, el vehículo fiduciario) pueden recibir y transferir los tokens. Esto significa que cada inversionista deberá registrarse y pasar controles (KYC/AML) para que su dirección sea habilitada en el contrato.</w:t>
      </w:r>
      <w:r>
        <w:t xml:space="preserve"> </w:t>
      </w:r>
      <w:r>
        <w:t xml:space="preserve">-</w:t>
      </w:r>
      <w:r>
        <w:t xml:space="preserve"> </w:t>
      </w:r>
      <w:r>
        <w:rPr>
          <w:b/>
          <w:bCs/>
        </w:rPr>
        <w:t xml:space="preserve">Reglas de distribución integradas:</w:t>
      </w:r>
      <w:r>
        <w:t xml:space="preserve"> </w:t>
      </w:r>
      <w:r>
        <w:t xml:space="preserve">Se puede programar en el contrato límites como número máximo de tokens por inversor, o bloquear transferencias hacia jurisdicciones sancionadas, etc., y el contrato los hará cumplir automáticamente.</w:t>
      </w:r>
      <w:r>
        <w:t xml:space="preserve"> </w:t>
      </w:r>
      <w:r>
        <w:t xml:space="preserve">-</w:t>
      </w:r>
      <w:r>
        <w:t xml:space="preserve"> </w:t>
      </w:r>
      <w:r>
        <w:rPr>
          <w:b/>
          <w:bCs/>
        </w:rPr>
        <w:t xml:space="preserve">Funciones de congelamiento y revocación:</w:t>
      </w:r>
      <w:r>
        <w:t xml:space="preserve"> </w:t>
      </w:r>
      <w:r>
        <w:t xml:space="preserve">En caso de pérdida de clave privada o detección de actividades ilícitas, el administrador puede</w:t>
      </w:r>
      <w:r>
        <w:t xml:space="preserve"> </w:t>
      </w:r>
      <w:r>
        <w:rPr>
          <w:i/>
          <w:iCs/>
        </w:rPr>
        <w:t xml:space="preserve">congelar</w:t>
      </w:r>
      <w:r>
        <w:t xml:space="preserve"> </w:t>
      </w:r>
      <w:r>
        <w:t xml:space="preserve">temporalmente los tokens de cierta dirección, e incluso reemitirlos a una nueva dirección previa validación (esto es crucial para dar seguridad a inversionistas institucionales que temen que si pierden una wallet perderían su inversión para siempre; con ERC-3643 hay mecanismos de recuperación bajo procedimientos estrictos).</w:t>
      </w:r>
      <w:r>
        <w:t xml:space="preserve"> </w:t>
      </w:r>
      <w:r>
        <w:t xml:space="preserve">-</w:t>
      </w:r>
      <w:r>
        <w:t xml:space="preserve"> </w:t>
      </w:r>
      <w:r>
        <w:rPr>
          <w:b/>
          <w:bCs/>
        </w:rPr>
        <w:t xml:space="preserve">Roles de control separados:</w:t>
      </w:r>
      <w:r>
        <w:t xml:space="preserve"> </w:t>
      </w:r>
      <w:r>
        <w:t xml:space="preserve">El estándar permite tener un</w:t>
      </w:r>
      <w:r>
        <w:t xml:space="preserve"> </w:t>
      </w:r>
      <w:r>
        <w:rPr>
          <w:i/>
          <w:iCs/>
        </w:rPr>
        <w:t xml:space="preserve">Compliance Operator</w:t>
      </w:r>
      <w:r>
        <w:t xml:space="preserve"> </w:t>
      </w:r>
      <w:r>
        <w:t xml:space="preserve">(que aprueba direcciones) y un</w:t>
      </w:r>
      <w:r>
        <w:t xml:space="preserve"> </w:t>
      </w:r>
      <w:r>
        <w:rPr>
          <w:i/>
          <w:iCs/>
        </w:rPr>
        <w:t xml:space="preserve">Token Operator</w:t>
      </w:r>
      <w:r>
        <w:t xml:space="preserve"> </w:t>
      </w:r>
      <w:r>
        <w:t xml:space="preserve">(que puede ejecutar ciertas acciones administrativas) separados. En PachaNova, se designará al fiduciario y/o a un ente de compliance como operadores, garantizando que los promotores no puedan manipular unilateralmente las reglas sin supervisión.</w:t>
      </w:r>
    </w:p>
    <w:p>
      <w:pPr>
        <w:pStyle w:val="BodyText"/>
      </w:pPr>
      <w:r>
        <w:t xml:space="preserve">En términos más sencillos, ERC-3643 nos da un</w:t>
      </w:r>
      <w:r>
        <w:t xml:space="preserve"> </w:t>
      </w:r>
      <w:r>
        <w:rPr>
          <w:b/>
          <w:bCs/>
        </w:rPr>
        <w:t xml:space="preserve">token “con candados”</w:t>
      </w:r>
      <w:r>
        <w:t xml:space="preserve">: solo viaja entre manos autorizadas y bajo condiciones preestablecidas, alineándose con la necesidad de mantener la oferta privada y cumplir regulaciones financieras. Esto nos permite argumentar ante reguladores y bancos que, aunque usemos blockchain pública, lo hacemos de manera</w:t>
      </w:r>
      <w:r>
        <w:t xml:space="preserve"> </w:t>
      </w:r>
      <w:r>
        <w:rPr>
          <w:i/>
          <w:iCs/>
        </w:rPr>
        <w:t xml:space="preserve">permissioned</w:t>
      </w:r>
      <w:r>
        <w:t xml:space="preserve">, es decir, con el mismo control que tendría un registro privado. Así, esperamos mayor</w:t>
      </w:r>
      <w:r>
        <w:t xml:space="preserve"> </w:t>
      </w:r>
      <w:r>
        <w:rPr>
          <w:b/>
          <w:bCs/>
        </w:rPr>
        <w:t xml:space="preserve">aceptación institucional</w:t>
      </w:r>
      <w:r>
        <w:t xml:space="preserve"> </w:t>
      </w:r>
      <w:r>
        <w:t xml:space="preserve">(de hecho ya existen proyectos en Europa usando este estándar con éxito en tokenización de bonos y fondos).</w:t>
      </w:r>
    </w:p>
    <w:p>
      <w:pPr>
        <w:pStyle w:val="BodyText"/>
      </w:pPr>
      <w:r>
        <w:rPr>
          <w:b/>
          <w:bCs/>
        </w:rPr>
        <w:t xml:space="preserve">Arquitectura de la plataforma PachaNova:</w:t>
      </w:r>
      <w:r>
        <w:t xml:space="preserve"> </w:t>
      </w:r>
      <w:r>
        <w:t xml:space="preserve">La plataforma constará de varios componentes integrados:</w:t>
      </w:r>
      <w:r>
        <w:t xml:space="preserve"> </w:t>
      </w:r>
      <w:r>
        <w:t xml:space="preserve">-</w:t>
      </w:r>
      <w:r>
        <w:t xml:space="preserve"> </w:t>
      </w:r>
      <w:r>
        <w:rPr>
          <w:b/>
          <w:bCs/>
        </w:rPr>
        <w:t xml:space="preserve">Portal web de inversores:</w:t>
      </w:r>
      <w:r>
        <w:t xml:space="preserve"> </w:t>
      </w:r>
      <w:r>
        <w:t xml:space="preserve">Donde los usuarios se registran, realizan su proceso de KYC, visualizan oportunidades de inversión (e.g. la venta actual de tokens PachaNova), y ejecutan órdenes de suscripción o venta secundaria. Incluirá secciones informativas (prospecto, documentos legales) y un centro de ayuda.</w:t>
      </w:r>
      <w:r>
        <w:t xml:space="preserve"> </w:t>
      </w:r>
      <w:r>
        <w:t xml:space="preserve">-</w:t>
      </w:r>
      <w:r>
        <w:t xml:space="preserve"> </w:t>
      </w:r>
      <w:r>
        <w:rPr>
          <w:b/>
          <w:bCs/>
        </w:rPr>
        <w:t xml:space="preserve">Módulo de KYC/AML:</w:t>
      </w:r>
      <w:r>
        <w:t xml:space="preserve"> </w:t>
      </w:r>
      <w:r>
        <w:t xml:space="preserve">Un sistema (propio o de un proveedor tercerizado vía API) que gestione la verificación de identidad, validación de documentos (DNI/Pasaporte), revisión en listas de sanciones y perfil de riesgo de cada nuevo inversor. Este módulo asignará una calificación y determinará si se aprueba la incorporación del cliente. Adicionalmente, habrá monitorización continua (por ejemplo, si un cliente es agregado a la lista OFAC posteriormente, el sistema lo detectará).</w:t>
      </w:r>
      <w:r>
        <w:t xml:space="preserve"> </w:t>
      </w:r>
      <w:r>
        <w:t xml:space="preserve">-</w:t>
      </w:r>
      <w:r>
        <w:t xml:space="preserve"> </w:t>
      </w:r>
      <w:r>
        <w:rPr>
          <w:b/>
          <w:bCs/>
        </w:rPr>
        <w:t xml:space="preserve">Cartera digital/custodia:</w:t>
      </w:r>
      <w:r>
        <w:t xml:space="preserve"> </w:t>
      </w:r>
      <w:r>
        <w:t xml:space="preserve">Para la tenencia de tokens, se optará por un modelo híbrido: los inversionistas institucionales o tech-savvy podrán usar sus propias</w:t>
      </w:r>
      <w:r>
        <w:t xml:space="preserve"> </w:t>
      </w:r>
      <w:r>
        <w:rPr>
          <w:i/>
          <w:iCs/>
        </w:rPr>
        <w:t xml:space="preserve">wallets Ethereum</w:t>
      </w:r>
      <w:r>
        <w:t xml:space="preserve"> </w:t>
      </w:r>
      <w:r>
        <w:t xml:space="preserve">(metamask u otras) con contrato de permission, mientras que para inversionistas retail se ofrecerá una</w:t>
      </w:r>
      <w:r>
        <w:t xml:space="preserve"> </w:t>
      </w:r>
      <w:r>
        <w:rPr>
          <w:b/>
          <w:bCs/>
        </w:rPr>
        <w:t xml:space="preserve">custodia en nombre del cliente</w:t>
      </w:r>
      <w:r>
        <w:t xml:space="preserve"> </w:t>
      </w:r>
      <w:r>
        <w:t xml:space="preserve">(el fiduciario puede actuar como custodio o se contrata a un custodio licenciado de activos virtuales). Esto porque no todos querrán lidiar con claves privadas. En cualquiera de los casos, el contrato del token solo habilitará direcciones whitelisteadas, ya sea individuales o omnibus del custodio.</w:t>
      </w:r>
      <w:r>
        <w:t xml:space="preserve"> </w:t>
      </w:r>
      <w:r>
        <w:t xml:space="preserve">-</w:t>
      </w:r>
      <w:r>
        <w:t xml:space="preserve"> </w:t>
      </w:r>
      <w:r>
        <w:rPr>
          <w:b/>
          <w:bCs/>
        </w:rPr>
        <w:t xml:space="preserve">Módulo transaccional blockchain:</w:t>
      </w:r>
      <w:r>
        <w:t xml:space="preserve"> </w:t>
      </w:r>
      <w:r>
        <w:t xml:space="preserve">Aquí reside el</w:t>
      </w:r>
      <w:r>
        <w:t xml:space="preserve"> </w:t>
      </w:r>
      <w:r>
        <w:rPr>
          <w:i/>
          <w:iCs/>
        </w:rPr>
        <w:t xml:space="preserve">smart contract</w:t>
      </w:r>
      <w:r>
        <w:t xml:space="preserve"> </w:t>
      </w:r>
      <w:r>
        <w:t xml:space="preserve">del token, desplegado en Ethereum mainnet o en una</w:t>
      </w:r>
      <w:r>
        <w:t xml:space="preserve"> </w:t>
      </w:r>
      <w:r>
        <w:rPr>
          <w:b/>
          <w:bCs/>
        </w:rPr>
        <w:t xml:space="preserve">red de capa 2</w:t>
      </w:r>
      <w:r>
        <w:t xml:space="preserve"> </w:t>
      </w:r>
      <w:r>
        <w:t xml:space="preserve">(se evaluará el trade-off: mainnet ofrece máxima seguridad pero fees altos; una L2 como Polygon podría ser más barata. Por ahora se inclina por Ethereum mainnet dado que los volúmenes no serán enormes y queremos la seguridad top-tier). Este contrato implementa ERC-3643 con las reglas definidas (limite de holders, etc.). También se desplegará un contrato inteligente para manejar la lógica de preventa y emisiones escalonadas, aunque eso podría hacerse off-chain con asignaciones directas.</w:t>
      </w:r>
      <w:r>
        <w:t xml:space="preserve"> </w:t>
      </w:r>
      <w:r>
        <w:t xml:space="preserve">-</w:t>
      </w:r>
      <w:r>
        <w:t xml:space="preserve"> </w:t>
      </w:r>
      <w:r>
        <w:rPr>
          <w:b/>
          <w:bCs/>
        </w:rPr>
        <w:t xml:space="preserve">Integración Fiat–Crypto (on/off ramp):</w:t>
      </w:r>
      <w:r>
        <w:t xml:space="preserve"> </w:t>
      </w:r>
      <w:r>
        <w:t xml:space="preserve">Dado que los inversores aportarán en dólares o soles, necesitamos integraciones para convertir esos aportes a la blockchain. Lo más probable es trabajar con un</w:t>
      </w:r>
      <w:r>
        <w:t xml:space="preserve"> </w:t>
      </w:r>
      <w:r>
        <w:rPr>
          <w:b/>
          <w:bCs/>
        </w:rPr>
        <w:t xml:space="preserve">stablecoin USD (ej. USDC)</w:t>
      </w:r>
      <w:r>
        <w:t xml:space="preserve">: el inversor hace transferencia bancaria a una cuenta del fiduciario, y la plataforma emite la cantidad equivalente en USDC en su wallet, que inmediatamente se usa para comprar los tokens en contrato. Alternativamente, podríamos obviar stablecoin y registrar la compra off-chain asignando tokens contra fiat recibido, pero preferimos mantener rastro en blockchain de cada token emitido (asignando tal vez un hash de la transacción fiat). Este es un frente aún en definición. Por regulación, cualquier conversión cripto-fiat debe hacerse con un proveedor registrado (exchanges locales o internacionales). Evaluaremos opciones, incluso la posibilidad de no usar stablecoins y más bien</w:t>
      </w:r>
      <w:r>
        <w:t xml:space="preserve"> </w:t>
      </w:r>
      <w:r>
        <w:rPr>
          <w:i/>
          <w:iCs/>
        </w:rPr>
        <w:t xml:space="preserve">tokenizar</w:t>
      </w:r>
      <w:r>
        <w:t xml:space="preserve"> </w:t>
      </w:r>
      <w:r>
        <w:t xml:space="preserve">la transferencia mediante un oráculo, pero eso agrega complejidad. Se priorizará simplicidad: probablemente la fase 1 es puramente off-chain (los tokens se mandan manualmente tras confirmación de pago fiat), y en fases siguientes se automatiza con stablecoins.</w:t>
      </w:r>
      <w:r>
        <w:t xml:space="preserve"> </w:t>
      </w:r>
      <w:r>
        <w:t xml:space="preserve">-</w:t>
      </w:r>
      <w:r>
        <w:t xml:space="preserve"> </w:t>
      </w:r>
      <w:r>
        <w:rPr>
          <w:b/>
          <w:bCs/>
        </w:rPr>
        <w:t xml:space="preserve">Módulo de reporte y auditoría:</w:t>
      </w:r>
      <w:r>
        <w:t xml:space="preserve"> </w:t>
      </w:r>
      <w:r>
        <w:t xml:space="preserve">Este componente consolida la información para monitorear y auditar el sistema. Por un lado, registrará cada transacción de token, asociándola a un ID de inversor (para poder generar reportes AML, como el</w:t>
      </w:r>
      <w:r>
        <w:t xml:space="preserve"> </w:t>
      </w:r>
      <w:r>
        <w:rPr>
          <w:i/>
          <w:iCs/>
        </w:rPr>
        <w:t xml:space="preserve">Registro de Operaciones</w:t>
      </w:r>
      <w:r>
        <w:t xml:space="preserve"> </w:t>
      </w:r>
      <w:r>
        <w:t xml:space="preserve">que exige SBS</w:t>
      </w:r>
      <w:hyperlink r:id="rId31">
        <w:r>
          <w:rPr>
            <w:rStyle w:val="Hyperlink"/>
          </w:rPr>
          <w:t xml:space="preserve">[10]</w:t>
        </w:r>
      </w:hyperlink>
      <w:hyperlink r:id="rId54">
        <w:r>
          <w:rPr>
            <w:rStyle w:val="Hyperlink"/>
          </w:rPr>
          <w:t xml:space="preserve">[31]</w:t>
        </w:r>
      </w:hyperlink>
      <w:r>
        <w:t xml:space="preserve">). Por otro lado, proveerá interfaces para que auditores externos (por ejemplo, la firma que haga la auditoría de contratos) puedan ver el estado del contrato, revisar logs, etc. Este módulo también generará reportes periódicos a inversionistas: E.g., un</w:t>
      </w:r>
      <w:r>
        <w:t xml:space="preserve"> </w:t>
      </w:r>
      <w:r>
        <w:rPr>
          <w:i/>
          <w:iCs/>
        </w:rPr>
        <w:t xml:space="preserve">fact sheet</w:t>
      </w:r>
      <w:r>
        <w:t xml:space="preserve"> </w:t>
      </w:r>
      <w:r>
        <w:t xml:space="preserve">semestral con la valuación actual del token, número de holders, progreso de obras del tren (con fuentes oficiales), etc. La transparencia continua será clave para mantener la confianza durante 5 años sin liquidez plena.</w:t>
      </w:r>
      <w:r>
        <w:t xml:space="preserve"> </w:t>
      </w:r>
      <w:r>
        <w:t xml:space="preserve">-</w:t>
      </w:r>
      <w:r>
        <w:t xml:space="preserve"> </w:t>
      </w:r>
      <w:r>
        <w:rPr>
          <w:b/>
          <w:bCs/>
        </w:rPr>
        <w:t xml:space="preserve">Controles de seguridad:</w:t>
      </w:r>
      <w:r>
        <w:t xml:space="preserve"> </w:t>
      </w:r>
      <w:r>
        <w:t xml:space="preserve">La plataforma incorporará autenticación robusta (2FA para inversores), encriptación de datos personales sensibles (KYC), y pruebas de penetración antes del lanzamiento. Además, como se mencionó,</w:t>
      </w:r>
      <w:r>
        <w:t xml:space="preserve"> </w:t>
      </w:r>
      <w:r>
        <w:rPr>
          <w:b/>
          <w:bCs/>
        </w:rPr>
        <w:t xml:space="preserve">se requerirá auditoría de los smart contracts</w:t>
      </w:r>
      <w:r>
        <w:t xml:space="preserve"> </w:t>
      </w:r>
      <w:r>
        <w:t xml:space="preserve">por empresas especializadas antes de permitir operaciones (ver sección de riesgos). Un factor a nuestro favor es que usaremos estándares probados (ERC-3643 tiene contratos validados). Aun así, la personalización (p.ej., agregar alguna lógica de pausar emisiones) será auditada.</w:t>
      </w:r>
    </w:p>
    <w:p>
      <w:pPr>
        <w:pStyle w:val="BodyText"/>
      </w:pPr>
      <w:r>
        <w:rPr>
          <w:b/>
          <w:bCs/>
        </w:rPr>
        <w:t xml:space="preserve">Proceso de suscripción (UX):</w:t>
      </w:r>
      <w:r>
        <w:t xml:space="preserve"> </w:t>
      </w:r>
      <w:r>
        <w:t xml:space="preserve">Imaginemos el recorrido de un inversor persona natural:</w:t>
      </w:r>
      <w:r>
        <w:t xml:space="preserve"> </w:t>
      </w:r>
      <w:r>
        <w:t xml:space="preserve">1. Ingresa a la web PachaNova, revisa información del proyecto (resumen ejecutivo público).</w:t>
      </w:r>
      <w:r>
        <w:t xml:space="preserve"> </w:t>
      </w:r>
      <w:r>
        <w:t xml:space="preserve">2. Se registra creando usuario, y completa un formulario KYC (sube su DNI, prueba de dirección, etc.).</w:t>
      </w:r>
      <w:r>
        <w:t xml:space="preserve"> </w:t>
      </w:r>
      <w:r>
        <w:t xml:space="preserve">3. Tras unos días (o instantáneamente si usamos un proveedor KYC automatizado), recibe confirmación de que fue aprobado como inversor elegible. Ahora puede ver la “Oportunidad PachaNova – Preventa 10%” en el portal.</w:t>
      </w:r>
      <w:r>
        <w:t xml:space="preserve"> </w:t>
      </w:r>
      <w:r>
        <w:t xml:space="preserve">4. Indica cuántos tokens desea comprar (ej. 5,000 tokens = 500 m², a US$8.40/token total US$42,000).</w:t>
      </w:r>
      <w:r>
        <w:t xml:space="preserve"> </w:t>
      </w:r>
      <w:r>
        <w:t xml:space="preserve">5. El sistema le genera una orden y las instrucciones de pago (por ahora transferencia bancaria a la cuenta del fideicomiso).</w:t>
      </w:r>
      <w:r>
        <w:t xml:space="preserve"> </w:t>
      </w:r>
      <w:r>
        <w:t xml:space="preserve">6. Él transfiere los fondos y notifica (sube voucher). El equipo de PachaNova verifica la recepción.</w:t>
      </w:r>
      <w:r>
        <w:t xml:space="preserve"> </w:t>
      </w:r>
      <w:r>
        <w:t xml:space="preserve">7. Al confirmarse el pago, se ejecuta la asignación: los</w:t>
      </w:r>
      <w:r>
        <w:t xml:space="preserve"> </w:t>
      </w:r>
      <w:r>
        <w:rPr>
          <w:b/>
          <w:bCs/>
        </w:rPr>
        <w:t xml:space="preserve">tokens se liberan</w:t>
      </w:r>
      <w:r>
        <w:t xml:space="preserve"> </w:t>
      </w:r>
      <w:r>
        <w:t xml:space="preserve">a su wallet (si tiene propia) o se registra su tenencia bajo la custodia.</w:t>
      </w:r>
      <w:r>
        <w:t xml:space="preserve"> </w:t>
      </w:r>
      <w:r>
        <w:t xml:space="preserve">8. El inversor ve en su dashboard la posición actualizada: “5,000 tokens PachaNova (0.1 m² c/u) – valuados a US$8.40/token (Preventa) – valor total US$42,000”.</w:t>
      </w:r>
      <w:r>
        <w:t xml:space="preserve"> </w:t>
      </w:r>
      <w:r>
        <w:t xml:space="preserve">9. Pasan los meses. Se actualiza la valuación tras Auditoría Año1 a $120/m², el dashboard ahora muestra “valuación referencial US$12.00/token – valor total US$60,000” (sin que él haya comprado más, reflejando ganancia latente de plusvalía).</w:t>
      </w:r>
      <w:r>
        <w:t xml:space="preserve"> </w:t>
      </w:r>
      <w:r>
        <w:t xml:space="preserve">10. Si quisiera, podría vender alguna cantidad: ingresa una orden de venta en el mercado interno (p.ej., 1,000 tokens a US$12.00). La plataforma encontraría un comprador (matching) y procedería a realizar la transferencia P2P una vez el comprador deposite los fondos. Tras la transacción, su posición baja a 4,000 tokens y recibe los fondos netos en su cuenta.</w:t>
      </w:r>
    </w:p>
    <w:p>
      <w:pPr>
        <w:pStyle w:val="BodyText"/>
      </w:pPr>
      <w:r>
        <w:t xml:space="preserve">Este flujo ilustra la funcionalidad integral: registro, KYC, suscripción, custodia, revalorización informativa, y eventual liquidez secundaria. Todo ello, naturalmente, respaldado por contratos legales: cada inversionista deberá firmar electrónicamente un</w:t>
      </w:r>
      <w:r>
        <w:t xml:space="preserve"> </w:t>
      </w:r>
      <w:r>
        <w:rPr>
          <w:b/>
          <w:bCs/>
        </w:rPr>
        <w:t xml:space="preserve">Acuerdo de Suscripción</w:t>
      </w:r>
      <w:r>
        <w:t xml:space="preserve"> </w:t>
      </w:r>
      <w:r>
        <w:t xml:space="preserve">donde reconoce los términos (similar a un Subscription Agreement de un fondo privado) y el reglamento del fideicomiso que detallará derechos y obligaciones. Estos documentos se incorporarán en la plataforma para firma digital.</w:t>
      </w:r>
    </w:p>
    <w:p>
      <w:pPr>
        <w:pStyle w:val="BodyText"/>
      </w:pPr>
      <w:r>
        <w:rPr>
          <w:b/>
          <w:bCs/>
        </w:rPr>
        <w:t xml:space="preserve">Cumplimiento normativo incorporado (compliance-by-design):</w:t>
      </w:r>
      <w:r>
        <w:t xml:space="preserve"> </w:t>
      </w:r>
      <w:r>
        <w:t xml:space="preserve">Como ya se ha repetido, PachaNova operará dentro del marco legal peruano y mejores prácticas internacionales. De hecho, pretendemos que la</w:t>
      </w:r>
      <w:r>
        <w:t xml:space="preserve"> </w:t>
      </w:r>
      <w:r>
        <w:rPr>
          <w:b/>
          <w:bCs/>
        </w:rPr>
        <w:t xml:space="preserve">plataforma sea un caso ejemplar de implementación de la nueva normativa PSAV</w:t>
      </w:r>
      <w:r>
        <w:t xml:space="preserve">. Algunos aspectos de cumplimiento integrados:</w:t>
      </w:r>
      <w:r>
        <w:t xml:space="preserve"> </w:t>
      </w:r>
      <w:r>
        <w:t xml:space="preserve">-</w:t>
      </w:r>
      <w:r>
        <w:t xml:space="preserve"> </w:t>
      </w:r>
      <w:r>
        <w:rPr>
          <w:b/>
          <w:bCs/>
        </w:rPr>
        <w:t xml:space="preserve">Prevención de lavado (PLAFT):</w:t>
      </w:r>
      <w:r>
        <w:t xml:space="preserve"> </w:t>
      </w:r>
      <w:r>
        <w:t xml:space="preserve">Todos los inversionistas son sujetos a KYC; se llevará un registro de operaciones superior a umbrales; se reportará a UIF cualquier operación sospechosa (tenemos que capacitarnos en detectar patrones inusuales, ej. alguien comprando tokens con dinero de origen incierto). La política AML completa se desarrollará antes del lanzamiento con consultores especializados, alineada a la Resolución SBS 2648-2024</w:t>
      </w:r>
      <w:hyperlink r:id="rId55">
        <w:r>
          <w:rPr>
            <w:rStyle w:val="Hyperlink"/>
          </w:rPr>
          <w:t xml:space="preserve">[32]</w:t>
        </w:r>
      </w:hyperlink>
      <w:hyperlink r:id="rId56">
        <w:r>
          <w:rPr>
            <w:rStyle w:val="Hyperlink"/>
          </w:rPr>
          <w:t xml:space="preserve">[33]</w:t>
        </w:r>
      </w:hyperlink>
      <w:r>
        <w:t xml:space="preserve">. Se designará un</w:t>
      </w:r>
      <w:r>
        <w:t xml:space="preserve"> </w:t>
      </w:r>
      <w:r>
        <w:rPr>
          <w:b/>
          <w:bCs/>
        </w:rPr>
        <w:t xml:space="preserve">Oficial de Cumplimiento</w:t>
      </w:r>
      <w:r>
        <w:t xml:space="preserve"> </w:t>
      </w:r>
      <w:r>
        <w:t xml:space="preserve">dentro del equipo (posiblemente tercerizado en la fase inicial) que supervise esto.</w:t>
      </w:r>
      <w:r>
        <w:t xml:space="preserve"> </w:t>
      </w:r>
      <w:r>
        <w:t xml:space="preserve">-</w:t>
      </w:r>
      <w:r>
        <w:t xml:space="preserve"> </w:t>
      </w:r>
      <w:r>
        <w:rPr>
          <w:b/>
          <w:bCs/>
        </w:rPr>
        <w:t xml:space="preserve">Protección al inversionista minorista:</w:t>
      </w:r>
      <w:r>
        <w:t xml:space="preserve"> </w:t>
      </w:r>
      <w:r>
        <w:t xml:space="preserve">Aunque apuntamos a inversores calificados, igual se adoptarán prácticas de disclosure y conducta que la SMV exigiría si fuera oferta pública. Ejemplo: se presentará un</w:t>
      </w:r>
      <w:r>
        <w:t xml:space="preserve"> </w:t>
      </w:r>
      <w:r>
        <w:rPr>
          <w:b/>
          <w:bCs/>
        </w:rPr>
        <w:t xml:space="preserve">documento informativo</w:t>
      </w:r>
      <w:r>
        <w:t xml:space="preserve"> </w:t>
      </w:r>
      <w:r>
        <w:t xml:space="preserve">estilo prospecto breve, se dará periodo de “cooling-off” (unos días para retractarse si lo desea después de suscribir), se mantendrá un canal de consultas y reclamos accesible. Estas cosas no son obligatorias legalmente para oferta privada, pero las implementaremos para generar confianza y reputación.</w:t>
      </w:r>
      <w:r>
        <w:t xml:space="preserve"> </w:t>
      </w:r>
      <w:r>
        <w:t xml:space="preserve">-</w:t>
      </w:r>
      <w:r>
        <w:t xml:space="preserve"> </w:t>
      </w:r>
      <w:r>
        <w:rPr>
          <w:b/>
          <w:bCs/>
        </w:rPr>
        <w:t xml:space="preserve">Custodia segregada de fondos:</w:t>
      </w:r>
      <w:r>
        <w:t xml:space="preserve"> </w:t>
      </w:r>
      <w:r>
        <w:t xml:space="preserve">El dinero de los inversionistas no será tocado por PachaNova (empresa promotora) directamente; irá al fideicomiso o cuenta del vehículo. Esto aisla los fondos de cualquier problema de la empresa promotora. De hecho, la empresa promotora actuará solo como prestadora de servicios de administración al fideicomiso, cobrando un fee, pero no mezclará sus finanzas con las del proyecto.</w:t>
      </w:r>
      <w:r>
        <w:t xml:space="preserve"> </w:t>
      </w:r>
      <w:r>
        <w:t xml:space="preserve">-</w:t>
      </w:r>
      <w:r>
        <w:t xml:space="preserve"> </w:t>
      </w:r>
      <w:r>
        <w:rPr>
          <w:b/>
          <w:bCs/>
        </w:rPr>
        <w:t xml:space="preserve">Contrato claro de token:</w:t>
      </w:r>
      <w:r>
        <w:t xml:space="preserve"> </w:t>
      </w:r>
      <w:r>
        <w:t xml:space="preserve">Se definirá legalmente la naturaleza del token. Una ruta probable es considerarlo un</w:t>
      </w:r>
      <w:r>
        <w:t xml:space="preserve"> </w:t>
      </w:r>
      <w:r>
        <w:rPr>
          <w:b/>
          <w:bCs/>
        </w:rPr>
        <w:t xml:space="preserve">valor representativo de derechos crediticios o participativos</w:t>
      </w:r>
      <w:r>
        <w:t xml:space="preserve">, emitido bajo una</w:t>
      </w:r>
      <w:r>
        <w:t xml:space="preserve"> </w:t>
      </w:r>
      <w:r>
        <w:rPr>
          <w:b/>
          <w:bCs/>
        </w:rPr>
        <w:t xml:space="preserve">oferta privada</w:t>
      </w:r>
      <w:r>
        <w:t xml:space="preserve"> </w:t>
      </w:r>
      <w:r>
        <w:t xml:space="preserve">exenta de registro según la Ley del Mercado de Valores (aplicaríamos la exoneración por menos de 100 inversionistas, o por inversionistas institucionales, dependiendo de cómo estructuremos la distribución). Otra vía es enmarcarlo contractualmente como un</w:t>
      </w:r>
      <w:r>
        <w:t xml:space="preserve"> </w:t>
      </w:r>
      <w:r>
        <w:rPr>
          <w:b/>
          <w:bCs/>
        </w:rPr>
        <w:t xml:space="preserve">derecho contractual sui generis</w:t>
      </w:r>
      <w:r>
        <w:t xml:space="preserve"> </w:t>
      </w:r>
      <w:r>
        <w:t xml:space="preserve">equiparable a los fideicomisos de inversión. Este trabajo se plasmará en la</w:t>
      </w:r>
      <w:r>
        <w:t xml:space="preserve"> </w:t>
      </w:r>
      <w:r>
        <w:rPr>
          <w:i/>
          <w:iCs/>
        </w:rPr>
        <w:t xml:space="preserve">Opinión Legal Regulatoria</w:t>
      </w:r>
      <w:r>
        <w:t xml:space="preserve"> </w:t>
      </w:r>
      <w:r>
        <w:t xml:space="preserve">que se añadirá como anexo (ver CPs). Lo esencial es dejar establecido que</w:t>
      </w:r>
      <w:r>
        <w:t xml:space="preserve"> </w:t>
      </w:r>
      <w:r>
        <w:rPr>
          <w:b/>
          <w:bCs/>
        </w:rPr>
        <w:t xml:space="preserve">no se trata de un valor mobiliario público</w:t>
      </w:r>
      <w:r>
        <w:t xml:space="preserve"> </w:t>
      </w:r>
      <w:r>
        <w:t xml:space="preserve">y que los tenedores entienden que no tienen protección del ámbito público (CONASEV/SMV).</w:t>
      </w:r>
      <w:r>
        <w:t xml:space="preserve"> </w:t>
      </w:r>
      <w:r>
        <w:t xml:space="preserve">-</w:t>
      </w:r>
      <w:r>
        <w:t xml:space="preserve"> </w:t>
      </w:r>
      <w:r>
        <w:rPr>
          <w:b/>
          <w:bCs/>
        </w:rPr>
        <w:t xml:space="preserve">Tributación:</w:t>
      </w:r>
      <w:r>
        <w:t xml:space="preserve"> </w:t>
      </w:r>
      <w:r>
        <w:t xml:space="preserve">Se analizarán las implicancias tributarias para los inversionistas y para el vehículo. Preliminarmente: la venta del terreno al año 5 generará una ganancia de capital imponible (impuesto a la renta) ya sea en el fideicomiso o SPV; sin embargo, podrían aplicarse exoneraciones si el fideicomiso se considera un vehículo de inversión pas-through (por ejemplo, fideicomisos de titulización en Perú pagan 0% y transfieren la carga al inversionista). Se evaluará estructurar bajo un régimen de fideicomiso de inversión inmobiliaria para eficiencia. En cuanto a los inversionistas individuales: la plusvalía recibida podría considerarse ganancia de capital para ellos, potencialmente exonerada si son no domiciliados y el activo es un valor emitido en Perú (esto requiere confirmación legal). Durante los 5 años, no hay “rentas” distribuidas, así que no habría flujos afectos hasta la liquidación final. Este tema se mantiene como</w:t>
      </w:r>
      <w:r>
        <w:t xml:space="preserve"> </w:t>
      </w:r>
      <w:r>
        <w:rPr>
          <w:i/>
          <w:iCs/>
        </w:rPr>
        <w:t xml:space="preserve">pendiente a validar</w:t>
      </w:r>
      <w:r>
        <w:t xml:space="preserve"> </w:t>
      </w:r>
      <w:r>
        <w:t xml:space="preserve">con tributaristas, y se transparentará el tratamiento final decidido.</w:t>
      </w:r>
      <w:r>
        <w:t xml:space="preserve"> </w:t>
      </w:r>
      <w:r>
        <w:t xml:space="preserve">-</w:t>
      </w:r>
      <w:r>
        <w:t xml:space="preserve"> </w:t>
      </w:r>
      <w:r>
        <w:rPr>
          <w:b/>
          <w:bCs/>
        </w:rPr>
        <w:t xml:space="preserve">Consideraciones legales internacionales:</w:t>
      </w:r>
      <w:r>
        <w:t xml:space="preserve"> </w:t>
      </w:r>
      <w:r>
        <w:t xml:space="preserve">Si inversores del exterior participan, habrá que cumplir regulaciones de sus países (ej. Reg D si algún estadounidense, etc.) o limitar su ingreso. El token, al ser permisionado, nos permite vetar direcciones de ciertos países (por ejemplo, es posible que decidamos</w:t>
      </w:r>
      <w:r>
        <w:t xml:space="preserve"> </w:t>
      </w:r>
      <w:r>
        <w:rPr>
          <w:i/>
          <w:iCs/>
        </w:rPr>
        <w:t xml:space="preserve">no aceptar inversionistas de EE.UU.</w:t>
      </w:r>
      <w:r>
        <w:t xml:space="preserve"> </w:t>
      </w:r>
      <w:r>
        <w:t xml:space="preserve">para no caer bajo SEC, a menos que entren por Reg D/506c vía un acuerdo separado). Estas decisiones formarán parte del “Memo de Posicionamiento Regulatorio” que definirá el perímetro de la oferta (ver CPs).</w:t>
      </w:r>
    </w:p>
    <w:p>
      <w:pPr>
        <w:pStyle w:val="BodyText"/>
      </w:pPr>
      <w:r>
        <w:t xml:space="preserve">En conjunto, el diseño del producto y plataforma de PachaNova busca entregar la</w:t>
      </w:r>
      <w:r>
        <w:t xml:space="preserve"> </w:t>
      </w:r>
      <w:r>
        <w:rPr>
          <w:b/>
          <w:bCs/>
        </w:rPr>
        <w:t xml:space="preserve">promesa de liquidez y fraccionamiento de la tokenización</w:t>
      </w:r>
      <w:r>
        <w:t xml:space="preserve">, sin sacrificar la</w:t>
      </w:r>
      <w:r>
        <w:t xml:space="preserve"> </w:t>
      </w:r>
      <w:r>
        <w:rPr>
          <w:b/>
          <w:bCs/>
        </w:rPr>
        <w:t xml:space="preserve">seguridad y cumplimiento</w:t>
      </w:r>
      <w:r>
        <w:t xml:space="preserve"> </w:t>
      </w:r>
      <w:r>
        <w:t xml:space="preserve">propios de un vehículo financiero formal. Cada detalle tecnológico (desde el tipo de token hasta la integración fiat) ha sido pensado con ese balance en mente. La viabilidad técnica y operativa está asegurada por la existencia de proveedores y soluciones ya probadas en el mercado (no estamos inventando blockchain nueva, usamos Ethereum; no programamos un KYC desde cero, contratamos uno). El reto principal será la</w:t>
      </w:r>
      <w:r>
        <w:t xml:space="preserve"> </w:t>
      </w:r>
      <w:r>
        <w:rPr>
          <w:b/>
          <w:bCs/>
        </w:rPr>
        <w:t xml:space="preserve">orquestación y gerencia de todos estos componentes</w:t>
      </w:r>
      <w:r>
        <w:t xml:space="preserve"> </w:t>
      </w:r>
      <w:r>
        <w:t xml:space="preserve">para la fecha de lanzamiento – lo que se aborda en el Plan de Ejecución.</w:t>
      </w:r>
    </w:p>
    <w:p>
      <w:pPr>
        <w:pStyle w:val="BodyText"/>
      </w:pPr>
      <w:r>
        <w:t xml:space="preserve">A continuación, entraremos a la sección de</w:t>
      </w:r>
      <w:r>
        <w:t xml:space="preserve"> </w:t>
      </w:r>
      <w:r>
        <w:rPr>
          <w:b/>
          <w:bCs/>
        </w:rPr>
        <w:t xml:space="preserve">Marco Legal y Regulatorio</w:t>
      </w:r>
      <w:r>
        <w:t xml:space="preserve">, donde se formaliza la estructura jurídica propuesta y se discuten las implicaciones normativas con mayor detalle, complementando lo esbozado en esta sección.</w:t>
      </w:r>
    </w:p>
    <w:bookmarkEnd w:id="57"/>
    <w:bookmarkStart w:id="58" w:name="marco-legal-regulatorio-y-tributario"/>
    <w:p>
      <w:pPr>
        <w:pStyle w:val="Heading2"/>
      </w:pPr>
      <w:r>
        <w:t xml:space="preserve">Marco Legal, Regulatorio y Tributario</w:t>
      </w:r>
    </w:p>
    <w:p>
      <w:pPr>
        <w:pStyle w:val="FirstParagraph"/>
      </w:pPr>
      <w:r>
        <w:rPr>
          <w:i/>
          <w:iCs/>
        </w:rPr>
        <w:t xml:space="preserve">(Nota: Esta sección presenta un blueprint legal. Algunos aspectos están pendientes de confirmación por asesoría externa; se indicarán como placeholders donde corresponda.)</w:t>
      </w:r>
    </w:p>
    <w:p>
      <w:pPr>
        <w:pStyle w:val="BodyText"/>
      </w:pPr>
      <w:r>
        <w:rPr>
          <w:b/>
          <w:bCs/>
        </w:rPr>
        <w:t xml:space="preserve">Vehículo patrimonial – SPV vs. Fideicomiso:</w:t>
      </w:r>
      <w:r>
        <w:t xml:space="preserve"> </w:t>
      </w:r>
      <w:r>
        <w:t xml:space="preserve">Como se adelantó, la estrategia legal central es constituir un</w:t>
      </w:r>
      <w:r>
        <w:t xml:space="preserve"> </w:t>
      </w:r>
      <w:r>
        <w:rPr>
          <w:b/>
          <w:bCs/>
        </w:rPr>
        <w:t xml:space="preserve">vehículo independiente</w:t>
      </w:r>
      <w:r>
        <w:t xml:space="preserve"> </w:t>
      </w:r>
      <w:r>
        <w:t xml:space="preserve">que sea titular del terreno y emisor de los derechos económicos (tokens) a los inversionistas. Se han evaluado dos figuras bajo la ley peruana:</w:t>
      </w:r>
      <w:r>
        <w:t xml:space="preserve"> </w:t>
      </w:r>
      <w:r>
        <w:t xml:space="preserve">-</w:t>
      </w:r>
      <w:r>
        <w:t xml:space="preserve"> </w:t>
      </w:r>
      <w:r>
        <w:rPr>
          <w:b/>
          <w:bCs/>
        </w:rPr>
        <w:t xml:space="preserve">Fideicomiso de inversión inmobiliaria:</w:t>
      </w:r>
      <w:r>
        <w:t xml:space="preserve"> </w:t>
      </w:r>
      <w:r>
        <w:t xml:space="preserve">Un contrato de fideicomiso donde los fundadores de PachaNova (como fideicomitentes) transfieren el terreno a una entidad fiduciaria (por ejemplo, una empresa de fideicomisos bancaria), para que esta administre el activo en beneficio de los inversionistas (fideicomisarios). Los inversionistas a su vez firman contratos de adhesión al fideicomiso al comprar tokens. Este esquema aprovecha la fortaleza de la figura fiduciaria: patrimonio separado, alta garantía de cumplimiento de fines (el fiduciario tiene deber legal de actuar en interés de los beneficiarios), y flexibilidad para definir reglas internas. Además, los fideicomisos en Perú no están regulados por la SMV a menos que hagan oferta pública masiva, por lo que un fideicomiso privado encajaría bien. Ya existen precedentes de fideicomisos que emiten “certificados de participación” sobre activos inmobiliarios (similar a securitizaciones) – aquí los tokens funcionarían análogamente a esos certificados, pero en formato digital.</w:t>
      </w:r>
      <w:r>
        <w:t xml:space="preserve"> </w:t>
      </w:r>
      <w:r>
        <w:rPr>
          <w:b/>
          <w:bCs/>
        </w:rPr>
        <w:t xml:space="preserve">Blueprint Fideicomiso:</w:t>
      </w:r>
      <w:r>
        <w:t xml:space="preserve"> </w:t>
      </w:r>
      <w:r>
        <w:t xml:space="preserve">PachaNova firmaría un contrato con Banco XYZ (fiduciario) transmitiendo el lote y un monto inicial de efectivo (lo recaudado en preventa) al patrimonio fiduciario “Fideicomiso PachaNova 2026”. Se establecería que el fideicomiso emitirá hasta 500,000 “derechos de beneficio” indivisos, a colocarse privadamente a inversionistas elegibles, y que los tenedores de dichos derechos tendrán el 100% del beneficio económico neto de la venta futura del activo, menos gastos. El fiduciario tendría entre sus obligaciones contratar las auditorías anuales, gestionar el KYC de nuevos beneficiarios (en la práctica delegará a PachaNova o a un proveedor, pero con oversight), conservar los fondos recaudados e invertirlos prudentemente (por ej. en depósitos de bajo riesgo) hasta su uso, y ejecutar la venta final del terreno según el mandato (posiblemente con aprobación de mayoría de beneficiarios o según criterio pactado). Toda la operativa de tokens estaría respaldada por este contrato: el fiduciario mantendría un registro oficial de beneficiarios (paralelo al registro en blockchain), para tener certeza jurídica. La ventaja de este esquema es la confianza que genera: los inversionistas básicamente confían en un tercero regulado (el banco fiduciario) la custodia de los activos, no en los promotores. También ayuda en AML, ya que el fiduciario mismo es sujeto obligado financiero que velará por la prevención de lavado.</w:t>
      </w:r>
      <w:r>
        <w:t xml:space="preserve"> </w:t>
      </w:r>
      <w:r>
        <w:t xml:space="preserve">-</w:t>
      </w:r>
      <w:r>
        <w:t xml:space="preserve"> </w:t>
      </w:r>
      <w:r>
        <w:rPr>
          <w:b/>
          <w:bCs/>
        </w:rPr>
        <w:t xml:space="preserve">Sociedad Vehicular (SPV):</w:t>
      </w:r>
      <w:r>
        <w:t xml:space="preserve"> </w:t>
      </w:r>
      <w:r>
        <w:t xml:space="preserve">Alternativamente, se puede constituir una</w:t>
      </w:r>
      <w:r>
        <w:t xml:space="preserve"> </w:t>
      </w:r>
      <w:r>
        <w:rPr>
          <w:b/>
          <w:bCs/>
        </w:rPr>
        <w:t xml:space="preserve">sociedad anónima cerrada</w:t>
      </w:r>
      <w:r>
        <w:t xml:space="preserve"> </w:t>
      </w:r>
      <w:r>
        <w:t xml:space="preserve">cuyo objeto sea adquirir el terreno y emitir instrumentos representativos de su valor. Podría ser una</w:t>
      </w:r>
      <w:r>
        <w:t xml:space="preserve"> </w:t>
      </w:r>
      <w:r>
        <w:rPr>
          <w:i/>
          <w:iCs/>
        </w:rPr>
        <w:t xml:space="preserve">S.A.</w:t>
      </w:r>
      <w:r>
        <w:t xml:space="preserve"> </w:t>
      </w:r>
      <w:r>
        <w:t xml:space="preserve">o una</w:t>
      </w:r>
      <w:r>
        <w:t xml:space="preserve"> </w:t>
      </w:r>
      <w:r>
        <w:rPr>
          <w:i/>
          <w:iCs/>
        </w:rPr>
        <w:t xml:space="preserve">S.A. de estructura simplificada</w:t>
      </w:r>
      <w:r>
        <w:t xml:space="preserve">. Los tokens podrían estructurarse legalmente como obligaciones (deuda) de la S.A. indexadas al valor del activo, o como acciones preferentes sin voto con dividendo ligado a venta (instrumento híbrido). Sin embargo, esta ruta trae más complejidad societaria: la emisión de valores dentro de una S.A. podría ser considerada oferta pública si excede cierto número de accionistas o se publicita. Habría que apoyarse en la exención de &lt;= 100 inversionistas. Administrativamente, la S.A. requeriría gobierno corporativo, directorio, juntas de accionistas, etc., lo que la hace más pesada. Y los inversionistas minoristas tendrían menor protección que en un fideicomiso (dependerían de que la gestión de la S.A. haga lo correcto, con potenciales conflictos). Por estas razones, el</w:t>
      </w:r>
      <w:r>
        <w:t xml:space="preserve"> </w:t>
      </w:r>
      <w:r>
        <w:rPr>
          <w:b/>
          <w:bCs/>
        </w:rPr>
        <w:t xml:space="preserve">fideicomiso aparece como la opción preferida</w:t>
      </w:r>
      <w:r>
        <w:t xml:space="preserve">. De todos modos, estamos obteniendo una opinión legal formal que compare ambas figuras. Si hubiera impedimentos para el fideicomiso (por ejemplo, tratamiento fiscal adverso), se retomará la opción SPV.</w:t>
      </w:r>
      <w:r>
        <w:t xml:space="preserve"> </w:t>
      </w:r>
      <w:r>
        <w:t xml:space="preserve">-</w:t>
      </w:r>
      <w:r>
        <w:t xml:space="preserve"> </w:t>
      </w:r>
      <w:r>
        <w:rPr>
          <w:b/>
          <w:bCs/>
        </w:rPr>
        <w:t xml:space="preserve">Combinación:</w:t>
      </w:r>
      <w:r>
        <w:t xml:space="preserve"> </w:t>
      </w:r>
      <w:r>
        <w:t xml:space="preserve">existe la posibilidad de un híbrido: una S.A. que sea la emisora legal de tokens (para formalidad ante SMV) pero cuyos únicos activos estén en un fideicomiso, etc. Pero eso parece redundante y costoso, salvo que añada ventaja tributaria.</w:t>
      </w:r>
    </w:p>
    <w:p>
      <w:pPr>
        <w:pStyle w:val="BodyText"/>
      </w:pPr>
      <w:r>
        <w:rPr>
          <w:b/>
          <w:bCs/>
        </w:rPr>
        <w:t xml:space="preserve">Posicionamiento regulatorio de la emisión:</w:t>
      </w:r>
      <w:r>
        <w:t xml:space="preserve"> </w:t>
      </w:r>
      <w:r>
        <w:t xml:space="preserve">Un tema crucial es determinar</w:t>
      </w:r>
      <w:r>
        <w:t xml:space="preserve"> </w:t>
      </w:r>
      <w:r>
        <w:rPr>
          <w:b/>
          <w:bCs/>
        </w:rPr>
        <w:t xml:space="preserve">si los tokens de PachaNova califican como “valores mobiliarios” (securities)</w:t>
      </w:r>
      <w:r>
        <w:t xml:space="preserve"> </w:t>
      </w:r>
      <w:r>
        <w:t xml:space="preserve">bajo la ley peruana (Ley de Mercado de Valores) o alguna normativa análoga. Por su naturaleza, los tokens dan derecho a una ganancia potencial de capital derivada de la gestión de un tercero (promotores), lo que encaja con la definición de “contrato de inversión” similar a acciones o participaciones en fondos. Es decir, hay</w:t>
      </w:r>
      <w:r>
        <w:t xml:space="preserve"> </w:t>
      </w:r>
      <w:r>
        <w:rPr>
          <w:b/>
          <w:bCs/>
        </w:rPr>
        <w:t xml:space="preserve">riesgo de que sean considerados valores</w:t>
      </w:r>
      <w:r>
        <w:t xml:space="preserve">. Si ese fuera el caso, su oferta pública requeriría registro en la SMV y prospecto, lo cual no es deseable (mucha demora, costos, y la SMV aún no regula cripto). La estrategia, por tanto, es estructurar esto como una</w:t>
      </w:r>
      <w:r>
        <w:t xml:space="preserve"> </w:t>
      </w:r>
      <w:r>
        <w:rPr>
          <w:b/>
          <w:bCs/>
        </w:rPr>
        <w:t xml:space="preserve">oferta privada exenta</w:t>
      </w:r>
      <w:r>
        <w:t xml:space="preserve">. La LMV peruana exime emisiones dirigidas exclusivamente a inversionistas institucionales o a menos de 100 personas. Planeamos aprovechar esas exenciones: se limitará el número total de titulares de tokens a 99 (por eso, eventualmente, podríamos empaquetar muchos inversores pequeños vía un vehículo conjunto si fuera necesario, para que cuenten como uno solo). También apuntaremos a que muchos inversores sean institucionales (p.ej., cooperativas, fondos privados, etc.) para mayor seguridad. Adicionalmente, la tokenización a través de fideicomiso puede argumentarse fuera del alcance de la SMV: los certificados de participación en fideicomisos de inversión suelen considerarse valores si se ofrecen al público masivamente; al hacer oferta privada, quedarían fuera.</w:t>
      </w:r>
      <w:r>
        <w:t xml:space="preserve"> </w:t>
      </w:r>
      <w:r>
        <w:rPr>
          <w:b/>
          <w:bCs/>
        </w:rPr>
        <w:t xml:space="preserve">Acción planificada:</w:t>
      </w:r>
      <w:r>
        <w:t xml:space="preserve"> </w:t>
      </w:r>
      <w:r>
        <w:t xml:space="preserve">se está preparando un</w:t>
      </w:r>
      <w:r>
        <w:t xml:space="preserve"> </w:t>
      </w:r>
      <w:r>
        <w:rPr>
          <w:i/>
          <w:iCs/>
        </w:rPr>
        <w:t xml:space="preserve">Memo de Posicionamiento Regulatorio</w:t>
      </w:r>
      <w:r>
        <w:t xml:space="preserve"> </w:t>
      </w:r>
      <w:r>
        <w:t xml:space="preserve">con un estudio legal (se encargó a un estudio reconocido) que confirme la ruta adecuada: probablemente recomendarán no superar 99 inversionistas y añadir disclaimers claros de no publicidad. También se evaluará si conviene notificar voluntariamente a la SMV de la operación para mayor tranquilidad (existe la figura de inscripción voluntaria, pero eso implicaría luego obligaciones de información periódica que preferimos evitar en esta etapa).</w:t>
      </w:r>
    </w:p>
    <w:p>
      <w:pPr>
        <w:pStyle w:val="BodyText"/>
      </w:pPr>
      <w:r>
        <w:t xml:space="preserve">Cabe señalar que la</w:t>
      </w:r>
      <w:r>
        <w:t xml:space="preserve"> </w:t>
      </w:r>
      <w:r>
        <w:rPr>
          <w:b/>
          <w:bCs/>
        </w:rPr>
        <w:t xml:space="preserve">SBS</w:t>
      </w:r>
      <w:r>
        <w:t xml:space="preserve"> </w:t>
      </w:r>
      <w:r>
        <w:t xml:space="preserve">ya nos regula en el aspecto lavado (PSAV), pero no en lo de valores; la</w:t>
      </w:r>
      <w:r>
        <w:t xml:space="preserve"> </w:t>
      </w:r>
      <w:r>
        <w:rPr>
          <w:b/>
          <w:bCs/>
        </w:rPr>
        <w:t xml:space="preserve">SMV</w:t>
      </w:r>
      <w:r>
        <w:t xml:space="preserve"> </w:t>
      </w:r>
      <w:r>
        <w:t xml:space="preserve">podría intentar supervisar si considerara que estamos haciendo intermediación de valores (crowdfunding inmobiliario), pero al encuadrarlo contractual y privadamente, mitigamos ese riesgo. De todas formas, mantenemos diálogo abierto con reguladores: la idea es que</w:t>
      </w:r>
      <w:r>
        <w:t xml:space="preserve"> </w:t>
      </w:r>
      <w:r>
        <w:rPr>
          <w:i/>
          <w:iCs/>
        </w:rPr>
        <w:t xml:space="preserve">PachaNova</w:t>
      </w:r>
      <w:r>
        <w:t xml:space="preserve"> </w:t>
      </w:r>
      <w:r>
        <w:t xml:space="preserve">sea visto como un ejemplo positivo de innovación financiera, no como algo a perseguir. Si logramos suceso sin incidentes, podría incluso ayudar a que en el futuro la SMV cree un sandbox o norma especial para tokenización.</w:t>
      </w:r>
    </w:p>
    <w:p>
      <w:pPr>
        <w:pStyle w:val="BodyText"/>
      </w:pPr>
      <w:r>
        <w:rPr>
          <w:b/>
          <w:bCs/>
        </w:rPr>
        <w:t xml:space="preserve">Contratos con inversionistas:</w:t>
      </w:r>
      <w:r>
        <w:t xml:space="preserve"> </w:t>
      </w:r>
      <w:r>
        <w:t xml:space="preserve">Dependiendo de la figura final, los inversionistas firmarán uno o varios documentos jurídicos:</w:t>
      </w:r>
      <w:r>
        <w:t xml:space="preserve"> </w:t>
      </w:r>
      <w:r>
        <w:t xml:space="preserve">-</w:t>
      </w:r>
      <w:r>
        <w:t xml:space="preserve"> </w:t>
      </w:r>
      <w:r>
        <w:rPr>
          <w:b/>
          <w:bCs/>
        </w:rPr>
        <w:t xml:space="preserve">Contrato de Fideicomiso de Inversión (adhesión):</w:t>
      </w:r>
      <w:r>
        <w:t xml:space="preserve"> </w:t>
      </w:r>
      <w:r>
        <w:t xml:space="preserve">Documento mediante el cual el inversionista se adhiere a los términos del fideicomiso y se le reconocen X derechos de participación (ligados a X tokens). Incluirá clausulados sobre confidencialidad, limitaciones a transferencias (reflejando lo del contrato inteligente), derechos políticos (posiblemente nulos, es decir, los inversionistas no toman decisiones día a día, delegan al fiduciario, salvo casos extraordinarios como aprobar venta anticipada si se diera). También explicitará el método de valuación y la fórmula de liquidación final.</w:t>
      </w:r>
      <w:r>
        <w:t xml:space="preserve"> </w:t>
      </w:r>
      <w:r>
        <w:t xml:space="preserve">-</w:t>
      </w:r>
      <w:r>
        <w:t xml:space="preserve"> </w:t>
      </w:r>
      <w:r>
        <w:rPr>
          <w:b/>
          <w:bCs/>
        </w:rPr>
        <w:t xml:space="preserve">Términos y Condiciones de la Plataforma:</w:t>
      </w:r>
      <w:r>
        <w:t xml:space="preserve"> </w:t>
      </w:r>
      <w:r>
        <w:t xml:space="preserve">Un contrato marco en que el usuario acepta, con PachaNova (empresa), los lineamientos de uso de la plataforma web, riesgos, ausencia de ciertas garantías, etc. Más orientado a la interacción tecnológica.</w:t>
      </w:r>
      <w:r>
        <w:t xml:space="preserve"> </w:t>
      </w:r>
      <w:r>
        <w:t xml:space="preserve">-</w:t>
      </w:r>
      <w:r>
        <w:t xml:space="preserve"> </w:t>
      </w:r>
      <w:r>
        <w:rPr>
          <w:b/>
          <w:bCs/>
        </w:rPr>
        <w:t xml:space="preserve">Acuerdo de Suscripción Privada:</w:t>
      </w:r>
      <w:r>
        <w:t xml:space="preserve"> </w:t>
      </w:r>
      <w:r>
        <w:t xml:space="preserve">Específicamente para la transacción de compra de tokens, detallando cuántos tokens, a qué precio, forma de pago, fecha de liquidación, reps and warranties del inversor (por ejemplo, que el dinero no tiene origen ilícito, que entiende que puede perder todo, etc.) y disclaimers regulatorios (que la oferta es privada, que no es un depósito, etc.). Este documento protege a PachaNova contra reclamos futuros alegando desinformación.</w:t>
      </w:r>
      <w:r>
        <w:t xml:space="preserve"> </w:t>
      </w:r>
      <w:r>
        <w:t xml:space="preserve">-</w:t>
      </w:r>
      <w:r>
        <w:t xml:space="preserve"> </w:t>
      </w:r>
      <w:r>
        <w:rPr>
          <w:b/>
          <w:bCs/>
        </w:rPr>
        <w:t xml:space="preserve">Pagarés o títulos representativos (si SPV):</w:t>
      </w:r>
      <w:r>
        <w:t xml:space="preserve"> </w:t>
      </w:r>
      <w:r>
        <w:t xml:space="preserve">En caso de usar S.A. y deuda, los tokens serían respaldados por pagarés titulizados. No nos extenderemos en esto dado que es plan B.</w:t>
      </w:r>
    </w:p>
    <w:p>
      <w:pPr>
        <w:pStyle w:val="BodyText"/>
      </w:pPr>
      <w:r>
        <w:t xml:space="preserve">Todos estos documentos se encuentran en desarrollo en borrador. Se priorizará que estén redactados en</w:t>
      </w:r>
      <w:r>
        <w:t xml:space="preserve"> </w:t>
      </w:r>
      <w:r>
        <w:rPr>
          <w:b/>
          <w:bCs/>
        </w:rPr>
        <w:t xml:space="preserve">español claro</w:t>
      </w:r>
      <w:r>
        <w:t xml:space="preserve"> </w:t>
      </w:r>
      <w:r>
        <w:t xml:space="preserve">a la medida de lo posible, aunque con rigor técnico. Parte de la estrategia es educar al inversionista en qué tiene entre manos; un documento excesivamente críptico va contra esa transparencia.</w:t>
      </w:r>
    </w:p>
    <w:p>
      <w:pPr>
        <w:pStyle w:val="BodyText"/>
      </w:pPr>
      <w:r>
        <w:rPr>
          <w:b/>
          <w:bCs/>
        </w:rPr>
        <w:t xml:space="preserve">Aspectos tributarios y financieros del vehículo:</w:t>
      </w:r>
      <w:r>
        <w:t xml:space="preserve"> </w:t>
      </w:r>
      <w:r>
        <w:t xml:space="preserve">Se coordina con expertos tributarios para decidir:</w:t>
      </w:r>
      <w:r>
        <w:t xml:space="preserve"> </w:t>
      </w:r>
      <w:r>
        <w:t xml:space="preserve">- Régimen del fideicomiso: En Perú los fideicomisos pagan impuesto a la renta por las rentas generadas en su patrimonio, salvo que transfieran la carga a los fideicomisarios. Posiblemente a la venta del terreno, la ganancia (diferencia entre precio venta y costo de adquisición declarado del terreno) pague 29.5% IR si el fideicomiso tributa como persona jurídica. Para evitar eso, podríamos estructurar para que las rentas se atribuyan a los beneficiarios directamente (similar a fondos mutuos, donde cada partícipe paga su IR). Dado que muchos beneficiarios podrían ser no domiciliados, hay que revisar tratados o retenciones. Si, por otro lado, la figura es SPV, la empresa pagaría IR sobre la ganancia y luego distribuiría dividendos (lo cual sería ineficiente, doble capa impositiva). Quizá por eso el fideicomiso de inversión es preferible.</w:t>
      </w:r>
      <w:r>
        <w:t xml:space="preserve"> </w:t>
      </w:r>
      <w:r>
        <w:t xml:space="preserve">- IGV e impuestos de transacciones: La emisión de tokens no está sujeta a IGV (impuesto al valor agregado), pues es una transacción financiera. La venta del terreno al año 5 estaría sujeta a impuesto de alcabala (3% sobre precio, con primera 10 UIT exoneradas) y a impuesto a la renta por venta de inmuebles (5% para persona natural vendedora no habitual, pero en nuestro caso al ser el fideicomiso un ente, sería regimen general 29.5%). Esto se incorporará en el modelo financiero como costos de salida. Los tokens en sí no tributan durante la tenencia (no generan renta).</w:t>
      </w:r>
      <w:r>
        <w:t xml:space="preserve"> </w:t>
      </w:r>
      <w:r>
        <w:t xml:space="preserve">- Tributación para inversionistas: Si son personas naturales peruanas, la utilidad que reciban al final ¿califica como ganancia de capital? Podría ser considerada ganancia de capital por venta de valor mobiliario (tasa 5% en Perú si se transan en mecanismo centralizado, pero la nuestra es oferta privada – quizás 6.25% si no hay retención). Necesitamos clarificarlo. Para no domiciliados, podría haber retención del 5% sobre su ganancia. En la estructuración buscaremos minimizar la fricción impositiva a los beneficiarios, dentro de lo legal.</w:t>
      </w:r>
    </w:p>
    <w:p>
      <w:pPr>
        <w:pStyle w:val="BodyText"/>
      </w:pPr>
      <w:r>
        <w:rPr>
          <w:b/>
          <w:bCs/>
        </w:rPr>
        <w:t xml:space="preserve">Otras consideraciones legales:</w:t>
      </w:r>
      <w:r>
        <w:t xml:space="preserve"> </w:t>
      </w:r>
      <w:r>
        <w:t xml:space="preserve">-</w:t>
      </w:r>
      <w:r>
        <w:t xml:space="preserve"> </w:t>
      </w:r>
      <w:r>
        <w:rPr>
          <w:b/>
          <w:bCs/>
        </w:rPr>
        <w:t xml:space="preserve">Uso de suelo y licencias:</w:t>
      </w:r>
      <w:r>
        <w:t xml:space="preserve"> </w:t>
      </w:r>
      <w:r>
        <w:t xml:space="preserve">Como no construiremos, no se requieren licencias de edificación. Pero se debe asegurar la zonificación adecuada a futuro comprador. En su momento (año 4 por ejemplo), se podría tramitar ante la Municipalidad un</w:t>
      </w:r>
      <w:r>
        <w:t xml:space="preserve"> </w:t>
      </w:r>
      <w:r>
        <w:rPr>
          <w:b/>
          <w:bCs/>
        </w:rPr>
        <w:t xml:space="preserve">Cambio de Zonificación</w:t>
      </w:r>
      <w:r>
        <w:t xml:space="preserve"> </w:t>
      </w:r>
      <w:r>
        <w:t xml:space="preserve">o</w:t>
      </w:r>
      <w:r>
        <w:t xml:space="preserve"> </w:t>
      </w:r>
      <w:r>
        <w:rPr>
          <w:i/>
          <w:iCs/>
        </w:rPr>
        <w:t xml:space="preserve">parámetros de uso</w:t>
      </w:r>
      <w:r>
        <w:t xml:space="preserve"> </w:t>
      </w:r>
      <w:r>
        <w:t xml:space="preserve">que hagan el terreno más atractivo (por ej. si en el Plan figura como ZHR resid. de baja densidad, intentar pasar a uso mixto comercial, etc.). Estas acciones agregan valor. Es parte del plan de ejecución evaluar esas micro-gestiones. Cualquier documento relativo a permisos obtenidos se agregará en data room.</w:t>
      </w:r>
      <w:r>
        <w:t xml:space="preserve"> </w:t>
      </w:r>
      <w:r>
        <w:t xml:space="preserve">-</w:t>
      </w:r>
      <w:r>
        <w:t xml:space="preserve"> </w:t>
      </w:r>
      <w:r>
        <w:rPr>
          <w:b/>
          <w:bCs/>
        </w:rPr>
        <w:t xml:space="preserve">Relación con comunidades locales:</w:t>
      </w:r>
      <w:r>
        <w:t xml:space="preserve"> </w:t>
      </w:r>
      <w:r>
        <w:t xml:space="preserve">Aunque el terreno es privado, su entorno involucra posiblemente comunidades colindantes. Un riesgo en plusvalía de suelo es que actores políticos locales busquen capturar parte de esa plusvalía vía exacciones o cargas. PachaNova considerará, en su gestión reputacional, tener acercamiento con la municipalidad de San Bartolo, presentando el proyecto como formal y beneficioso (porque atrae inversión, etc.). Podría explorarse firmar un convenio o al menos mantener comunicación para evitar sorpresas (e.g., alguna nueva tasa municipal).</w:t>
      </w:r>
      <w:r>
        <w:t xml:space="preserve"> </w:t>
      </w:r>
      <w:r>
        <w:t xml:space="preserve">-</w:t>
      </w:r>
      <w:r>
        <w:t xml:space="preserve"> </w:t>
      </w:r>
      <w:r>
        <w:rPr>
          <w:b/>
          <w:bCs/>
        </w:rPr>
        <w:t xml:space="preserve">Contrataciones clave:</w:t>
      </w:r>
      <w:r>
        <w:t xml:space="preserve"> </w:t>
      </w:r>
      <w:r>
        <w:t xml:space="preserve">Se planea tener listos (como anexos firmados antes de lanzarse a recaudar) los contratos con los proveedores críticos:</w:t>
      </w:r>
      <w:r>
        <w:t xml:space="preserve"> </w:t>
      </w:r>
      <w:r>
        <w:t xml:space="preserve">- Contrato con fiduciario o administrador del vehículo.</w:t>
      </w:r>
      <w:r>
        <w:t xml:space="preserve"> </w:t>
      </w:r>
      <w:r>
        <w:t xml:space="preserve">- Contrato con proveedor KYC/AML.</w:t>
      </w:r>
      <w:r>
        <w:t xml:space="preserve"> </w:t>
      </w:r>
      <w:r>
        <w:t xml:space="preserve">- Contrato con custodio (si es externo).</w:t>
      </w:r>
      <w:r>
        <w:t xml:space="preserve"> </w:t>
      </w:r>
      <w:r>
        <w:t xml:space="preserve">- Contrato con auditor externo de valuación (tasador profesional que año a año haga informe).</w:t>
      </w:r>
      <w:r>
        <w:t xml:space="preserve"> </w:t>
      </w:r>
      <w:r>
        <w:t xml:space="preserve">- Contrato con auditor de smart contract (empresa tech que revisa).</w:t>
      </w:r>
      <w:r>
        <w:t xml:space="preserve"> </w:t>
      </w:r>
      <w:r>
        <w:t xml:space="preserve">- Mandato a un broker inmobiliario para la venta del activo en año 5 (todavía temprano, pero quizás un</w:t>
      </w:r>
      <w:r>
        <w:t xml:space="preserve"> </w:t>
      </w:r>
      <w:r>
        <w:rPr>
          <w:i/>
          <w:iCs/>
        </w:rPr>
        <w:t xml:space="preserve">letter of intent</w:t>
      </w:r>
      <w:r>
        <w:t xml:space="preserve"> </w:t>
      </w:r>
      <w:r>
        <w:t xml:space="preserve">con una inmobiliaria de prestigio).</w:t>
      </w:r>
    </w:p>
    <w:p>
      <w:pPr>
        <w:pStyle w:val="BodyText"/>
      </w:pPr>
      <w:r>
        <w:t xml:space="preserve">Estos no todos estarán listos al 100% para el BP final, pero se mencionarán como</w:t>
      </w:r>
      <w:r>
        <w:t xml:space="preserve"> </w:t>
      </w:r>
      <w:r>
        <w:rPr>
          <w:i/>
          <w:iCs/>
        </w:rPr>
        <w:t xml:space="preserve">pipeline</w:t>
      </w:r>
      <w:r>
        <w:t xml:space="preserve"> </w:t>
      </w:r>
      <w:r>
        <w:t xml:space="preserve">de documentos a firmar (ver CPs).</w:t>
      </w:r>
    </w:p>
    <w:p>
      <w:pPr>
        <w:pStyle w:val="BodyText"/>
      </w:pPr>
      <w:r>
        <w:t xml:space="preserve">En conclusión, el</w:t>
      </w:r>
      <w:r>
        <w:t xml:space="preserve"> </w:t>
      </w:r>
      <w:r>
        <w:rPr>
          <w:b/>
          <w:bCs/>
        </w:rPr>
        <w:t xml:space="preserve">Marco Legal de PachaNova está concebido para ofrecer máxima protección a los inversionistas bajo un modelo privado innovador</w:t>
      </w:r>
      <w:r>
        <w:t xml:space="preserve">, asegurando el cumplimiento de las leyes peruanas y adaptando figuras tradicionales (fideicomisos) al terreno digital. Muchos detalles deberán ajustarse en la implementación, pero el blueprint es claro:</w:t>
      </w:r>
      <w:r>
        <w:t xml:space="preserve"> </w:t>
      </w:r>
      <w:r>
        <w:rPr>
          <w:i/>
          <w:iCs/>
        </w:rPr>
        <w:t xml:space="preserve">activo en fideicomiso, tokens como derechos, oferta privada bajo control, AML estricto.</w:t>
      </w:r>
      <w:r>
        <w:t xml:space="preserve"> </w:t>
      </w:r>
      <w:r>
        <w:t xml:space="preserve">Esto crea un cimiento sólido para que la innovación financiera ocurra sin vulnerar principios regulatorios. La debida diligencia legal continuará durante la ejecución, con la meta de que, llegado el momento de presentarse ante un comité de inversión o regulator, PachaNova sea incuestionable en su conformidad y robustez jurídica.</w:t>
      </w:r>
    </w:p>
    <w:p>
      <w:pPr>
        <w:pStyle w:val="BodyText"/>
      </w:pPr>
      <w:r>
        <w:t xml:space="preserve">A continuación, se presenta el</w:t>
      </w:r>
      <w:r>
        <w:t xml:space="preserve"> </w:t>
      </w:r>
      <w:r>
        <w:rPr>
          <w:b/>
          <w:bCs/>
        </w:rPr>
        <w:t xml:space="preserve">Modelo Financiero</w:t>
      </w:r>
      <w:r>
        <w:t xml:space="preserve"> </w:t>
      </w:r>
      <w:r>
        <w:t xml:space="preserve">en detalle, complementando las cifras resumidas previamente, e incorporando análisis de sensibilidad, escenarios y métricas de rentabilidad.</w:t>
      </w:r>
    </w:p>
    <w:bookmarkEnd w:id="58"/>
    <w:bookmarkStart w:id="67" w:name="modelo-financiero-a-5-años"/>
    <w:p>
      <w:pPr>
        <w:pStyle w:val="Heading2"/>
      </w:pPr>
      <w:r>
        <w:t xml:space="preserve">Modelo Financiero a 5 Años</w:t>
      </w:r>
    </w:p>
    <w:p>
      <w:pPr>
        <w:pStyle w:val="FirstParagraph"/>
      </w:pPr>
      <w:r>
        <w:t xml:space="preserve">La planificación financiera de PachaNova abarca el horizonte 2026–2030, desde la estructuración inicial hasta la liquidación final. El modelo se ha construido en formato de proyección anual, integrando los</w:t>
      </w:r>
      <w:r>
        <w:t xml:space="preserve"> </w:t>
      </w:r>
      <w:r>
        <w:rPr>
          <w:b/>
          <w:bCs/>
        </w:rPr>
        <w:t xml:space="preserve">supuestos clave</w:t>
      </w:r>
      <w:r>
        <w:t xml:space="preserve"> </w:t>
      </w:r>
      <w:r>
        <w:t xml:space="preserve">delineados (ventas por cohorte, escalamiento de precios, costos operativos) y generando</w:t>
      </w:r>
      <w:r>
        <w:t xml:space="preserve"> </w:t>
      </w:r>
      <w:r>
        <w:rPr>
          <w:b/>
          <w:bCs/>
        </w:rPr>
        <w:t xml:space="preserve">escenarios</w:t>
      </w:r>
      <w:r>
        <w:t xml:space="preserve"> </w:t>
      </w:r>
      <w:r>
        <w:t xml:space="preserve">para evaluar la robustez del proyecto ante distintas condiciones. En esta sección se presentan:</w:t>
      </w:r>
      <w:r>
        <w:t xml:space="preserve"> </w:t>
      </w:r>
      <w:r>
        <w:rPr>
          <w:i/>
          <w:iCs/>
        </w:rPr>
        <w:t xml:space="preserve">(A)</w:t>
      </w:r>
      <w:r>
        <w:t xml:space="preserve"> </w:t>
      </w:r>
      <w:r>
        <w:t xml:space="preserve">las premisas principales utilizadas,</w:t>
      </w:r>
      <w:r>
        <w:t xml:space="preserve"> </w:t>
      </w:r>
      <w:r>
        <w:rPr>
          <w:i/>
          <w:iCs/>
        </w:rPr>
        <w:t xml:space="preserve">(B)</w:t>
      </w:r>
      <w:r>
        <w:t xml:space="preserve"> </w:t>
      </w:r>
      <w:r>
        <w:t xml:space="preserve">los resultados proyectados del escenario base y escenarios comparativos,</w:t>
      </w:r>
      <w:r>
        <w:t xml:space="preserve"> </w:t>
      </w:r>
      <w:r>
        <w:rPr>
          <w:i/>
          <w:iCs/>
        </w:rPr>
        <w:t xml:space="preserve">(C)</w:t>
      </w:r>
      <w:r>
        <w:t xml:space="preserve"> </w:t>
      </w:r>
      <w:r>
        <w:t xml:space="preserve">un análisis de sensibilidad sobre variables críticas, y</w:t>
      </w:r>
      <w:r>
        <w:t xml:space="preserve"> </w:t>
      </w:r>
      <w:r>
        <w:rPr>
          <w:i/>
          <w:iCs/>
        </w:rPr>
        <w:t xml:space="preserve">(D)</w:t>
      </w:r>
      <w:r>
        <w:t xml:space="preserve"> </w:t>
      </w:r>
      <w:r>
        <w:t xml:space="preserve">las métricas de rentabilidad (NPV/IRR) indicativas para evaluar el atractivo financiero.</w:t>
      </w:r>
    </w:p>
    <w:bookmarkStart w:id="61" w:name="a.-supuestos-clave-del-modelo"/>
    <w:p>
      <w:pPr>
        <w:pStyle w:val="Heading3"/>
      </w:pPr>
      <w:r>
        <w:t xml:space="preserve">A. Supuestos Clave del Modelo</w:t>
      </w:r>
    </w:p>
    <w:p>
      <w:pPr>
        <w:pStyle w:val="Compact"/>
        <w:numPr>
          <w:ilvl w:val="0"/>
          <w:numId w:val="1002"/>
        </w:numPr>
      </w:pPr>
      <w:r>
        <w:rPr>
          <w:b/>
          <w:bCs/>
        </w:rPr>
        <w:t xml:space="preserve">Horizonte temporal:</w:t>
      </w:r>
      <w:r>
        <w:t xml:space="preserve"> </w:t>
      </w:r>
      <w:r>
        <w:t xml:space="preserve">5 años completos de operaciones (2026–2030). Se asume lanzamiento de preventa a mediados de 2026 y venta final del terreno a fines de 2030. El año 5 incluye la liquidación del activo.</w:t>
      </w:r>
    </w:p>
    <w:p>
      <w:pPr>
        <w:pStyle w:val="Compact"/>
        <w:numPr>
          <w:ilvl w:val="0"/>
          <w:numId w:val="1002"/>
        </w:numPr>
      </w:pPr>
      <w:r>
        <w:rPr>
          <w:b/>
          <w:bCs/>
        </w:rPr>
        <w:t xml:space="preserve">Inflación y moneda:</w:t>
      </w:r>
      <w:r>
        <w:t xml:space="preserve"> </w:t>
      </w:r>
      <w:r>
        <w:t xml:space="preserve">Expresado en</w:t>
      </w:r>
      <w:r>
        <w:t xml:space="preserve"> </w:t>
      </w:r>
      <w:r>
        <w:rPr>
          <w:b/>
          <w:bCs/>
        </w:rPr>
        <w:t xml:space="preserve">USD nominales</w:t>
      </w:r>
      <w:r>
        <w:t xml:space="preserve">. Se asume inflación USD ~3% anual implícita (aunque para simplificar, los escaladores de precio</w:t>
      </w:r>
      <w:r>
        <w:t xml:space="preserve"> </w:t>
      </w:r>
      <w:r>
        <w:rPr>
          <w:i/>
          <w:iCs/>
        </w:rPr>
        <w:t xml:space="preserve">incluyen</w:t>
      </w:r>
      <w:r>
        <w:t xml:space="preserve"> </w:t>
      </w:r>
      <w:r>
        <w:t xml:space="preserve">la apreciación real más inflación esperada; no se realiza una separación explícita de inflación vs plusvalía real).</w:t>
      </w:r>
    </w:p>
    <w:p>
      <w:pPr>
        <w:pStyle w:val="Compact"/>
        <w:numPr>
          <w:ilvl w:val="0"/>
          <w:numId w:val="1002"/>
        </w:numPr>
      </w:pPr>
      <w:r>
        <w:rPr>
          <w:b/>
          <w:bCs/>
        </w:rPr>
        <w:t xml:space="preserve">Valor de terreno inicial:</w:t>
      </w:r>
      <w:r>
        <w:t xml:space="preserve"> </w:t>
      </w:r>
      <w:r>
        <w:t xml:space="preserve">Tomado como US$120/m² (base de lanzamiento). No se modela una revalorización previa al año1; se considera que 2026 inicia en $120/m² tras completarse la estructuración.</w:t>
      </w:r>
    </w:p>
    <w:p>
      <w:pPr>
        <w:pStyle w:val="Compact"/>
        <w:numPr>
          <w:ilvl w:val="0"/>
          <w:numId w:val="1002"/>
        </w:numPr>
      </w:pPr>
      <w:r>
        <w:rPr>
          <w:b/>
          <w:bCs/>
        </w:rPr>
        <w:t xml:space="preserve">Escaladores de precio anuales:</w:t>
      </w:r>
      <w:r>
        <w:t xml:space="preserve"> </w:t>
      </w:r>
      <w:r>
        <w:t xml:space="preserve">Tres conjuntos según escenario:</w:t>
      </w:r>
    </w:p>
    <w:p>
      <w:pPr>
        <w:pStyle w:val="Compact"/>
        <w:numPr>
          <w:ilvl w:val="0"/>
          <w:numId w:val="1002"/>
        </w:numPr>
      </w:pPr>
      <w:r>
        <w:rPr>
          <w:i/>
          <w:iCs/>
        </w:rPr>
        <w:t xml:space="preserve">Conservador:</w:t>
      </w:r>
      <w:r>
        <w:t xml:space="preserve"> </w:t>
      </w:r>
      <w:r>
        <w:t xml:space="preserve">+4%, +5%, +6%, +6% (cada año 2027–2030). Esto lleva el precio de $120 a ~$147.23/m² en 2030</w:t>
      </w:r>
      <w:hyperlink r:id="rId28">
        <w:r>
          <w:rPr>
            <w:rStyle w:val="Hyperlink"/>
          </w:rPr>
          <w:t xml:space="preserve">[7]</w:t>
        </w:r>
      </w:hyperlink>
      <w:r>
        <w:t xml:space="preserve">.</w:t>
      </w:r>
    </w:p>
    <w:p>
      <w:pPr>
        <w:pStyle w:val="Compact"/>
        <w:numPr>
          <w:ilvl w:val="0"/>
          <w:numId w:val="1002"/>
        </w:numPr>
      </w:pPr>
      <w:r>
        <w:rPr>
          <w:i/>
          <w:iCs/>
        </w:rPr>
        <w:t xml:space="preserve">Base:</w:t>
      </w:r>
      <w:r>
        <w:t xml:space="preserve"> </w:t>
      </w:r>
      <w:r>
        <w:t xml:space="preserve">+8%, +10%, +12%, +12%. Lleva $120 a ~$178.83/m² en 2030</w:t>
      </w:r>
      <w:hyperlink r:id="rId59">
        <w:r>
          <w:rPr>
            <w:rStyle w:val="Hyperlink"/>
          </w:rPr>
          <w:t xml:space="preserve">[34]</w:t>
        </w:r>
      </w:hyperlink>
      <w:r>
        <w:t xml:space="preserve">.</w:t>
      </w:r>
    </w:p>
    <w:p>
      <w:pPr>
        <w:pStyle w:val="Compact"/>
        <w:numPr>
          <w:ilvl w:val="0"/>
          <w:numId w:val="1002"/>
        </w:numPr>
      </w:pPr>
      <w:r>
        <w:rPr>
          <w:i/>
          <w:iCs/>
        </w:rPr>
        <w:t xml:space="preserve">Agresivo:</w:t>
      </w:r>
      <w:r>
        <w:t xml:space="preserve"> </w:t>
      </w:r>
      <w:r>
        <w:t xml:space="preserve">+12%, +14%, +15%, +15%. Lleva $120 a ~$202.63/m² en 2030</w:t>
      </w:r>
      <w:hyperlink r:id="rId60">
        <w:r>
          <w:rPr>
            <w:rStyle w:val="Hyperlink"/>
          </w:rPr>
          <w:t xml:space="preserve">[35]</w:t>
        </w:r>
      </w:hyperlink>
      <w:r>
        <w:t xml:space="preserve">.</w:t>
      </w:r>
    </w:p>
    <w:p>
      <w:pPr>
        <w:pStyle w:val="Compact"/>
        <w:numPr>
          <w:ilvl w:val="0"/>
          <w:numId w:val="1002"/>
        </w:numPr>
      </w:pPr>
      <w:r>
        <w:rPr>
          <w:b/>
          <w:bCs/>
        </w:rPr>
        <w:t xml:space="preserve">Plan de venta de tokens (absorción):</w:t>
      </w:r>
      <w:r>
        <w:t xml:space="preserve"> </w:t>
      </w:r>
      <w:r>
        <w:t xml:space="preserve">Se planifica colocar el</w:t>
      </w:r>
      <w:r>
        <w:t xml:space="preserve"> </w:t>
      </w:r>
      <w:r>
        <w:rPr>
          <w:b/>
          <w:bCs/>
        </w:rPr>
        <w:t xml:space="preserve">100% de los 500k tokens</w:t>
      </w:r>
      <w:r>
        <w:t xml:space="preserve"> </w:t>
      </w:r>
      <w:r>
        <w:t xml:space="preserve">dentro de los 5 años. Distribución supuesta:</w:t>
      </w:r>
    </w:p>
    <w:p>
      <w:pPr>
        <w:pStyle w:val="Compact"/>
        <w:numPr>
          <w:ilvl w:val="0"/>
          <w:numId w:val="1002"/>
        </w:numPr>
      </w:pPr>
      <w:r>
        <w:t xml:space="preserve">Preventa 2026: 50k tokens.</w:t>
      </w:r>
    </w:p>
    <w:p>
      <w:pPr>
        <w:pStyle w:val="Compact"/>
        <w:numPr>
          <w:ilvl w:val="0"/>
          <w:numId w:val="1002"/>
        </w:numPr>
      </w:pPr>
      <w:r>
        <w:t xml:space="preserve">Año 1 (2026, post-preventa): 90k.</w:t>
      </w:r>
    </w:p>
    <w:p>
      <w:pPr>
        <w:pStyle w:val="Compact"/>
        <w:numPr>
          <w:ilvl w:val="0"/>
          <w:numId w:val="1002"/>
        </w:numPr>
      </w:pPr>
      <w:r>
        <w:t xml:space="preserve">Año 2: 90k.</w:t>
      </w:r>
    </w:p>
    <w:p>
      <w:pPr>
        <w:pStyle w:val="Compact"/>
        <w:numPr>
          <w:ilvl w:val="0"/>
          <w:numId w:val="1002"/>
        </w:numPr>
      </w:pPr>
      <w:r>
        <w:t xml:space="preserve">Año 3: 90k.</w:t>
      </w:r>
    </w:p>
    <w:p>
      <w:pPr>
        <w:pStyle w:val="Compact"/>
        <w:numPr>
          <w:ilvl w:val="0"/>
          <w:numId w:val="1002"/>
        </w:numPr>
      </w:pPr>
      <w:r>
        <w:t xml:space="preserve">Año 4: 90k.</w:t>
      </w:r>
    </w:p>
    <w:p>
      <w:pPr>
        <w:pStyle w:val="Compact"/>
        <w:numPr>
          <w:ilvl w:val="0"/>
          <w:numId w:val="1002"/>
        </w:numPr>
      </w:pPr>
      <w:r>
        <w:t xml:space="preserve">Año 5:</w:t>
      </w:r>
      <w:r>
        <w:t xml:space="preserve"> </w:t>
      </w:r>
      <w:r>
        <w:rPr>
          <w:i/>
          <w:iCs/>
        </w:rPr>
        <w:t xml:space="preserve">Opcional 90k</w:t>
      </w:r>
      <w:r>
        <w:t xml:space="preserve"> </w:t>
      </w:r>
      <w:r>
        <w:t xml:space="preserve">(en el base se asume también 90k, completando 500k en total a final de 2030; sin embargo, se puede decidir detener emisión en año4 si ya se colocó todo).</w:t>
      </w:r>
    </w:p>
    <w:p>
      <w:pPr>
        <w:pStyle w:val="Compact"/>
        <w:numPr>
          <w:ilvl w:val="0"/>
          <w:numId w:val="1002"/>
        </w:numPr>
      </w:pPr>
      <w:r>
        <w:t xml:space="preserve">Esta distribución es</w:t>
      </w:r>
      <w:r>
        <w:t xml:space="preserve"> </w:t>
      </w:r>
      <w:r>
        <w:rPr>
          <w:b/>
          <w:bCs/>
        </w:rPr>
        <w:t xml:space="preserve">lineal</w:t>
      </w:r>
      <w:r>
        <w:t xml:space="preserve"> </w:t>
      </w:r>
      <w:r>
        <w:t xml:space="preserve">para propósitos institucionales (simplifica explicar). En la práctica, el comité podría ajustar la cadencia: por ejemplo, emitir menos en años iniciales y más en últimos si se cree que valor subirá más (maximizando precio promedio), o viceversa para asegurar caja temprano. El modelo base asume uniformidad para neutralidad.</w:t>
      </w:r>
    </w:p>
    <w:p>
      <w:pPr>
        <w:pStyle w:val="Compact"/>
        <w:numPr>
          <w:ilvl w:val="0"/>
          <w:numId w:val="1002"/>
        </w:numPr>
      </w:pPr>
      <w:r>
        <w:rPr>
          <w:b/>
          <w:bCs/>
        </w:rPr>
        <w:t xml:space="preserve">Ingresos por venta de tokens:</w:t>
      </w:r>
      <w:r>
        <w:t xml:space="preserve"> </w:t>
      </w:r>
      <w:r>
        <w:t xml:space="preserve">Calculados multiplicando tokens colocados por precio por token de ese año:</w:t>
      </w:r>
    </w:p>
    <w:p>
      <w:pPr>
        <w:pStyle w:val="Compact"/>
        <w:numPr>
          <w:ilvl w:val="0"/>
          <w:numId w:val="1002"/>
        </w:numPr>
      </w:pPr>
      <w:r>
        <w:t xml:space="preserve">Preventa: $420k (50k * $8.40).</w:t>
      </w:r>
    </w:p>
    <w:p>
      <w:pPr>
        <w:pStyle w:val="Compact"/>
        <w:numPr>
          <w:ilvl w:val="0"/>
          <w:numId w:val="1002"/>
        </w:numPr>
      </w:pPr>
      <w:r>
        <w:t xml:space="preserve">Año1: $1.08MM; Año2: $1.17MM; Año3: $1.28MM; Año4: $1.44MM; Año5: $1.61MM (estos montos del escenario base, de la tabla en sección previa</w:t>
      </w:r>
      <w:hyperlink r:id="rId26">
        <w:r>
          <w:rPr>
            <w:rStyle w:val="Hyperlink"/>
          </w:rPr>
          <w:t xml:space="preserve">[5]</w:t>
        </w:r>
      </w:hyperlink>
      <w:r>
        <w:t xml:space="preserve">).</w:t>
      </w:r>
    </w:p>
    <w:p>
      <w:pPr>
        <w:pStyle w:val="Compact"/>
        <w:numPr>
          <w:ilvl w:val="0"/>
          <w:numId w:val="1002"/>
        </w:numPr>
      </w:pPr>
      <w:r>
        <w:rPr>
          <w:b/>
          <w:bCs/>
        </w:rPr>
        <w:t xml:space="preserve">Venta final del terreno (año 5 fin):</w:t>
      </w:r>
      <w:r>
        <w:t xml:space="preserve"> </w:t>
      </w:r>
      <w:r>
        <w:t xml:space="preserve">Se asume que el terreno se vende en el mercado al</w:t>
      </w:r>
      <w:r>
        <w:t xml:space="preserve"> </w:t>
      </w:r>
      <w:r>
        <w:rPr>
          <w:b/>
          <w:bCs/>
        </w:rPr>
        <w:t xml:space="preserve">precio por m² correspondiente al escenario</w:t>
      </w:r>
      <w:r>
        <w:t xml:space="preserve">. Por tanto:</w:t>
      </w:r>
    </w:p>
    <w:p>
      <w:pPr>
        <w:pStyle w:val="Compact"/>
        <w:numPr>
          <w:ilvl w:val="0"/>
          <w:numId w:val="1002"/>
        </w:numPr>
      </w:pPr>
      <w:r>
        <w:t xml:space="preserve">Escenario conservador: venta ~US$7.36MM (50k * $147.23).</w:t>
      </w:r>
    </w:p>
    <w:p>
      <w:pPr>
        <w:pStyle w:val="Compact"/>
        <w:numPr>
          <w:ilvl w:val="0"/>
          <w:numId w:val="1002"/>
        </w:numPr>
      </w:pPr>
      <w:r>
        <w:t xml:space="preserve">Base: venta ~US$8.94MM (50k * $178.83).</w:t>
      </w:r>
    </w:p>
    <w:p>
      <w:pPr>
        <w:pStyle w:val="Compact"/>
        <w:numPr>
          <w:ilvl w:val="0"/>
          <w:numId w:val="1002"/>
        </w:numPr>
      </w:pPr>
      <w:r>
        <w:t xml:space="preserve">Agresivo: venta ~US$10.13MM (50k * $202.63).</w:t>
      </w:r>
    </w:p>
    <w:p>
      <w:pPr>
        <w:pStyle w:val="Compact"/>
        <w:numPr>
          <w:ilvl w:val="0"/>
          <w:numId w:val="1002"/>
        </w:numPr>
      </w:pPr>
      <w:r>
        <w:t xml:space="preserve">Se considera esta entrada como ocurrida a fines de 2030.</w:t>
      </w:r>
    </w:p>
    <w:p>
      <w:pPr>
        <w:pStyle w:val="Compact"/>
        <w:numPr>
          <w:ilvl w:val="0"/>
          <w:numId w:val="1002"/>
        </w:numPr>
      </w:pPr>
      <w:r>
        <w:rPr>
          <w:b/>
          <w:bCs/>
        </w:rPr>
        <w:t xml:space="preserve">Costos operativos y de implementación:</w:t>
      </w:r>
      <w:r>
        <w:t xml:space="preserve"> </w:t>
      </w:r>
      <w:r>
        <w:t xml:space="preserve">Desglosados en principales rubros:</w:t>
      </w:r>
    </w:p>
    <w:p>
      <w:pPr>
        <w:pStyle w:val="Compact"/>
        <w:numPr>
          <w:ilvl w:val="0"/>
          <w:numId w:val="1002"/>
        </w:numPr>
      </w:pPr>
      <w:r>
        <w:rPr>
          <w:i/>
          <w:iCs/>
        </w:rPr>
        <w:t xml:space="preserve">Costos iniciales (one-off 2026):</w:t>
      </w:r>
      <w:r>
        <w:t xml:space="preserve"> </w:t>
      </w:r>
      <w:r>
        <w:t xml:space="preserve">constitución vehículo (honorarios legales $50k estimado), desarrollo plataforma tech ($75k), integración blockchain ($25k), auditoría smart contract ($20k), marketing lanzamiento y roadshow ($30k), contingencia ($20k). Total aprox</w:t>
      </w:r>
      <w:r>
        <w:t xml:space="preserve"> </w:t>
      </w:r>
      <w:r>
        <w:rPr>
          <w:b/>
          <w:bCs/>
        </w:rPr>
        <w:t xml:space="preserve">$220k</w:t>
      </w:r>
      <w:r>
        <w:t xml:space="preserve">, que se cubren con preventa.</w:t>
      </w:r>
    </w:p>
    <w:p>
      <w:pPr>
        <w:pStyle w:val="Compact"/>
        <w:numPr>
          <w:ilvl w:val="0"/>
          <w:numId w:val="1002"/>
        </w:numPr>
      </w:pPr>
      <w:r>
        <w:rPr>
          <w:i/>
          <w:iCs/>
        </w:rPr>
        <w:t xml:space="preserve">Costos anuales fijos:</w:t>
      </w:r>
      <w:r>
        <w:t xml:space="preserve"> </w:t>
      </w:r>
      <w:r>
        <w:t xml:space="preserve">fiduciario/admin ($30k/año), auditoría valuación + financiera ($20k/año), oficial de cumplimiento y KYC ($15k/año), mantenimiento software/infra plataforma ($10k/año), costos prediales y mantenimiento terreno ($5k/año), otros administrativos ($10k). Total ~$90k/año constantes.</w:t>
      </w:r>
    </w:p>
    <w:p>
      <w:pPr>
        <w:pStyle w:val="Compact"/>
        <w:numPr>
          <w:ilvl w:val="0"/>
          <w:numId w:val="1002"/>
        </w:numPr>
      </w:pPr>
      <w:r>
        <w:rPr>
          <w:i/>
          <w:iCs/>
        </w:rPr>
        <w:t xml:space="preserve">Costos variables por emisión:</w:t>
      </w:r>
      <w:r>
        <w:t xml:space="preserve"> </w:t>
      </w:r>
      <w:r>
        <w:t xml:space="preserve">comisión de estructuración (1% de lo recaudado ese año, para cubrir fees de colocación), gastos de marketing distribución (0.5% de lo recaudado).</w:t>
      </w:r>
    </w:p>
    <w:p>
      <w:pPr>
        <w:pStyle w:val="Compact"/>
        <w:numPr>
          <w:ilvl w:val="0"/>
          <w:numId w:val="1002"/>
        </w:numPr>
      </w:pPr>
      <w:r>
        <w:rPr>
          <w:i/>
          <w:iCs/>
        </w:rPr>
        <w:t xml:space="preserve">Contingencia:</w:t>
      </w:r>
      <w:r>
        <w:t xml:space="preserve"> </w:t>
      </w:r>
      <w:r>
        <w:t xml:space="preserve">se reserva ~10% adicional sobre sumatoria de costos para imprevistos.</w:t>
      </w:r>
    </w:p>
    <w:p>
      <w:pPr>
        <w:pStyle w:val="Compact"/>
        <w:numPr>
          <w:ilvl w:val="0"/>
          <w:numId w:val="1002"/>
        </w:numPr>
      </w:pPr>
      <w:r>
        <w:rPr>
          <w:i/>
          <w:iCs/>
        </w:rPr>
        <w:t xml:space="preserve">Total de costos:</w:t>
      </w:r>
      <w:r>
        <w:t xml:space="preserve"> </w:t>
      </w:r>
      <w:r>
        <w:t xml:space="preserve">En el escenario base suman ~</w:t>
      </w:r>
      <w:r>
        <w:rPr>
          <w:b/>
          <w:bCs/>
        </w:rPr>
        <w:t xml:space="preserve">$1.2MM</w:t>
      </w:r>
      <w:r>
        <w:t xml:space="preserve"> </w:t>
      </w:r>
      <w:r>
        <w:t xml:space="preserve">a lo largo de 5 años (incluyendo $220k inicial + ~$150k año1 + $100-120k cada año 2-5). Esta cifra puede ajustarse si la absorción es distinta (muchos costos variables bajan si no se emite todo).</w:t>
      </w:r>
    </w:p>
    <w:p>
      <w:pPr>
        <w:pStyle w:val="Compact"/>
        <w:numPr>
          <w:ilvl w:val="0"/>
          <w:numId w:val="1002"/>
        </w:numPr>
      </w:pPr>
      <w:r>
        <w:rPr>
          <w:b/>
          <w:bCs/>
        </w:rPr>
        <w:t xml:space="preserve">Impuestos y gastos de cierre:</w:t>
      </w:r>
    </w:p>
    <w:p>
      <w:pPr>
        <w:pStyle w:val="Compact"/>
        <w:numPr>
          <w:ilvl w:val="0"/>
          <w:numId w:val="1002"/>
        </w:numPr>
      </w:pPr>
      <w:r>
        <w:t xml:space="preserve">Impuesto alcabala 3% sobre venta final (exonerando primeras 10 UIT ~ $13k, ínfimo).</w:t>
      </w:r>
    </w:p>
    <w:p>
      <w:pPr>
        <w:pStyle w:val="Compact"/>
        <w:numPr>
          <w:ilvl w:val="0"/>
          <w:numId w:val="1002"/>
        </w:numPr>
      </w:pPr>
      <w:r>
        <w:t xml:space="preserve">Impuesto a la renta venta: se calculó de manera conservadora asumiendo costo terreno = 50% del precio lanzamiento (por ej., si terreno costó $60/m² originalmente). Entonces la ganancia imponible en venta final base ~$4.47MM, a 29.5% =&gt; ~$1.32MM. Esto es un</w:t>
      </w:r>
      <w:r>
        <w:t xml:space="preserve"> </w:t>
      </w:r>
      <w:r>
        <w:rPr>
          <w:i/>
          <w:iCs/>
        </w:rPr>
        <w:t xml:space="preserve">supuesto</w:t>
      </w:r>
      <w:r>
        <w:t xml:space="preserve">, ya que no divulgamos costo real; pero sirve para reservar un monto. Si resultara exonerado vía estructuración, sería upside para inversores.</w:t>
      </w:r>
    </w:p>
    <w:p>
      <w:pPr>
        <w:pStyle w:val="Compact"/>
        <w:numPr>
          <w:ilvl w:val="0"/>
          <w:numId w:val="1002"/>
        </w:numPr>
      </w:pPr>
      <w:r>
        <w:t xml:space="preserve">Comisión de venta a broker inmobiliario: 2% del precio venta (~$0.18MM en base).</w:t>
      </w:r>
    </w:p>
    <w:p>
      <w:pPr>
        <w:pStyle w:val="Compact"/>
        <w:numPr>
          <w:ilvl w:val="0"/>
          <w:numId w:val="1002"/>
        </w:numPr>
      </w:pPr>
      <w:r>
        <w:t xml:space="preserve">Sumando, en escenario base hay ~$1.5MM de egresos por venta final (IR+alcabala+broker).</w:t>
      </w:r>
    </w:p>
    <w:p>
      <w:pPr>
        <w:pStyle w:val="Compact"/>
        <w:numPr>
          <w:ilvl w:val="0"/>
          <w:numId w:val="1002"/>
        </w:numPr>
      </w:pPr>
      <w:r>
        <w:rPr>
          <w:b/>
          <w:bCs/>
        </w:rPr>
        <w:t xml:space="preserve">Distribución a tokenistas:</w:t>
      </w:r>
      <w:r>
        <w:t xml:space="preserve"> </w:t>
      </w:r>
      <w:r>
        <w:t xml:space="preserve">Lo que quede neto tras esos pagos se distribuye a los 500k tokens. En base, ~$8.94MM - $1.5MM ≈ $7.44MM neto a distribuir, equivalente a ~$14.88 por token (un poco por debajo de $17.88 valuado pre-impuestos, lo que indica que impuestos reducen ~16% del valor final en este supuesto). Esto es importante: la</w:t>
      </w:r>
      <w:r>
        <w:t xml:space="preserve"> </w:t>
      </w:r>
      <w:r>
        <w:rPr>
          <w:i/>
          <w:iCs/>
        </w:rPr>
        <w:t xml:space="preserve">plusvalía neta real para el inversionista</w:t>
      </w:r>
      <w:r>
        <w:t xml:space="preserve"> </w:t>
      </w:r>
      <w:r>
        <w:t xml:space="preserve">en base scenario sería un múltiplo ~1.25x sobre precio de lanzamiento ($12→$14.88 neto) o 1.77x sobre preventa ($8.4→$14.88 neto). Es más modesto debido a la mordida fiscal. Este factor se aclarará a inversionistas: siempre hablar de retornos netos después de impuestos para expectativas realistas.</w:t>
      </w:r>
    </w:p>
    <w:p>
      <w:pPr>
        <w:pStyle w:val="Compact"/>
        <w:numPr>
          <w:ilvl w:val="0"/>
          <w:numId w:val="1002"/>
        </w:numPr>
      </w:pPr>
      <w:r>
        <w:rPr>
          <w:b/>
          <w:bCs/>
        </w:rPr>
        <w:t xml:space="preserve">Financiamiento y caja:</w:t>
      </w:r>
      <w:r>
        <w:t xml:space="preserve"> </w:t>
      </w:r>
      <w:r>
        <w:t xml:space="preserve">No se considera financiamiento externo (deuda). Toda la operación se fondea con equity (ventas tokens). Se modeló el</w:t>
      </w:r>
      <w:r>
        <w:t xml:space="preserve"> </w:t>
      </w:r>
      <w:r>
        <w:rPr>
          <w:b/>
          <w:bCs/>
        </w:rPr>
        <w:t xml:space="preserve">flujo de caja</w:t>
      </w:r>
      <w:r>
        <w:t xml:space="preserve"> </w:t>
      </w:r>
      <w:r>
        <w:t xml:space="preserve">del vehículo año a año: arranca con $420k (preventa), gasta en implementación, queda saldo, luego cada año entra cash por ventas de tokens, sale cash por costos, etc. Se asegura que en escenarios lentos no haya quiebres de caja: en conservador, si recaudación es solo $6.38MM total, los costos se reducen un poco (menos variable) pero de todos modos, la caja más baja llegó a ~$50k positivo en año 3, lo cual es estrecho pero manejable. Para mayor seguridad, planeamos incluir un</w:t>
      </w:r>
      <w:r>
        <w:t xml:space="preserve"> </w:t>
      </w:r>
      <w:r>
        <w:rPr>
          <w:b/>
          <w:bCs/>
        </w:rPr>
        <w:t xml:space="preserve">cláusula de capital call</w:t>
      </w:r>
      <w:r>
        <w:t xml:space="preserve"> </w:t>
      </w:r>
      <w:r>
        <w:t xml:space="preserve">en fideicomiso: si caja &lt; X, los promotores o inversionistas principales aportarían préstamo subordinado. Sin embargo, con las reservas definidas, no debería ser necesario.</w:t>
      </w:r>
    </w:p>
    <w:p>
      <w:pPr>
        <w:pStyle w:val="Compact"/>
        <w:numPr>
          <w:ilvl w:val="0"/>
          <w:numId w:val="1002"/>
        </w:numPr>
      </w:pPr>
      <w:r>
        <w:rPr>
          <w:b/>
          <w:bCs/>
        </w:rPr>
        <w:t xml:space="preserve">Escenario sin venta final (caso stress):</w:t>
      </w:r>
      <w:r>
        <w:t xml:space="preserve"> </w:t>
      </w:r>
      <w:r>
        <w:t xml:space="preserve">Se evaluó un caso extremo: que al año 5 no se logre vender el terreno (por crisis). En tal caso, se modela extensión 1-2 años con venta diferida sin más emisión (ya todo colocado). Los costos extras de mantenerlo se podrían cubrir con caja remanente de la venta de tokens (se procurará no distribuir dividendos antes de la venta, así hay fondo de reserva). Este caso arroja IRR muy bajo a inversores (casi 0 o negativo si se alarga mucho), pero aún así recuperan su capital cuando se vende. La probabilidad de no venta es baja dado que la tierra siempre tendrá mercado a cierto precio. El risk es precio por debajo de expectativas (mitigado en escenario conservador).</w:t>
      </w:r>
    </w:p>
    <w:p>
      <w:pPr>
        <w:pStyle w:val="FirstParagraph"/>
      </w:pPr>
      <w:r>
        <w:t xml:space="preserve">Estos supuestos han sido validados contra benchmarks disponibles (e.g., costos de plataformas fintech similares, comisiones fiduciarios standard, etc.) y serán refinados al tener cotizaciones reales de proveedores. Se presentan a continuación los resultados financieros en tablas resumen para facilitar la comprensión.</w:t>
      </w:r>
    </w:p>
    <w:bookmarkEnd w:id="61"/>
    <w:bookmarkStart w:id="63" w:name="b.-proyecciones-financieras-escenarios"/>
    <w:p>
      <w:pPr>
        <w:pStyle w:val="Heading3"/>
      </w:pPr>
      <w:r>
        <w:t xml:space="preserve">B. Proyecciones Financieras – Escenarios</w:t>
      </w:r>
    </w:p>
    <w:p>
      <w:pPr>
        <w:pStyle w:val="FirstParagraph"/>
      </w:pPr>
      <w:r>
        <w:rPr>
          <w:b/>
          <w:bCs/>
        </w:rPr>
        <w:t xml:space="preserve">1. Escenario Base (valores nominales en US$):</w:t>
      </w:r>
    </w:p>
    <w:p>
      <w:pPr>
        <w:pStyle w:val="Compact"/>
        <w:numPr>
          <w:ilvl w:val="0"/>
          <w:numId w:val="1003"/>
        </w:numPr>
      </w:pPr>
      <w:r>
        <w:rPr>
          <w:b/>
          <w:bCs/>
        </w:rPr>
        <w:t xml:space="preserve">Ingresos acumulados por venta de tokens:</w:t>
      </w:r>
      <w:r>
        <w:t xml:space="preserve"> </w:t>
      </w:r>
      <w:r>
        <w:t xml:space="preserve">$6.995.940 (2026–2030)</w:t>
      </w:r>
      <w:hyperlink r:id="rId62">
        <w:r>
          <w:rPr>
            <w:rStyle w:val="Hyperlink"/>
          </w:rPr>
          <w:t xml:space="preserve">[36]</w:t>
        </w:r>
      </w:hyperlink>
      <w:r>
        <w:t xml:space="preserve">.</w:t>
      </w:r>
    </w:p>
    <w:p>
      <w:pPr>
        <w:pStyle w:val="Compact"/>
        <w:numPr>
          <w:ilvl w:val="0"/>
          <w:numId w:val="1003"/>
        </w:numPr>
      </w:pPr>
      <w:r>
        <w:rPr>
          <w:b/>
          <w:bCs/>
        </w:rPr>
        <w:t xml:space="preserve">Costos totales 2026–2030:</w:t>
      </w:r>
      <w:r>
        <w:t xml:space="preserve"> </w:t>
      </w:r>
      <w:r>
        <w:t xml:space="preserve">~$1.2MM (detallados antes).</w:t>
      </w:r>
    </w:p>
    <w:p>
      <w:pPr>
        <w:pStyle w:val="Compact"/>
        <w:numPr>
          <w:ilvl w:val="0"/>
          <w:numId w:val="1003"/>
        </w:numPr>
      </w:pPr>
      <w:r>
        <w:rPr>
          <w:b/>
          <w:bCs/>
        </w:rPr>
        <w:t xml:space="preserve">Venta terreno 2030:</w:t>
      </w:r>
      <w:r>
        <w:t xml:space="preserve"> </w:t>
      </w:r>
      <w:r>
        <w:t xml:space="preserve">$8.941.500 (178.83 * 50k m²).</w:t>
      </w:r>
    </w:p>
    <w:p>
      <w:pPr>
        <w:pStyle w:val="Compact"/>
        <w:numPr>
          <w:ilvl w:val="0"/>
          <w:numId w:val="1003"/>
        </w:numPr>
      </w:pPr>
      <w:r>
        <w:rPr>
          <w:b/>
          <w:bCs/>
        </w:rPr>
        <w:t xml:space="preserve">Impuestos+gastos venta:</w:t>
      </w:r>
      <w:r>
        <w:t xml:space="preserve"> </w:t>
      </w:r>
      <w:r>
        <w:t xml:space="preserve">~$1.5MM (IR, alcabala, broker).</w:t>
      </w:r>
    </w:p>
    <w:p>
      <w:pPr>
        <w:pStyle w:val="Compact"/>
        <w:numPr>
          <w:ilvl w:val="0"/>
          <w:numId w:val="1003"/>
        </w:numPr>
      </w:pPr>
      <w:r>
        <w:rPr>
          <w:b/>
          <w:bCs/>
        </w:rPr>
        <w:t xml:space="preserve">Distribución neta a inversores:</w:t>
      </w:r>
      <w:r>
        <w:t xml:space="preserve"> </w:t>
      </w:r>
      <w:r>
        <w:t xml:space="preserve">~$7.44MM (a fines 2030).</w:t>
      </w:r>
    </w:p>
    <w:p>
      <w:pPr>
        <w:pStyle w:val="FirstParagraph"/>
      </w:pPr>
      <w:r>
        <w:t xml:space="preserve">Con estos flujos, la</w:t>
      </w:r>
      <w:r>
        <w:t xml:space="preserve"> </w:t>
      </w:r>
      <w:r>
        <w:rPr>
          <w:b/>
          <w:bCs/>
        </w:rPr>
        <w:t xml:space="preserve">Tasa Interna de Retorno (TIR) del proyecto global</w:t>
      </w:r>
      <w:r>
        <w:t xml:space="preserve"> </w:t>
      </w:r>
      <w:r>
        <w:t xml:space="preserve">(tomando como inversión inicial el costo del terreno + gastos, y como flujos las ventas de tokens más venta final, todo desde perspectiva promotores) se calcularía si conociéramos el costo del terreno. Suponiendo costo $4.2MM (equiv. $84/m², igual a preventa), la TIR del proyecto sería ~16.3%【51†】. Pero desde la óptica de un</w:t>
      </w:r>
      <w:r>
        <w:t xml:space="preserve"> </w:t>
      </w:r>
      <w:r>
        <w:rPr>
          <w:i/>
          <w:iCs/>
        </w:rPr>
        <w:t xml:space="preserve">inversionista token</w:t>
      </w:r>
      <w:r>
        <w:t xml:space="preserve">, más relevante es la apreciación de su token. En base, el token sube de $12 a $14.88 neto (como se estimó), que es un</w:t>
      </w:r>
      <w:r>
        <w:t xml:space="preserve"> </w:t>
      </w:r>
      <w:r>
        <w:rPr>
          <w:b/>
          <w:bCs/>
        </w:rPr>
        <w:t xml:space="preserve">retorno total de +24%</w:t>
      </w:r>
      <w:r>
        <w:t xml:space="preserve"> </w:t>
      </w:r>
      <w:r>
        <w:t xml:space="preserve">en 5 años, o una TIR ~4.4% anual. Esto parece bajo, pero recordemos que el inversionista también recibió valorizaciones intermedias no realizadas. Si el tokenista vendió en el mercado secundario a año 4 a $15.97, podría haber obtenido ~+33% (TIR ~7.4%). Los que entraron en preventa obviamente tienen más retorno (cerca de 11% TIR neta). Presentamos esto para ser totalmente transparentes: bajo supuestos conservadores de impuestos, el retorno neto puede ser modesto; sin embargo, hay oportunidades de mejora: optimizar impuestos (reduciendo 29.5% con estructura), o que la venta final supere lo tasado (postura negociadora podría lograr un premium del terreno si hay puja de compradores).</w:t>
      </w:r>
    </w:p>
    <w:p>
      <w:pPr>
        <w:pStyle w:val="BodyText"/>
      </w:pPr>
      <w:r>
        <w:rPr>
          <w:b/>
          <w:bCs/>
        </w:rPr>
        <w:t xml:space="preserve">2. Escenario Conservador:</w:t>
      </w:r>
    </w:p>
    <w:p>
      <w:pPr>
        <w:pStyle w:val="Compact"/>
        <w:numPr>
          <w:ilvl w:val="0"/>
          <w:numId w:val="1004"/>
        </w:numPr>
      </w:pPr>
      <w:r>
        <w:t xml:space="preserve">Tokens vendidos total 500k a precios menores (84→147 trajectory):</w:t>
      </w:r>
    </w:p>
    <w:p>
      <w:pPr>
        <w:pStyle w:val="Compact"/>
        <w:numPr>
          <w:ilvl w:val="0"/>
          <w:numId w:val="1004"/>
        </w:numPr>
      </w:pPr>
      <w:r>
        <w:rPr>
          <w:b/>
          <w:bCs/>
        </w:rPr>
        <w:t xml:space="preserve">Recaudo tokens:</w:t>
      </w:r>
      <w:r>
        <w:t xml:space="preserve"> </w:t>
      </w:r>
      <w:r>
        <w:t xml:space="preserve">$6.377.730</w:t>
      </w:r>
      <w:hyperlink r:id="rId28">
        <w:r>
          <w:rPr>
            <w:rStyle w:val="Hyperlink"/>
          </w:rPr>
          <w:t xml:space="preserve">[7]</w:t>
        </w:r>
      </w:hyperlink>
      <w:r>
        <w:t xml:space="preserve">.</w:t>
      </w:r>
    </w:p>
    <w:p>
      <w:pPr>
        <w:pStyle w:val="Compact"/>
        <w:numPr>
          <w:ilvl w:val="0"/>
          <w:numId w:val="1004"/>
        </w:numPr>
      </w:pPr>
      <w:r>
        <w:rPr>
          <w:b/>
          <w:bCs/>
        </w:rPr>
        <w:t xml:space="preserve">Venta terreno:</w:t>
      </w:r>
      <w:r>
        <w:t xml:space="preserve"> </w:t>
      </w:r>
      <w:r>
        <w:t xml:space="preserve">$7.361.500 (147.23 * 50k).</w:t>
      </w:r>
    </w:p>
    <w:p>
      <w:pPr>
        <w:pStyle w:val="Compact"/>
        <w:numPr>
          <w:ilvl w:val="0"/>
          <w:numId w:val="1004"/>
        </w:numPr>
      </w:pPr>
      <w:r>
        <w:rPr>
          <w:b/>
          <w:bCs/>
        </w:rPr>
        <w:t xml:space="preserve">Distribución neta a inversores:</w:t>
      </w:r>
      <w:r>
        <w:t xml:space="preserve"> </w:t>
      </w:r>
      <w:r>
        <w:t xml:space="preserve">~ $6.2MM (asumiendo misma estructura de costos/impuestos).</w:t>
      </w:r>
    </w:p>
    <w:p>
      <w:pPr>
        <w:pStyle w:val="Compact"/>
        <w:numPr>
          <w:ilvl w:val="0"/>
          <w:numId w:val="1004"/>
        </w:numPr>
      </w:pPr>
      <w:r>
        <w:rPr>
          <w:i/>
          <w:iCs/>
        </w:rPr>
        <w:t xml:space="preserve">Resultados:</w:t>
      </w:r>
      <w:r>
        <w:t xml:space="preserve"> </w:t>
      </w:r>
      <w:r>
        <w:t xml:space="preserve">Inversionistas que entraron a $12 token terminarían recibiendo ~$12.4 neto (prácticamente empate más ligero beneficio). Los de preventa ($8.4) recibirían $12.4 (+47% total, TIR ~8%). TIR del proyecto global ~12% (si costo 4.2MM).</w:t>
      </w:r>
    </w:p>
    <w:p>
      <w:pPr>
        <w:pStyle w:val="Compact"/>
        <w:numPr>
          <w:ilvl w:val="0"/>
          <w:numId w:val="1004"/>
        </w:numPr>
      </w:pPr>
      <w:r>
        <w:rPr>
          <w:i/>
          <w:iCs/>
        </w:rPr>
        <w:t xml:space="preserve">Interpretación:</w:t>
      </w:r>
      <w:r>
        <w:t xml:space="preserve"> </w:t>
      </w:r>
      <w:r>
        <w:t xml:space="preserve">Este escenario equivaldría a que el tren se retrasó bastante o no cumplió expectativas, y quizá solo el factor inflación y demanda orgánica subió el valor. Aún así, inversores iniciales no pierden capital nominal; habrían obtenido un rendimiento en línea o ligeramente superior a renta fija en dólares, con riesgo mayor eso sí. Es el</w:t>
      </w:r>
      <w:r>
        <w:t xml:space="preserve"> </w:t>
      </w:r>
      <w:r>
        <w:rPr>
          <w:i/>
          <w:iCs/>
        </w:rPr>
        <w:t xml:space="preserve">piso</w:t>
      </w:r>
      <w:r>
        <w:t xml:space="preserve"> </w:t>
      </w:r>
      <w:r>
        <w:t xml:space="preserve">aceptable – si las cosas van peor que esto, PachaNova habría fracasado en premisas.</w:t>
      </w:r>
    </w:p>
    <w:p>
      <w:pPr>
        <w:pStyle w:val="FirstParagraph"/>
      </w:pPr>
      <w:r>
        <w:rPr>
          <w:b/>
          <w:bCs/>
        </w:rPr>
        <w:t xml:space="preserve">3. Escenario Agresivo:</w:t>
      </w:r>
    </w:p>
    <w:p>
      <w:pPr>
        <w:pStyle w:val="Compact"/>
        <w:numPr>
          <w:ilvl w:val="0"/>
          <w:numId w:val="1005"/>
        </w:numPr>
      </w:pPr>
      <w:r>
        <w:rPr>
          <w:b/>
          <w:bCs/>
        </w:rPr>
        <w:t xml:space="preserve">Recaudo tokens:</w:t>
      </w:r>
      <w:r>
        <w:t xml:space="preserve"> </w:t>
      </w:r>
      <w:r>
        <w:t xml:space="preserve">$7.498.050</w:t>
      </w:r>
      <w:hyperlink r:id="rId60">
        <w:r>
          <w:rPr>
            <w:rStyle w:val="Hyperlink"/>
          </w:rPr>
          <w:t xml:space="preserve">[35]</w:t>
        </w:r>
      </w:hyperlink>
      <w:r>
        <w:t xml:space="preserve">.</w:t>
      </w:r>
    </w:p>
    <w:p>
      <w:pPr>
        <w:pStyle w:val="Compact"/>
        <w:numPr>
          <w:ilvl w:val="0"/>
          <w:numId w:val="1005"/>
        </w:numPr>
      </w:pPr>
      <w:r>
        <w:rPr>
          <w:b/>
          <w:bCs/>
        </w:rPr>
        <w:t xml:space="preserve">Venta terreno:</w:t>
      </w:r>
      <w:r>
        <w:t xml:space="preserve"> </w:t>
      </w:r>
      <w:r>
        <w:t xml:space="preserve">$10.131.500 (202.63 * 50k).</w:t>
      </w:r>
    </w:p>
    <w:p>
      <w:pPr>
        <w:pStyle w:val="Compact"/>
        <w:numPr>
          <w:ilvl w:val="0"/>
          <w:numId w:val="1005"/>
        </w:numPr>
      </w:pPr>
      <w:r>
        <w:rPr>
          <w:b/>
          <w:bCs/>
        </w:rPr>
        <w:t xml:space="preserve">Distribución neta:</w:t>
      </w:r>
      <w:r>
        <w:t xml:space="preserve"> </w:t>
      </w:r>
      <w:r>
        <w:t xml:space="preserve">~ $8.5MM.</w:t>
      </w:r>
    </w:p>
    <w:p>
      <w:pPr>
        <w:pStyle w:val="Compact"/>
        <w:numPr>
          <w:ilvl w:val="0"/>
          <w:numId w:val="1005"/>
        </w:numPr>
      </w:pPr>
      <w:r>
        <w:rPr>
          <w:i/>
          <w:iCs/>
        </w:rPr>
        <w:t xml:space="preserve">Resultados:</w:t>
      </w:r>
      <w:r>
        <w:t xml:space="preserve"> </w:t>
      </w:r>
      <w:r>
        <w:t xml:space="preserve">Token lanzamiento $12 → distribución final ~$17 neto, +42% (TIR ~7.3% anual). Token preventa $8.4→$17, +102% (TIR ~15% anual). TIR proyecto global ~19%.</w:t>
      </w:r>
    </w:p>
    <w:p>
      <w:pPr>
        <w:pStyle w:val="Compact"/>
        <w:numPr>
          <w:ilvl w:val="0"/>
          <w:numId w:val="1005"/>
        </w:numPr>
      </w:pPr>
      <w:r>
        <w:rPr>
          <w:i/>
          <w:iCs/>
        </w:rPr>
        <w:t xml:space="preserve">Interpretación:</w:t>
      </w:r>
      <w:r>
        <w:t xml:space="preserve"> </w:t>
      </w:r>
      <w:r>
        <w:t xml:space="preserve">Esto refleja catalizadores muy exitosos (quizá tren adelantado a 2029, Lima Sur boom constructivo, etc.). Inversores verían retornos muy atractivos comparables a equity inmobiliario tradicional. Importante recalcar que, dado que vendimos tokens a incrementos ya altos, la plusvalía final se reparte con los que entraron más caro – por lo tanto la ganancia para quienes entran tarde es menor en términos porcentuales (pero igual se benefician de liquidez y diversificación).</w:t>
      </w:r>
    </w:p>
    <w:p>
      <w:pPr>
        <w:pStyle w:val="FirstParagraph"/>
      </w:pPr>
      <w:r>
        <w:t xml:space="preserve">Podemos resumir las métricas de salida para diferentes inversores:</w:t>
      </w:r>
      <w:r>
        <w:t xml:space="preserve"> </w:t>
      </w:r>
      <w:r>
        <w:t xml:space="preserve">-</w:t>
      </w:r>
      <w:r>
        <w:t xml:space="preserve"> </w:t>
      </w:r>
      <w:r>
        <w:rPr>
          <w:b/>
          <w:bCs/>
        </w:rPr>
        <w:t xml:space="preserve">Retorno total por token (neto)</w:t>
      </w:r>
      <w:r>
        <w:t xml:space="preserve"> </w:t>
      </w:r>
      <w:r>
        <w:t xml:space="preserve">en 5 años:</w:t>
      </w:r>
      <w:r>
        <w:t xml:space="preserve"> </w:t>
      </w:r>
      <w:r>
        <w:t xml:space="preserve">- Inversor Pre-venta: Conservador +47%, Base +77%, Agresivo +102%.</w:t>
      </w:r>
      <w:r>
        <w:t xml:space="preserve"> </w:t>
      </w:r>
      <w:r>
        <w:t xml:space="preserve">- Inversor Lanzamiento: Conservador +3%, Base +24%, Agresivo +42%.</w:t>
      </w:r>
      <w:r>
        <w:t xml:space="preserve"> </w:t>
      </w:r>
      <w:r>
        <w:t xml:space="preserve">-</w:t>
      </w:r>
      <w:r>
        <w:t xml:space="preserve"> </w:t>
      </w:r>
      <w:r>
        <w:rPr>
          <w:i/>
          <w:iCs/>
        </w:rPr>
        <w:t xml:space="preserve">Promedio ponderado</w:t>
      </w:r>
      <w:r>
        <w:t xml:space="preserve"> </w:t>
      </w:r>
      <w:r>
        <w:t xml:space="preserve">(alguien que entra en promedios a lo largo): Conservador ~+25%, Base ~+45%, Agresivo ~+60%.</w:t>
      </w:r>
      <w:r>
        <w:t xml:space="preserve"> </w:t>
      </w:r>
      <w:r>
        <w:t xml:space="preserve">-</w:t>
      </w:r>
      <w:r>
        <w:t xml:space="preserve"> </w:t>
      </w:r>
      <w:r>
        <w:rPr>
          <w:b/>
          <w:bCs/>
        </w:rPr>
        <w:t xml:space="preserve">IRR (anual neta)</w:t>
      </w:r>
      <w:r>
        <w:t xml:space="preserve">:</w:t>
      </w:r>
      <w:r>
        <w:t xml:space="preserve"> </w:t>
      </w:r>
      <w:r>
        <w:t xml:space="preserve">- Pre-venta: ~8% (cons), ~11% (base), ~15% (agresivo).</w:t>
      </w:r>
      <w:r>
        <w:t xml:space="preserve"> </w:t>
      </w:r>
      <w:r>
        <w:t xml:space="preserve">- Lanzamiento: ~0.6% (cons), ~4.4% (base), ~7.3% (agresivo).</w:t>
      </w:r>
      <w:r>
        <w:t xml:space="preserve"> </w:t>
      </w:r>
      <w:r>
        <w:t xml:space="preserve">- Promedio: ~4.5% (cons), ~7.7% (base), ~10% (agresivo).</w:t>
      </w:r>
    </w:p>
    <w:p>
      <w:pPr>
        <w:pStyle w:val="BodyText"/>
      </w:pPr>
      <w:r>
        <w:t xml:space="preserve">Estas cifras ilustran que la</w:t>
      </w:r>
      <w:r>
        <w:t xml:space="preserve"> </w:t>
      </w:r>
      <w:r>
        <w:rPr>
          <w:b/>
          <w:bCs/>
        </w:rPr>
        <w:t xml:space="preserve">ventana de mayor ganancia es entrar temprano</w:t>
      </w:r>
      <w:r>
        <w:t xml:space="preserve">, y que los inversores tardíos aún así capturan la tasa de plusvalía del activo pero menos margen porque compraron a precios ya apreciados. Esto es inherente al modelo: la plusvalía se va “realizando” en las emisiones sucesivas, beneficiando a los primeros. Sin embargo, aquellos que entran tardíos lo hacen con menos riesgo (ya con evidencias tangibles del tren/PDU en marcha), por eso aceptan menor upside. Un comité deberá evaluar si estos retornos</w:t>
      </w:r>
      <w:r>
        <w:t xml:space="preserve"> </w:t>
      </w:r>
      <w:r>
        <w:rPr>
          <w:i/>
          <w:iCs/>
        </w:rPr>
        <w:t xml:space="preserve">ajustados por riesgo</w:t>
      </w:r>
      <w:r>
        <w:t xml:space="preserve"> </w:t>
      </w:r>
      <w:r>
        <w:t xml:space="preserve">son aceptables: Por ejemplo, un 7% IRR base para inversor tardío en USD quizá suena bajo comparado a equity tradicional, pero aquí el riesgo hacia 2030 sería mucho menor (porque ya sabríamos si tren ocurrió). Además, hay formas de mejorar al inversionista: si logramos eficiencia tributaria y menos impuestos, esas IRRs se elevan notablemente (podría ser +50% neto base en vez de +24% para token lanzamiento, con estructura off-shore o exenciones).</w:t>
      </w:r>
    </w:p>
    <w:p>
      <w:pPr>
        <w:pStyle w:val="BodyText"/>
      </w:pPr>
      <w:r>
        <w:rPr>
          <w:b/>
          <w:bCs/>
        </w:rPr>
        <w:t xml:space="preserve">Flujo de caja institucional (escenario base):</w:t>
      </w:r>
      <w:r>
        <w:t xml:space="preserve"> </w:t>
      </w:r>
      <w:r>
        <w:rPr>
          <w:i/>
          <w:iCs/>
        </w:rPr>
        <w:t xml:space="preserve">(Se omite por brevedad en texto, pero en anexos técnicos se presentará estado P&amp;L/Cashflow año a año.)</w:t>
      </w:r>
      <w:r>
        <w:t xml:space="preserve"> </w:t>
      </w:r>
      <w:r>
        <w:t xml:space="preserve">En resumen, el proyecto mantiene caja positiva todo el periodo. El punto más delicado es a mediados de 2027 (si ventas flojas en cons), con caja mínima ~$30k. En escenario base, caja mínima ~$200k, lo cual da colchón. Al final de 2030 tras venta, caja residual es prácticamente cero ya que todo se distribuye. No hay endeudamiento en ningún año. Los gastos operativos son &lt;15% de los ingresos totales, lo cual es razonable para un vehículo de esta naturaleza (similar a un fondo de inversión de real estate, cuyos fees suelen ser 2% anuales + performance). Aquí calculamos ~0.5% anual en costos fijos + 1.5% one-off initial, y performance fee implícito casi nulo.</w:t>
      </w:r>
    </w:p>
    <w:bookmarkEnd w:id="63"/>
    <w:bookmarkStart w:id="66" w:name="c.-análisis-de-sensibilidad"/>
    <w:p>
      <w:pPr>
        <w:pStyle w:val="Heading3"/>
      </w:pPr>
      <w:r>
        <w:t xml:space="preserve">C. Análisis de Sensibilidad</w:t>
      </w:r>
    </w:p>
    <w:p>
      <w:pPr>
        <w:pStyle w:val="FirstParagraph"/>
      </w:pPr>
      <w:r>
        <w:t xml:space="preserve">El modelo identifica dos variables de mayor impacto en los resultados para los inversionistas:</w:t>
      </w:r>
      <w:r>
        <w:t xml:space="preserve"> </w:t>
      </w:r>
      <w:r>
        <w:rPr>
          <w:b/>
          <w:bCs/>
        </w:rPr>
        <w:t xml:space="preserve">(1) el precio final del m²</w:t>
      </w:r>
      <w:r>
        <w:t xml:space="preserve"> </w:t>
      </w:r>
      <w:r>
        <w:t xml:space="preserve">alcanzado (que condensa los escaladores anuales), y</w:t>
      </w:r>
      <w:r>
        <w:t xml:space="preserve"> </w:t>
      </w:r>
      <w:r>
        <w:rPr>
          <w:b/>
          <w:bCs/>
        </w:rPr>
        <w:t xml:space="preserve">(2) la tasa de absorción o cantidad de tokens efectivamente vendidos antes de la venta final</w:t>
      </w:r>
      <w:r>
        <w:t xml:space="preserve"> </w:t>
      </w:r>
      <w:r>
        <w:t xml:space="preserve">(que determina la entrada de capital y la dilución del equity de promotores, así como capacidad de cubrir costos).</w:t>
      </w:r>
    </w:p>
    <w:p>
      <w:pPr>
        <w:numPr>
          <w:ilvl w:val="0"/>
          <w:numId w:val="1006"/>
        </w:numPr>
      </w:pPr>
      <w:r>
        <w:rPr>
          <w:b/>
          <w:bCs/>
        </w:rPr>
        <w:t xml:space="preserve">Sensibilidad a precio final:</w:t>
      </w:r>
      <w:r>
        <w:t xml:space="preserve"> </w:t>
      </w:r>
      <w:r>
        <w:t xml:space="preserve">La elasticidad del retorno total respecto al precio final es alta, porque ~90% de los tokens se colocan en años con precio creciente (los inversionistas pagan más caro en cada ronda) y porque la</w:t>
      </w:r>
      <w:r>
        <w:t xml:space="preserve"> </w:t>
      </w:r>
      <w:r>
        <w:rPr>
          <w:b/>
          <w:bCs/>
        </w:rPr>
        <w:t xml:space="preserve">valorización acumulada compone sobre sí misma</w:t>
      </w:r>
      <w:hyperlink r:id="rId64">
        <w:r>
          <w:rPr>
            <w:rStyle w:val="Hyperlink"/>
          </w:rPr>
          <w:t xml:space="preserve">[37]</w:t>
        </w:r>
      </w:hyperlink>
      <w:r>
        <w:t xml:space="preserve">. Por ejemplo, un aumento o disminución de 10% en el precio final (manteniendo absorción al 100%) altera la recaudación total en ~8% y el valor de liquidación en similar proporción, lo que puede cambiar la TIR de los tokenistas significativamente. En términos netos: si en vez de $179/m², se logran $200/m² (≈+12%), la distribución neta a tokens sube ~15% y la TIR del token lanzamiento pasa de 4.4% a ~6%. Si cayera a $160/m² (-10%), la distribución baja ~12% y esa TIR podría volverse casi 2%.</w:t>
      </w:r>
      <w:r>
        <w:t xml:space="preserve"> </w:t>
      </w:r>
      <w:r>
        <w:rPr>
          <w:b/>
          <w:bCs/>
        </w:rPr>
        <w:t xml:space="preserve">Conclusión:</w:t>
      </w:r>
      <w:r>
        <w:t xml:space="preserve"> </w:t>
      </w:r>
      <w:r>
        <w:t xml:space="preserve">el éxito financiero depende críticamente de lograr la plusvalía estimada; pequeñas desviaciones impactan retorno. Mitigante: se hará valuación anual independiente para ajustar precios de venta de tokens conforme realidad, de modo que se evite</w:t>
      </w:r>
      <w:r>
        <w:t xml:space="preserve"> </w:t>
      </w:r>
      <w:r>
        <w:rPr>
          <w:i/>
          <w:iCs/>
        </w:rPr>
        <w:t xml:space="preserve">sobrevalorar o subvalorar</w:t>
      </w:r>
      <w:r>
        <w:t xml:space="preserve"> </w:t>
      </w:r>
      <w:r>
        <w:t xml:space="preserve">el activo en emisiones intermedias. Esto asegura que si el mercado está un 10% abajo, vendemos tokens más baratos para atraer demanda, pero luego esos nuevos inversionistas también recibirán menos al final – distribuyendo equitativamente la pérdida; y viceversa, si mercado va mejor, los inversionistas de primeras rondas pierden algo de upside porque vendemos caro a nuevos, pero ganan seguridad.</w:t>
      </w:r>
    </w:p>
    <w:p>
      <w:pPr>
        <w:numPr>
          <w:ilvl w:val="0"/>
          <w:numId w:val="1006"/>
        </w:numPr>
      </w:pPr>
      <w:r>
        <w:rPr>
          <w:b/>
          <w:bCs/>
        </w:rPr>
        <w:t xml:space="preserve">Sensibilidad a absorción (liquidez):</w:t>
      </w:r>
      <w:r>
        <w:t xml:space="preserve"> </w:t>
      </w:r>
      <w:r>
        <w:t xml:space="preserve">Si las ventas de tokens resultan menores a lo planificado, el proyecto enfrenta un</w:t>
      </w:r>
      <w:r>
        <w:t xml:space="preserve"> </w:t>
      </w:r>
      <w:r>
        <w:rPr>
          <w:b/>
          <w:bCs/>
        </w:rPr>
        <w:t xml:space="preserve">riesgo financiero-operativo de caja</w:t>
      </w:r>
      <w:hyperlink r:id="rId65">
        <w:r>
          <w:rPr>
            <w:rStyle w:val="Hyperlink"/>
          </w:rPr>
          <w:t xml:space="preserve">[38]</w:t>
        </w:r>
      </w:hyperlink>
      <w:r>
        <w:t xml:space="preserve">. Por ejemplo, supongamos que solo se coloca el 70% de los tokens (350k en total) hasta año5, y el 30% restante queda sin vender cuando se liquida el terreno. En tal caso, habría menos ingresos por venta de tokens (~$4.9MM en vez de $7.0MM base), es probable que la caja hubiera sido insuficiente para algunos gastos a menos que se redujeran en proporción. Además, los promotores/inversionistas iniciales terminarían reteniendo ese 30% de tokens no colocados, lo que les da mayor porción en la distribución final (lo cual puede ser positivo para ellos si su capital aguantó). El IRR para los que sí entraron podría incluso mejorar ligeramente porque hay menos “dilución” – pero a costa de mucha tensión de liquidez durante 5 años y mayor riesgo (pocos inversionistas). Este escenario se considera muy adverso; para mitigarlo:</w:t>
      </w:r>
    </w:p>
    <w:p>
      <w:pPr>
        <w:pStyle w:val="Compact"/>
        <w:numPr>
          <w:ilvl w:val="0"/>
          <w:numId w:val="1006"/>
        </w:numPr>
      </w:pPr>
      <w:r>
        <w:t xml:space="preserve">Se implementarán</w:t>
      </w:r>
      <w:r>
        <w:t xml:space="preserve"> </w:t>
      </w:r>
      <w:r>
        <w:rPr>
          <w:b/>
          <w:bCs/>
        </w:rPr>
        <w:t xml:space="preserve">límites de gasto variable</w:t>
      </w:r>
      <w:r>
        <w:t xml:space="preserve">: p.ej., si en Año1 solo vendimos 50k en vez de 90k tokens, entonces se recortará al mínimo el marketing y consultorías, priorizando mantener operativo core. Así se evita quemar caja esperando ventas futuras.</w:t>
      </w:r>
    </w:p>
    <w:p>
      <w:pPr>
        <w:pStyle w:val="Compact"/>
        <w:numPr>
          <w:ilvl w:val="0"/>
          <w:numId w:val="1006"/>
        </w:numPr>
      </w:pPr>
      <w:r>
        <w:rPr>
          <w:b/>
          <w:bCs/>
        </w:rPr>
        <w:t xml:space="preserve">Plan de promoción de ventas:</w:t>
      </w:r>
      <w:r>
        <w:t xml:space="preserve"> </w:t>
      </w:r>
      <w:r>
        <w:t xml:space="preserve">no se esperará pasivamente a que inversionistas lleguen. Se asignará un equipo/comercial desde el inicio que hará roadshows constantes (en el extranjero también), creando pipeline de interesados para cada emisión anual.</w:t>
      </w:r>
    </w:p>
    <w:p>
      <w:pPr>
        <w:numPr>
          <w:ilvl w:val="0"/>
          <w:numId w:val="1006"/>
        </w:numPr>
      </w:pPr>
      <w:r>
        <w:t xml:space="preserve">Y como red de seguridad final, los promotores se comprometen a conseguir financiamiento puente (préstamo subordinado) si la caja operativa cae debajo de X por culpa de bajas ventas, para garantizar continuidad hasta lograr la venta del activo.</w:t>
      </w:r>
    </w:p>
    <w:p>
      <w:pPr>
        <w:numPr>
          <w:ilvl w:val="0"/>
          <w:numId w:val="1006"/>
        </w:numPr>
      </w:pPr>
      <w:r>
        <w:rPr>
          <w:b/>
          <w:bCs/>
        </w:rPr>
        <w:t xml:space="preserve">Otras sensibilidades:</w:t>
      </w:r>
    </w:p>
    <w:p>
      <w:pPr>
        <w:pStyle w:val="Compact"/>
        <w:numPr>
          <w:ilvl w:val="0"/>
          <w:numId w:val="1006"/>
        </w:numPr>
      </w:pPr>
      <w:r>
        <w:rPr>
          <w:i/>
          <w:iCs/>
        </w:rPr>
        <w:t xml:space="preserve">Costos operativos:</w:t>
      </w:r>
      <w:r>
        <w:t xml:space="preserve"> </w:t>
      </w:r>
      <w:r>
        <w:t xml:space="preserve">Afortunadamente, no mueven mucho la aguja. Incluso si duplicaran por algún imprevisto, eso sumaría ~$1.2MM extra de gastos, que reducirían la distribución final en ~15%. Impacta algo, pero no voltea el proyecto. Mantendremos disciplina para que no se desboquen.</w:t>
      </w:r>
    </w:p>
    <w:p>
      <w:pPr>
        <w:pStyle w:val="Compact"/>
        <w:numPr>
          <w:ilvl w:val="0"/>
          <w:numId w:val="1006"/>
        </w:numPr>
      </w:pPr>
      <w:r>
        <w:rPr>
          <w:i/>
          <w:iCs/>
        </w:rPr>
        <w:t xml:space="preserve">Impuestos:</w:t>
      </w:r>
      <w:r>
        <w:t xml:space="preserve"> </w:t>
      </w:r>
      <w:r>
        <w:t xml:space="preserve">Si lográsemos reducir la tasa efectiva de impuesto final (por exención a fideicomiso), cada 5 puntos menos de impuesto IR incrementa ~5-6% la distribución neta. Estamos trabajando en estructuración para minimizar carga fiscal, pues es</w:t>
      </w:r>
      <w:r>
        <w:t xml:space="preserve"> </w:t>
      </w:r>
      <w:r>
        <w:rPr>
          <w:i/>
          <w:iCs/>
        </w:rPr>
        <w:t xml:space="preserve">low hanging fruit</w:t>
      </w:r>
      <w:r>
        <w:t xml:space="preserve"> </w:t>
      </w:r>
      <w:r>
        <w:t xml:space="preserve">para mejorar retorno sin aumentar riesgo.</w:t>
      </w:r>
    </w:p>
    <w:p>
      <w:pPr>
        <w:pStyle w:val="Compact"/>
        <w:numPr>
          <w:ilvl w:val="0"/>
          <w:numId w:val="1006"/>
        </w:numPr>
      </w:pPr>
      <w:r>
        <w:rPr>
          <w:i/>
          <w:iCs/>
        </w:rPr>
        <w:t xml:space="preserve">Tiempo de venta final:</w:t>
      </w:r>
      <w:r>
        <w:t xml:space="preserve"> </w:t>
      </w:r>
      <w:r>
        <w:t xml:space="preserve">Un año de retraso (venta en 2031) con misma tasa de apreciación implicaría un +12% extra en precio (si escalador continúa similar), pero un costo operativo adicional. Podría incluso ser marginalmente beneficioso neto en escenarios altos. Sin embargo, un retraso suele asociarse a que la apreciación no se concretó aún (dilación del tren). Lo modelamos: extender a 2032 con tren listo produce IRR similar que vender en 2030 sin tren. O sea, el factor es conseguir cierto precio, no tanto cuándo.</w:t>
      </w:r>
    </w:p>
    <w:p>
      <w:pPr>
        <w:pStyle w:val="FirstParagraph"/>
      </w:pPr>
      <w:r>
        <w:t xml:space="preserve">El</w:t>
      </w:r>
      <w:r>
        <w:t xml:space="preserve"> </w:t>
      </w:r>
      <w:r>
        <w:rPr>
          <w:b/>
          <w:bCs/>
        </w:rPr>
        <w:t xml:space="preserve">mensaje clave</w:t>
      </w:r>
      <w:r>
        <w:t xml:space="preserve"> </w:t>
      </w:r>
      <w:r>
        <w:t xml:space="preserve">de la sensibilidad es:</w:t>
      </w:r>
      <w:r>
        <w:t xml:space="preserve"> </w:t>
      </w:r>
      <w:r>
        <w:rPr>
          <w:i/>
          <w:iCs/>
        </w:rPr>
        <w:t xml:space="preserve">la plusvalía del activo y la liquidez de inversores son las variables que hay que vigilar de cerca.</w:t>
      </w:r>
      <w:r>
        <w:t xml:space="preserve"> </w:t>
      </w:r>
      <w:r>
        <w:t xml:space="preserve">Por ende, en la gestión:</w:t>
      </w:r>
      <w:r>
        <w:t xml:space="preserve"> </w:t>
      </w:r>
      <w:r>
        <w:t xml:space="preserve">- Nos enfocaremos mucho en</w:t>
      </w:r>
      <w:r>
        <w:t xml:space="preserve"> </w:t>
      </w:r>
      <w:r>
        <w:rPr>
          <w:b/>
          <w:bCs/>
        </w:rPr>
        <w:t xml:space="preserve">monitorear los catalizadores</w:t>
      </w:r>
      <w:r>
        <w:t xml:space="preserve">: tener plan B si tren se ralentiza (tal vez buscar un ancla de valor alterna, como convencer a un desarrollador de comprar antes a menor precio), o si PDU no atrae inversión (explorar si el terreno podría usarse para algún proyecto propio rentable).</w:t>
      </w:r>
      <w:r>
        <w:t xml:space="preserve"> </w:t>
      </w:r>
      <w:r>
        <w:t xml:space="preserve">- Implementaremos</w:t>
      </w:r>
      <w:r>
        <w:t xml:space="preserve"> </w:t>
      </w:r>
      <w:r>
        <w:rPr>
          <w:b/>
          <w:bCs/>
        </w:rPr>
        <w:t xml:space="preserve">controles internos financieros</w:t>
      </w:r>
      <w:r>
        <w:t xml:space="preserve">: metas trimestrales de venta de tokens, y triggers de acción si no se cumplen (por ejemplo, activar una campaña intensiva, ajustar precio, o posponer algún gasto grande como la tasación formal hasta tener confirmación de ventas).</w:t>
      </w:r>
      <w:r>
        <w:t xml:space="preserve"> </w:t>
      </w:r>
      <w:r>
        <w:t xml:space="preserve">- Evaluaremos</w:t>
      </w:r>
      <w:r>
        <w:t xml:space="preserve"> </w:t>
      </w:r>
      <w:r>
        <w:rPr>
          <w:b/>
          <w:bCs/>
        </w:rPr>
        <w:t xml:space="preserve">fuentes complementarias de ingreso</w:t>
      </w:r>
      <w:r>
        <w:t xml:space="preserve">: no contempladas en plan base, pero posibles. Ejemplo: arrendar temporalmente el terreno para eventos o almacenaje mientras se espera 5 años (si genera algo de cash, bienvenido). O emitir NFTs asociados (no contaría en recaudación principal, pero marketing gimmick). Son ideas colaterales, no contempladas seriamente por ahora dado foco principal.</w:t>
      </w:r>
    </w:p>
    <w:p>
      <w:pPr>
        <w:pStyle w:val="BodyText"/>
      </w:pPr>
      <w:r>
        <w:t xml:space="preserve">En resumen, el modelo financiero de PachaNova, en su escenario base, demuestra</w:t>
      </w:r>
      <w:r>
        <w:t xml:space="preserve"> </w:t>
      </w:r>
      <w:r>
        <w:rPr>
          <w:b/>
          <w:bCs/>
        </w:rPr>
        <w:t xml:space="preserve">viabilidad y retorno positivo modesto con control de riesgos</w:t>
      </w:r>
      <w:r>
        <w:t xml:space="preserve">, y en escenarios superiores, se vuelve atractivo en términos de múltiplos de capital. La estructura aguanta escenarios conservadores con retornos marginales pero sin pérdida neta para inversores, lo cual es importante desde la óptica de downside risk: hemos diseñado la oferta para que, salvo catástrofe, los inversionistas al menos recuperen su capital (nótese: en escenario conservador, token lanzamiento sale prácticamente</w:t>
      </w:r>
      <w:r>
        <w:t xml:space="preserve"> </w:t>
      </w:r>
      <w:r>
        <w:rPr>
          <w:i/>
          <w:iCs/>
        </w:rPr>
        <w:t xml:space="preserve">flat</w:t>
      </w:r>
      <w:r>
        <w:t xml:space="preserve"> </w:t>
      </w:r>
      <w:r>
        <w:t xml:space="preserve">neto, y token preventa igual sale ganando). Esto da un</w:t>
      </w:r>
      <w:r>
        <w:t xml:space="preserve"> </w:t>
      </w:r>
      <w:r>
        <w:rPr>
          <w:b/>
          <w:bCs/>
        </w:rPr>
        <w:t xml:space="preserve">piso de seguridad</w:t>
      </w:r>
      <w:r>
        <w:t xml:space="preserve"> </w:t>
      </w:r>
      <w:r>
        <w:t xml:space="preserve">que muchos proyectos no ofrecen.</w:t>
      </w:r>
    </w:p>
    <w:p>
      <w:pPr>
        <w:pStyle w:val="BodyText"/>
      </w:pPr>
      <w:r>
        <w:t xml:space="preserve">A continuación, se detalla la</w:t>
      </w:r>
      <w:r>
        <w:t xml:space="preserve"> </w:t>
      </w:r>
      <w:r>
        <w:rPr>
          <w:b/>
          <w:bCs/>
        </w:rPr>
        <w:t xml:space="preserve">Gobernanza y Gestión de Riesgos</w:t>
      </w:r>
      <w:r>
        <w:t xml:space="preserve"> </w:t>
      </w:r>
      <w:r>
        <w:t xml:space="preserve">de PachaNova, que es la capa final necesaria para garantizar que todo lo anterior (plan, mercado, finanzas) se ejecute con disciplina, transparencia y capacidad de respuesta ante imprevistos.</w:t>
      </w:r>
    </w:p>
    <w:bookmarkEnd w:id="66"/>
    <w:bookmarkEnd w:id="67"/>
    <w:bookmarkStart w:id="76" w:name="gobernanza-y-gestión-de-riesgos"/>
    <w:p>
      <w:pPr>
        <w:pStyle w:val="Heading2"/>
      </w:pPr>
      <w:r>
        <w:t xml:space="preserve">Gobernanza y Gestión de Riesgos</w:t>
      </w:r>
    </w:p>
    <w:p>
      <w:pPr>
        <w:pStyle w:val="FirstParagraph"/>
      </w:pPr>
      <w:r>
        <w:t xml:space="preserve">La credibilidad de</w:t>
      </w:r>
      <w:r>
        <w:t xml:space="preserve"> </w:t>
      </w:r>
      <w:r>
        <w:rPr>
          <w:i/>
          <w:iCs/>
        </w:rPr>
        <w:t xml:space="preserve">PachaNova</w:t>
      </w:r>
      <w:r>
        <w:t xml:space="preserve"> </w:t>
      </w:r>
      <w:r>
        <w:t xml:space="preserve">ante inversionistas institucionales dependerá no solo de su tesis, sino de la percepción de que existe un</w:t>
      </w:r>
      <w:r>
        <w:t xml:space="preserve"> </w:t>
      </w:r>
      <w:r>
        <w:rPr>
          <w:b/>
          <w:bCs/>
        </w:rPr>
        <w:t xml:space="preserve">sistema de control y gobierno corporativo robusto</w:t>
      </w:r>
      <w:r>
        <w:t xml:space="preserve"> </w:t>
      </w:r>
      <w:r>
        <w:t xml:space="preserve">que velará por sus intereses a lo largo del proyecto. En esta sección se presenta:</w:t>
      </w:r>
      <w:r>
        <w:t xml:space="preserve"> </w:t>
      </w:r>
      <w:r>
        <w:rPr>
          <w:i/>
          <w:iCs/>
        </w:rPr>
        <w:t xml:space="preserve">(A)</w:t>
      </w:r>
      <w:r>
        <w:t xml:space="preserve"> </w:t>
      </w:r>
      <w:r>
        <w:t xml:space="preserve">el enfoque de gobierno corporativo propuesto, con comités y roles definidos para la toma de decisiones clave;</w:t>
      </w:r>
      <w:r>
        <w:t xml:space="preserve"> </w:t>
      </w:r>
      <w:r>
        <w:rPr>
          <w:i/>
          <w:iCs/>
        </w:rPr>
        <w:t xml:space="preserve">(B)</w:t>
      </w:r>
      <w:r>
        <w:t xml:space="preserve"> </w:t>
      </w:r>
      <w:r>
        <w:t xml:space="preserve">la matriz de riesgos identificados, con su evaluación de probabilidad/impacto y las medidas de mitigación y monitoreo (triggers) correspondientes; y</w:t>
      </w:r>
      <w:r>
        <w:t xml:space="preserve"> </w:t>
      </w:r>
      <w:r>
        <w:rPr>
          <w:i/>
          <w:iCs/>
        </w:rPr>
        <w:t xml:space="preserve">(C)</w:t>
      </w:r>
      <w:r>
        <w:t xml:space="preserve"> </w:t>
      </w:r>
      <w:r>
        <w:t xml:space="preserve">políticas específicas que complementan la gestión de riesgos (con énfasis en AML/Compliance, valoración independiente y conflictos de interés).</w:t>
      </w:r>
    </w:p>
    <w:bookmarkStart w:id="70" w:name="a.-estructura-de-gobierno-corporativo"/>
    <w:p>
      <w:pPr>
        <w:pStyle w:val="Heading3"/>
      </w:pPr>
      <w:r>
        <w:t xml:space="preserve">A. Estructura de Gobierno Corporativo</w:t>
      </w:r>
    </w:p>
    <w:p>
      <w:pPr>
        <w:pStyle w:val="FirstParagraph"/>
      </w:pPr>
      <w:r>
        <w:t xml:space="preserve">Dado que</w:t>
      </w:r>
      <w:r>
        <w:t xml:space="preserve"> </w:t>
      </w:r>
      <w:r>
        <w:rPr>
          <w:i/>
          <w:iCs/>
        </w:rPr>
        <w:t xml:space="preserve">PachaNova</w:t>
      </w:r>
      <w:r>
        <w:t xml:space="preserve"> </w:t>
      </w:r>
      <w:r>
        <w:t xml:space="preserve">se estructurará probablemente vía fideicomiso, la forma de gobierno es distinta a la de una empresa tradicional (no hay directorio como tal). Por ello, implementaremos una</w:t>
      </w:r>
      <w:r>
        <w:t xml:space="preserve"> </w:t>
      </w:r>
      <w:r>
        <w:rPr>
          <w:b/>
          <w:bCs/>
        </w:rPr>
        <w:t xml:space="preserve">Gobernanza ad-hoc</w:t>
      </w:r>
      <w:r>
        <w:t xml:space="preserve"> </w:t>
      </w:r>
      <w:r>
        <w:t xml:space="preserve">con los siguientes componentes:</w:t>
      </w:r>
    </w:p>
    <w:p>
      <w:pPr>
        <w:pStyle w:val="Compact"/>
        <w:numPr>
          <w:ilvl w:val="0"/>
          <w:numId w:val="1007"/>
        </w:numPr>
      </w:pPr>
      <w:r>
        <w:rPr>
          <w:b/>
          <w:bCs/>
        </w:rPr>
        <w:t xml:space="preserve">Comité de Inversiones (Interno):</w:t>
      </w:r>
      <w:r>
        <w:t xml:space="preserve"> </w:t>
      </w:r>
      <w:r>
        <w:t xml:space="preserve">Conformado por representantes de los promotores y, opcionalmente, un observador del fiduciario. Su función será aprobar las decisiones estratégicas: lanzamientos de emisiones de tokens, ajustes de precio significativos entre valuaciones, aprobación de venta final (en su momento) y, en general, cualquier desviación del plan original. Este comité actuará desde el inicio, por ejemplo validando la selección del tasador anual o aprobando contrataciones mayores. Inicialmente estará compuesto por 3 personas: el CEO/fundador de PachaNova, el CFO o director financiero del proyecto, y un asesor independiente con experiencia en banca de inversión (a definir, puede ser un advisor externo para dar confianza).</w:t>
      </w:r>
      <w:r>
        <w:t xml:space="preserve"> </w:t>
      </w:r>
      <w:r>
        <w:rPr>
          <w:b/>
          <w:bCs/>
        </w:rPr>
        <w:t xml:space="preserve">Frecuencia:</w:t>
      </w:r>
      <w:r>
        <w:t xml:space="preserve"> </w:t>
      </w:r>
      <w:r>
        <w:t xml:space="preserve">reuniones trimestrales o ad-hoc según eventos.</w:t>
      </w:r>
    </w:p>
    <w:p>
      <w:pPr>
        <w:pStyle w:val="Compact"/>
        <w:numPr>
          <w:ilvl w:val="0"/>
          <w:numId w:val="1007"/>
        </w:numPr>
      </w:pPr>
      <w:r>
        <w:rPr>
          <w:b/>
          <w:bCs/>
        </w:rPr>
        <w:t xml:space="preserve">Comité de Vigilancia (Inversionistas):</w:t>
      </w:r>
      <w:r>
        <w:t xml:space="preserve"> </w:t>
      </w:r>
      <w:r>
        <w:t xml:space="preserve">Dado que los tokenistas no tienen voz individual en la gestión diaria, se propondrá la conformación de un comité representativo de inversionistas, probablemente una terna elegida entre aquellos con mayor participación o por votación (según mecanismos que podemos definir). Este comité no tendrá poder vinculante sobre la gestión operativa, pero sí</w:t>
      </w:r>
      <w:r>
        <w:t xml:space="preserve"> </w:t>
      </w:r>
      <w:r>
        <w:rPr>
          <w:b/>
          <w:bCs/>
        </w:rPr>
        <w:t xml:space="preserve">facultades de supervisión</w:t>
      </w:r>
      <w:r>
        <w:t xml:space="preserve">. Podrá reunirse semestralmente con el equipo para revisar avances, tendrá acceso a informes financieros auditados y podrá elevar recomendaciones. Sirve como puente de comunicación y para alinear la gestión a las expectativas de los inversionistas. En caso de tener que tomar una decisión extraordinaria (ej: rechazar una oferta de compra del terreno porque la consideran baja), este comité podría convocar una consulta a todos los inversionistas beneficiarios para votar (mecanismo similar a asamblea de tenedores).</w:t>
      </w:r>
    </w:p>
    <w:p>
      <w:pPr>
        <w:pStyle w:val="Compact"/>
        <w:numPr>
          <w:ilvl w:val="0"/>
          <w:numId w:val="1007"/>
        </w:numPr>
      </w:pPr>
      <w:r>
        <w:rPr>
          <w:b/>
          <w:bCs/>
        </w:rPr>
        <w:t xml:space="preserve">Fiduciario (Administrador del patrimonio):</w:t>
      </w:r>
      <w:r>
        <w:t xml:space="preserve"> </w:t>
      </w:r>
      <w:r>
        <w:t xml:space="preserve">En la estructura fiduciaria, el fiduciario (por ejemplo, la entidad financiera) actúa en la práctica como</w:t>
      </w:r>
      <w:r>
        <w:t xml:space="preserve"> </w:t>
      </w:r>
      <w:r>
        <w:rPr>
          <w:i/>
          <w:iCs/>
        </w:rPr>
        <w:t xml:space="preserve">garante</w:t>
      </w:r>
      <w:r>
        <w:t xml:space="preserve"> </w:t>
      </w:r>
      <w:r>
        <w:t xml:space="preserve">de que se cumpla el objetivo del fideicomiso. Aunque no toma decisiones de negocio (eso lo delega a los comités antes mencionados, vía instrucciones contractuales), sí tiene poder de veto sobre acciones que violen el contrato. Por ejemplo, si la administración quiere gastar fondos del fideicomiso en algo no permitido, el fiduciario lo impedirá. Además, todos los pagos significativos salen por su conducto. Por tanto, se lo considera parte del sistema de gobierno como ente independiente. En casos extremos, el fiduciario puede convocar la terminación del fideicomiso si detecta irregularidades severas.</w:t>
      </w:r>
    </w:p>
    <w:p>
      <w:pPr>
        <w:pStyle w:val="Compact"/>
        <w:numPr>
          <w:ilvl w:val="0"/>
          <w:numId w:val="1007"/>
        </w:numPr>
      </w:pPr>
      <w:r>
        <w:rPr>
          <w:b/>
          <w:bCs/>
        </w:rPr>
        <w:t xml:space="preserve">Equipo gestor y roles críticos:</w:t>
      </w:r>
      <w:r>
        <w:t xml:space="preserve"> </w:t>
      </w:r>
      <w:r>
        <w:t xml:space="preserve">Operativamente,</w:t>
      </w:r>
      <w:r>
        <w:t xml:space="preserve"> </w:t>
      </w:r>
      <w:r>
        <w:rPr>
          <w:i/>
          <w:iCs/>
        </w:rPr>
        <w:t xml:space="preserve">PachaNova</w:t>
      </w:r>
      <w:r>
        <w:t xml:space="preserve"> </w:t>
      </w:r>
      <w:r>
        <w:t xml:space="preserve">contará con un</w:t>
      </w:r>
      <w:r>
        <w:t xml:space="preserve"> </w:t>
      </w:r>
      <w:r>
        <w:rPr>
          <w:b/>
          <w:bCs/>
        </w:rPr>
        <w:t xml:space="preserve">equipo multidisciplinario</w:t>
      </w:r>
      <w:r>
        <w:t xml:space="preserve"> </w:t>
      </w:r>
      <w:r>
        <w:t xml:space="preserve">para ejecutar el plan. Dado el tamaño del proyecto, muchas funciones se cubren con equipos externos en outsourcing, pero es clave definir responsables internos (“líderes de pilar”). Los roles críticos inicialmente identificados</w:t>
      </w:r>
      <w:hyperlink r:id="rId68">
        <w:r>
          <w:rPr>
            <w:rStyle w:val="Hyperlink"/>
          </w:rPr>
          <w:t xml:space="preserve">[39]</w:t>
        </w:r>
      </w:hyperlink>
      <w:hyperlink r:id="rId69">
        <w:r>
          <w:rPr>
            <w:rStyle w:val="Hyperlink"/>
          </w:rPr>
          <w:t xml:space="preserve">[40]</w:t>
        </w:r>
      </w:hyperlink>
      <w:r>
        <w:t xml:space="preserve">:</w:t>
      </w:r>
    </w:p>
    <w:p>
      <w:pPr>
        <w:pStyle w:val="Compact"/>
        <w:numPr>
          <w:ilvl w:val="0"/>
          <w:numId w:val="1007"/>
        </w:numPr>
      </w:pPr>
      <w:r>
        <w:rPr>
          <w:b/>
          <w:bCs/>
        </w:rPr>
        <w:t xml:space="preserve">Dirección General:</w:t>
      </w:r>
      <w:r>
        <w:t xml:space="preserve"> </w:t>
      </w:r>
      <w:r>
        <w:t xml:space="preserve">responsable de la estrategia global, relaciones con inversionistas grandes, y enlace institucional (autoridades, reguladores). Rol de CEO. (Hoy: fundador principal de PachaNova).</w:t>
      </w:r>
    </w:p>
    <w:p>
      <w:pPr>
        <w:pStyle w:val="Compact"/>
        <w:numPr>
          <w:ilvl w:val="0"/>
          <w:numId w:val="1007"/>
        </w:numPr>
      </w:pPr>
      <w:r>
        <w:rPr>
          <w:b/>
          <w:bCs/>
        </w:rPr>
        <w:t xml:space="preserve">Dirección de Producto/Operaciones:</w:t>
      </w:r>
      <w:r>
        <w:t xml:space="preserve"> </w:t>
      </w:r>
      <w:r>
        <w:t xml:space="preserve">a cargo de la plataforma tecnológica, experiencia de usuario de los inversionistas, y de la operativa diaria (coordinación con fiduciario, atención al cliente). Se asegura que la suscripción de tokens y el mercado secundario funcionen fluidamente.</w:t>
      </w:r>
    </w:p>
    <w:p>
      <w:pPr>
        <w:pStyle w:val="Compact"/>
        <w:numPr>
          <w:ilvl w:val="0"/>
          <w:numId w:val="1007"/>
        </w:numPr>
      </w:pPr>
      <w:r>
        <w:rPr>
          <w:b/>
          <w:bCs/>
        </w:rPr>
        <w:t xml:space="preserve">Dirección de Cumplimiento (Compliance &amp; Riesgos):</w:t>
      </w:r>
      <w:r>
        <w:t xml:space="preserve"> </w:t>
      </w:r>
      <w:r>
        <w:t xml:space="preserve">responsable de KYC/AML (programa PLAFT completo), así como de monitorear el cumplimiento regulatorio y gestionar los riesgos operativos. Este rol velará por reportes a UIF, por implementar las políticas definidas y por atender auditorías regulatorias. También supervisa ciberseguridad en coordinación con TI.</w:t>
      </w:r>
    </w:p>
    <w:p>
      <w:pPr>
        <w:pStyle w:val="Compact"/>
        <w:numPr>
          <w:ilvl w:val="0"/>
          <w:numId w:val="1007"/>
        </w:numPr>
      </w:pPr>
      <w:r>
        <w:rPr>
          <w:b/>
          <w:bCs/>
        </w:rPr>
        <w:t xml:space="preserve">Dirección Legal:</w:t>
      </w:r>
      <w:r>
        <w:t xml:space="preserve"> </w:t>
      </w:r>
      <w:r>
        <w:t xml:space="preserve">encargada de toda la documentación legal (vehículo, contratos con proveedores, protección al inversionista). Será el nexo con los estudios legales externos y asegurará que las decisiones del comité de inversiones se implementen conforme al marco legal. También gestionará eventuales controversias o reclamos.</w:t>
      </w:r>
    </w:p>
    <w:p>
      <w:pPr>
        <w:pStyle w:val="Compact"/>
        <w:numPr>
          <w:ilvl w:val="0"/>
          <w:numId w:val="1007"/>
        </w:numPr>
      </w:pPr>
      <w:r>
        <w:rPr>
          <w:b/>
          <w:bCs/>
        </w:rPr>
        <w:t xml:space="preserve">Dirección de Crecimiento (Comercial):</w:t>
      </w:r>
      <w:r>
        <w:t xml:space="preserve"> </w:t>
      </w:r>
      <w:r>
        <w:t xml:space="preserve">lidera la estrategia de distribución de tokens, marketing y alianzas. Identifica canales para llegar a inversionistas (ej: convenios con asociaciones de peruanos en el extranjero, acuerdos con plataformas fintech de inversión, etc.), define métricas de conversión (tasa de interesados que se registran, registrados que invierten, etc.) y optimiza el</w:t>
      </w:r>
      <w:r>
        <w:t xml:space="preserve"> </w:t>
      </w:r>
      <w:r>
        <w:rPr>
          <w:i/>
          <w:iCs/>
        </w:rPr>
        <w:t xml:space="preserve">funnel</w:t>
      </w:r>
      <w:r>
        <w:t xml:space="preserve">. Su meta es cumplir las metas de colocación cada año.</w:t>
      </w:r>
    </w:p>
    <w:p>
      <w:pPr>
        <w:pStyle w:val="Compact"/>
        <w:numPr>
          <w:ilvl w:val="0"/>
          <w:numId w:val="1007"/>
        </w:numPr>
      </w:pPr>
      <w:r>
        <w:rPr>
          <w:b/>
          <w:bCs/>
        </w:rPr>
        <w:t xml:space="preserve">Dirección de Finanzas y Control de Gestión:</w:t>
      </w:r>
      <w:r>
        <w:t xml:space="preserve"> </w:t>
      </w:r>
      <w:r>
        <w:t xml:space="preserve">lleva el presupuesto del proyecto, la contabilidad del fideicomiso/SPV, prepara reportes financieros para comités y para inversionistas, y asegura el control interno de gastos. También coordina las auditorías financieras anuales y hace planeación de tesorería (inversiones temporales de caja, cobertura de tipo de cambio si aplicara, etc.).</w:t>
      </w:r>
    </w:p>
    <w:p>
      <w:pPr>
        <w:pStyle w:val="FirstParagraph"/>
      </w:pPr>
      <w:r>
        <w:t xml:space="preserve">Actualmente, estos roles podrían ser cubiertos por un equipo compacto de 3-4 personas con multitareas, apoyados en consultores externos. Por ejemplo, la Dirección de Cumplimiento probablemente la ejerza un oficial externo compartido, igual la Dirección Legal puede ser outsourcing a un estudio que acompañe. Sin embargo, conforme crezca la base de inversionistas y la operación, se evaluará formalizar cada rol con contrataciones dedicadas.</w:t>
      </w:r>
      <w:r>
        <w:t xml:space="preserve"> </w:t>
      </w:r>
      <w:r>
        <w:rPr>
          <w:i/>
          <w:iCs/>
        </w:rPr>
        <w:t xml:space="preserve">Nota:</w:t>
      </w:r>
      <w:r>
        <w:t xml:space="preserve"> </w:t>
      </w:r>
      <w:r>
        <w:t xml:space="preserve">En esta fase inicial,</w:t>
      </w:r>
      <w:r>
        <w:t xml:space="preserve"> </w:t>
      </w:r>
      <w:r>
        <w:rPr>
          <w:b/>
          <w:bCs/>
        </w:rPr>
        <w:t xml:space="preserve">el equipo y organigrama se presenta como placeholder</w:t>
      </w:r>
      <w:r>
        <w:t xml:space="preserve"> </w:t>
      </w:r>
      <w:r>
        <w:t xml:space="preserve">para demostrar que la estructura organizativa está pensada; los nombres específicos se completarán a medida que se confirmen las incorporaciones. Un criterio será buscar profesionales con experiencia en sector financiero y cripto-activos para estas áreas.</w:t>
      </w:r>
    </w:p>
    <w:p>
      <w:pPr>
        <w:pStyle w:val="Compact"/>
        <w:numPr>
          <w:ilvl w:val="0"/>
          <w:numId w:val="1008"/>
        </w:numPr>
      </w:pPr>
      <w:r>
        <w:rPr>
          <w:b/>
          <w:bCs/>
        </w:rPr>
        <w:t xml:space="preserve">Políticas y procedimientos internos:</w:t>
      </w:r>
      <w:r>
        <w:t xml:space="preserve"> </w:t>
      </w:r>
      <w:r>
        <w:t xml:space="preserve">Se documentarán políticas mínimas de gobierno, entre ellas:</w:t>
      </w:r>
    </w:p>
    <w:p>
      <w:pPr>
        <w:pStyle w:val="Compact"/>
        <w:numPr>
          <w:ilvl w:val="0"/>
          <w:numId w:val="1008"/>
        </w:numPr>
      </w:pPr>
      <w:r>
        <w:rPr>
          <w:b/>
          <w:bCs/>
        </w:rPr>
        <w:t xml:space="preserve">Política de Auditoría y Riesgos:</w:t>
      </w:r>
      <w:r>
        <w:t xml:space="preserve"> </w:t>
      </w:r>
      <w:r>
        <w:t xml:space="preserve">Estableciendo que habrá auditorías anuales del smart contract y del valor del activo, y describiendo la metodología (tasador externo con credenciales, método residual/ comparativo).</w:t>
      </w:r>
    </w:p>
    <w:p>
      <w:pPr>
        <w:pStyle w:val="Compact"/>
        <w:numPr>
          <w:ilvl w:val="0"/>
          <w:numId w:val="1008"/>
        </w:numPr>
      </w:pPr>
      <w:r>
        <w:rPr>
          <w:b/>
          <w:bCs/>
        </w:rPr>
        <w:t xml:space="preserve">Política de Conflicto de Interés:</w:t>
      </w:r>
      <w:r>
        <w:t xml:space="preserve"> </w:t>
      </w:r>
      <w:r>
        <w:t xml:space="preserve">Cualquier transacción entre partes relacionadas (ej. un fundador decidiendo comprar parte del terreno para él, o dándole contrato a una empresa vinculada) debe ser revelada y aprobada por el Comité de Vigilancia. Se buscará evitar a toda costa situaciones de</w:t>
      </w:r>
      <w:r>
        <w:t xml:space="preserve"> </w:t>
      </w:r>
      <w:r>
        <w:rPr>
          <w:i/>
          <w:iCs/>
        </w:rPr>
        <w:t xml:space="preserve">self-dealing</w:t>
      </w:r>
      <w:r>
        <w:t xml:space="preserve"> </w:t>
      </w:r>
      <w:r>
        <w:t xml:space="preserve">que puedan minar la confianza. Los contratos con proveedores se harán, en lo posible, vía procesos competitivos o consulta de varias cotizaciones.</w:t>
      </w:r>
    </w:p>
    <w:p>
      <w:pPr>
        <w:pStyle w:val="Compact"/>
        <w:numPr>
          <w:ilvl w:val="0"/>
          <w:numId w:val="1008"/>
        </w:numPr>
      </w:pPr>
      <w:r>
        <w:rPr>
          <w:b/>
          <w:bCs/>
        </w:rPr>
        <w:t xml:space="preserve">Código de Conducta:</w:t>
      </w:r>
      <w:r>
        <w:t xml:space="preserve"> </w:t>
      </w:r>
      <w:r>
        <w:t xml:space="preserve">Para el equipo gestor, enfatizando integridad, confidencialidad de datos de clientes, uso correcto de información privilegiada (p.ej., no hacer trading personal con tokens PachaNova usando info interna no pública), etc. Este código se alineará con estándares del mercado de valores incluso si no estamos regulados por SMV, para inculcar esa cultura.</w:t>
      </w:r>
    </w:p>
    <w:p>
      <w:pPr>
        <w:pStyle w:val="Compact"/>
        <w:numPr>
          <w:ilvl w:val="0"/>
          <w:numId w:val="1008"/>
        </w:numPr>
      </w:pPr>
      <w:r>
        <w:rPr>
          <w:b/>
          <w:bCs/>
        </w:rPr>
        <w:t xml:space="preserve">Reporte y Transparencia:</w:t>
      </w:r>
      <w:r>
        <w:t xml:space="preserve"> </w:t>
      </w:r>
      <w:r>
        <w:t xml:space="preserve">Política que definirá qué se comunica y cada cuándo a los inversionistas. Por ejemplo: se enviará un boletín trimestral con actualizaciones del proyecto (avance del tren, etc.), se compartirá el informe de valuación anual completo, se informará inmediatamente cualquier incidente relevante (brecha de seguridad, litigio, etc.). La transparencia proactiva es la mejor defensa contra rumores o desinformación.</w:t>
      </w:r>
    </w:p>
    <w:p>
      <w:pPr>
        <w:pStyle w:val="FirstParagraph"/>
      </w:pPr>
      <w:r>
        <w:t xml:space="preserve">Con esta estructura de gobierno, buscamos garantizar que</w:t>
      </w:r>
      <w:r>
        <w:t xml:space="preserve"> </w:t>
      </w:r>
      <w:r>
        <w:rPr>
          <w:i/>
          <w:iCs/>
        </w:rPr>
        <w:t xml:space="preserve">PachaNova</w:t>
      </w:r>
      <w:r>
        <w:t xml:space="preserve"> </w:t>
      </w:r>
      <w:r>
        <w:t xml:space="preserve">sea manejado con rigor y que los inversionistas tengan</w:t>
      </w:r>
      <w:r>
        <w:t xml:space="preserve"> </w:t>
      </w:r>
      <w:r>
        <w:rPr>
          <w:b/>
          <w:bCs/>
        </w:rPr>
        <w:t xml:space="preserve">voz (indirecta) y ojos</w:t>
      </w:r>
      <w:r>
        <w:t xml:space="preserve"> </w:t>
      </w:r>
      <w:r>
        <w:t xml:space="preserve">en el proyecto, pese a no intervenir día a día. La figura del fiduciario y los comités independientes dotan de</w:t>
      </w:r>
      <w:r>
        <w:t xml:space="preserve"> </w:t>
      </w:r>
      <w:r>
        <w:rPr>
          <w:b/>
          <w:bCs/>
        </w:rPr>
        <w:t xml:space="preserve">independencia y contrapesos</w:t>
      </w:r>
      <w:r>
        <w:t xml:space="preserve"> </w:t>
      </w:r>
      <w:r>
        <w:t xml:space="preserve">necesarios para la confianza de terceros.</w:t>
      </w:r>
    </w:p>
    <w:bookmarkEnd w:id="70"/>
    <w:bookmarkStart w:id="74" w:name="X145d5987949a6f24f4e0dbe5786e57574b899ba"/>
    <w:p>
      <w:pPr>
        <w:pStyle w:val="Heading3"/>
      </w:pPr>
      <w:r>
        <w:t xml:space="preserve">B. Matriz de Riesgos Institucional (Probabilidad/Impacto/Mitigación)</w:t>
      </w:r>
    </w:p>
    <w:p>
      <w:pPr>
        <w:pStyle w:val="FirstParagraph"/>
      </w:pPr>
      <w:r>
        <w:t xml:space="preserve">A continuación se presenta la matriz de riesgos clave identificados, agrupados por pilares internos de gestión, con su evaluación cualitativa de</w:t>
      </w:r>
      <w:r>
        <w:t xml:space="preserve"> </w:t>
      </w:r>
      <w:r>
        <w:rPr>
          <w:b/>
          <w:bCs/>
        </w:rPr>
        <w:t xml:space="preserve">Probabilidad (P)</w:t>
      </w:r>
      <w:r>
        <w:t xml:space="preserve"> </w:t>
      </w:r>
      <w:r>
        <w:t xml:space="preserve">e</w:t>
      </w:r>
      <w:r>
        <w:t xml:space="preserve"> </w:t>
      </w:r>
      <w:r>
        <w:rPr>
          <w:b/>
          <w:bCs/>
        </w:rPr>
        <w:t xml:space="preserve">Impacto (I)</w:t>
      </w:r>
      <w:r>
        <w:t xml:space="preserve">, y las</w:t>
      </w:r>
      <w:r>
        <w:t xml:space="preserve"> </w:t>
      </w:r>
      <w:r>
        <w:rPr>
          <w:b/>
          <w:bCs/>
        </w:rPr>
        <w:t xml:space="preserve">acciones de mitigación institucional</w:t>
      </w:r>
      <w:r>
        <w:t xml:space="preserve"> </w:t>
      </w:r>
      <w:r>
        <w:t xml:space="preserve">propuestas para cada uno. Además, se mencionan los</w:t>
      </w:r>
      <w:r>
        <w:t xml:space="preserve"> </w:t>
      </w:r>
      <w:r>
        <w:rPr>
          <w:i/>
          <w:iCs/>
        </w:rPr>
        <w:t xml:space="preserve">triggers</w:t>
      </w:r>
      <w:r>
        <w:t xml:space="preserve"> </w:t>
      </w:r>
      <w:r>
        <w:t xml:space="preserve">o indicadores tempranos que se monitorearán para activar planes de contingencia en caso necesario.</w:t>
      </w:r>
    </w:p>
    <w:p>
      <w:pPr>
        <w:pStyle w:val="Compact"/>
        <w:numPr>
          <w:ilvl w:val="0"/>
          <w:numId w:val="1009"/>
        </w:numPr>
      </w:pPr>
      <w:r>
        <w:rPr>
          <w:b/>
          <w:bCs/>
        </w:rPr>
        <w:t xml:space="preserve">Pilar: Credibilidad de mercado</w:t>
      </w:r>
    </w:p>
    <w:p>
      <w:pPr>
        <w:pStyle w:val="Compact"/>
        <w:numPr>
          <w:ilvl w:val="0"/>
          <w:numId w:val="1009"/>
        </w:numPr>
      </w:pPr>
      <w:r>
        <w:rPr>
          <w:b/>
          <w:bCs/>
        </w:rPr>
        <w:t xml:space="preserve">Riesgo:</w:t>
      </w:r>
      <w:r>
        <w:t xml:space="preserve"> </w:t>
      </w:r>
      <w:r>
        <w:rPr>
          <w:i/>
          <w:iCs/>
        </w:rPr>
        <w:t xml:space="preserve">Sobreestimación de la demanda minorista o de la diáspora</w:t>
      </w:r>
      <w:r>
        <w:t xml:space="preserve">, es decir, que al final el apetito por los tokens sea mucho menor al proyectado.</w:t>
      </w:r>
    </w:p>
    <w:p>
      <w:pPr>
        <w:pStyle w:val="Compact"/>
        <w:numPr>
          <w:ilvl w:val="0"/>
          <w:numId w:val="1009"/>
        </w:numPr>
      </w:pPr>
      <w:r>
        <w:rPr>
          <w:b/>
          <w:bCs/>
        </w:rPr>
        <w:t xml:space="preserve">P:</w:t>
      </w:r>
      <w:r>
        <w:t xml:space="preserve"> </w:t>
      </w:r>
      <w:r>
        <w:t xml:space="preserve">Media. (Es un producto novedoso en Perú, podría costar más evangelizar de lo pensado).</w:t>
      </w:r>
    </w:p>
    <w:p>
      <w:pPr>
        <w:pStyle w:val="Compact"/>
        <w:numPr>
          <w:ilvl w:val="0"/>
          <w:numId w:val="1009"/>
        </w:numPr>
      </w:pPr>
      <w:r>
        <w:rPr>
          <w:b/>
          <w:bCs/>
        </w:rPr>
        <w:t xml:space="preserve">I:</w:t>
      </w:r>
      <w:r>
        <w:t xml:space="preserve"> </w:t>
      </w:r>
      <w:r>
        <w:t xml:space="preserve">Alta. (Si no se venden los tokens, el proyecto se estanca por falta de fondos y éxito).</w:t>
      </w:r>
    </w:p>
    <w:p>
      <w:pPr>
        <w:pStyle w:val="Compact"/>
        <w:numPr>
          <w:ilvl w:val="0"/>
          <w:numId w:val="1009"/>
        </w:numPr>
      </w:pPr>
      <w:r>
        <w:rPr>
          <w:b/>
          <w:bCs/>
        </w:rPr>
        <w:t xml:space="preserve">Mitigación:</w:t>
      </w:r>
      <w:r>
        <w:t xml:space="preserve"> </w:t>
      </w:r>
      <w:r>
        <w:t xml:space="preserve">Realizar una</w:t>
      </w:r>
      <w:r>
        <w:t xml:space="preserve"> </w:t>
      </w:r>
      <w:r>
        <w:rPr>
          <w:b/>
          <w:bCs/>
        </w:rPr>
        <w:t xml:space="preserve">Preventa acotada como prueba de mercado</w:t>
      </w:r>
      <w:r>
        <w:t xml:space="preserve">, obteniendo métricas de conversión (número de interesados vs compras efectivas) para recalibrar la estrategia. Segmentar bien a los potenciales inversores y enfocar esfuerzos en los perfiles más receptivos (por ejemplo, si notamos que peruanos en exterior invierten más rápido que locales, intensificar ese canal). Mantener</w:t>
      </w:r>
      <w:r>
        <w:t xml:space="preserve"> </w:t>
      </w:r>
      <w:r>
        <w:rPr>
          <w:b/>
          <w:bCs/>
        </w:rPr>
        <w:t xml:space="preserve">disclosures conservadores</w:t>
      </w:r>
      <w:r>
        <w:t xml:space="preserve"> </w:t>
      </w:r>
      <w:r>
        <w:t xml:space="preserve">en marketing – no sobreprometer retornos ni plazos, para que las expectativas del mercado sean realistas y nadie se sienta engañado.</w:t>
      </w:r>
    </w:p>
    <w:p>
      <w:pPr>
        <w:numPr>
          <w:ilvl w:val="0"/>
          <w:numId w:val="1009"/>
        </w:numPr>
      </w:pPr>
      <w:r>
        <w:rPr>
          <w:b/>
          <w:bCs/>
        </w:rPr>
        <w:t xml:space="preserve">Trigger monitoreo:</w:t>
      </w:r>
      <w:r>
        <w:t xml:space="preserve"> </w:t>
      </w:r>
      <w:r>
        <w:t xml:space="preserve">Ratio de conversión en preventa &lt; 20% de interesados → activar campaña educativa/ajustar mensaje; Faltante en meta de venta &gt;30% tras mitad del periodo de colocación → considerar bajar precio o ampliar red de distribución mediante partnership.</w:t>
      </w:r>
    </w:p>
    <w:p>
      <w:pPr>
        <w:numPr>
          <w:ilvl w:val="0"/>
          <w:numId w:val="1009"/>
        </w:numPr>
      </w:pPr>
      <w:r>
        <w:rPr>
          <w:b/>
          <w:bCs/>
        </w:rPr>
        <w:t xml:space="preserve">Pilar: Ventaja competitiva</w:t>
      </w:r>
    </w:p>
    <w:p>
      <w:pPr>
        <w:pStyle w:val="Compact"/>
        <w:numPr>
          <w:ilvl w:val="0"/>
          <w:numId w:val="1009"/>
        </w:numPr>
      </w:pPr>
      <w:r>
        <w:rPr>
          <w:b/>
          <w:bCs/>
        </w:rPr>
        <w:t xml:space="preserve">Riesgo:</w:t>
      </w:r>
      <w:r>
        <w:t xml:space="preserve"> </w:t>
      </w:r>
      <w:r>
        <w:rPr>
          <w:i/>
          <w:iCs/>
        </w:rPr>
        <w:t xml:space="preserve">Producto fácilmente replicable por competidores con mejor distribución</w:t>
      </w:r>
      <w:r>
        <w:t xml:space="preserve">. (Que surja otro actor tokenizando tierras similares y nos gane mercado porque tiene más alcance o recursos).</w:t>
      </w:r>
    </w:p>
    <w:p>
      <w:pPr>
        <w:pStyle w:val="Compact"/>
        <w:numPr>
          <w:ilvl w:val="0"/>
          <w:numId w:val="1009"/>
        </w:numPr>
      </w:pPr>
      <w:r>
        <w:rPr>
          <w:b/>
          <w:bCs/>
        </w:rPr>
        <w:t xml:space="preserve">P:</w:t>
      </w:r>
      <w:r>
        <w:t xml:space="preserve"> </w:t>
      </w:r>
      <w:r>
        <w:t xml:space="preserve">Media. (El concepto es relativamente sencillo; alguna startup fintech o mismo un banco podría intentar replicar).</w:t>
      </w:r>
    </w:p>
    <w:p>
      <w:pPr>
        <w:pStyle w:val="Compact"/>
        <w:numPr>
          <w:ilvl w:val="0"/>
          <w:numId w:val="1009"/>
        </w:numPr>
      </w:pPr>
      <w:r>
        <w:rPr>
          <w:b/>
          <w:bCs/>
        </w:rPr>
        <w:t xml:space="preserve">I:</w:t>
      </w:r>
      <w:r>
        <w:t xml:space="preserve"> </w:t>
      </w:r>
      <w:r>
        <w:t xml:space="preserve">Media. (Si un competidor robusto sale temprano, podría quedarse con parte de la demanda inversora y/o activos atractivos).</w:t>
      </w:r>
    </w:p>
    <w:p>
      <w:pPr>
        <w:pStyle w:val="Compact"/>
        <w:numPr>
          <w:ilvl w:val="0"/>
          <w:numId w:val="1009"/>
        </w:numPr>
      </w:pPr>
      <w:r>
        <w:rPr>
          <w:b/>
          <w:bCs/>
        </w:rPr>
        <w:t xml:space="preserve">Mitigación:</w:t>
      </w:r>
      <w:r>
        <w:t xml:space="preserve"> </w:t>
      </w:r>
      <w:r>
        <w:rPr>
          <w:b/>
          <w:bCs/>
        </w:rPr>
        <w:t xml:space="preserve">Diferenciación vía cumplimiento y transparencia primero</w:t>
      </w:r>
      <w:r>
        <w:t xml:space="preserve">. Nuestro proyecto se posicionará como el más “institucional” y confiable. Eso lo hace menos sexy quizás para cripto-entusiastas, pero mucho más aceptable para el grueso de inversionistas prudentes. Implementar auditorías, reportes y un mercado secundario permisionado con procesos robustos nos dará reputación. Además,</w:t>
      </w:r>
      <w:r>
        <w:t xml:space="preserve"> </w:t>
      </w:r>
      <w:r>
        <w:rPr>
          <w:b/>
          <w:bCs/>
        </w:rPr>
        <w:t xml:space="preserve">time-to-market</w:t>
      </w:r>
      <w:r>
        <w:t xml:space="preserve">: PachaNova ya está en proceso; moverse rápido (pero bien) nos otorga la ventaja del primer en salir al mercado peruano con esta propuesta. Para cuando otro quiera replicar, ya habremos capturado a los principales early adopters. Finalmente, cuidar alianzas: por ejemplo, si lográsemos que una entidad gubernamental (tipo ProInversión) avale conceptualmente nuestra iniciativa, o una asociación de fintech, eso nos blinda en cierto modo.</w:t>
      </w:r>
    </w:p>
    <w:p>
      <w:pPr>
        <w:numPr>
          <w:ilvl w:val="0"/>
          <w:numId w:val="1009"/>
        </w:numPr>
      </w:pPr>
      <w:r>
        <w:rPr>
          <w:b/>
          <w:bCs/>
        </w:rPr>
        <w:t xml:space="preserve">Trigger:</w:t>
      </w:r>
      <w:r>
        <w:t xml:space="preserve"> </w:t>
      </w:r>
      <w:r>
        <w:t xml:space="preserve">Rumores/noticias de un proyecto similar en Perú → acelerar ejecución, reforzar marketing de “único proyecto con respaldo X”; Si competidor surge, evaluar colaboración (quizá convertirlo en aliado en lugar de adversario, compartiendo plataforma).</w:t>
      </w:r>
    </w:p>
    <w:p>
      <w:pPr>
        <w:numPr>
          <w:ilvl w:val="0"/>
          <w:numId w:val="1009"/>
        </w:numPr>
      </w:pPr>
      <w:r>
        <w:rPr>
          <w:b/>
          <w:bCs/>
        </w:rPr>
        <w:t xml:space="preserve">Pilar: Robustez financiera</w:t>
      </w:r>
    </w:p>
    <w:p>
      <w:pPr>
        <w:pStyle w:val="Compact"/>
        <w:numPr>
          <w:ilvl w:val="0"/>
          <w:numId w:val="1009"/>
        </w:numPr>
      </w:pPr>
      <w:r>
        <w:rPr>
          <w:b/>
          <w:bCs/>
        </w:rPr>
        <w:t xml:space="preserve">Riesgo:</w:t>
      </w:r>
      <w:r>
        <w:t xml:space="preserve"> </w:t>
      </w:r>
      <w:r>
        <w:rPr>
          <w:i/>
          <w:iCs/>
        </w:rPr>
        <w:t xml:space="preserve">Descalce de caja si la absorción es menor a lo previsto</w:t>
      </w:r>
      <w:r>
        <w:t xml:space="preserve">. (Que los gastos operativos fijos no puedan ser cubiertos por ingresos de ventas de tokens, generando iliquidez).</w:t>
      </w:r>
    </w:p>
    <w:p>
      <w:pPr>
        <w:pStyle w:val="Compact"/>
        <w:numPr>
          <w:ilvl w:val="0"/>
          <w:numId w:val="1009"/>
        </w:numPr>
      </w:pPr>
      <w:r>
        <w:rPr>
          <w:b/>
          <w:bCs/>
        </w:rPr>
        <w:t xml:space="preserve">P:</w:t>
      </w:r>
      <w:r>
        <w:t xml:space="preserve"> </w:t>
      </w:r>
      <w:r>
        <w:t xml:space="preserve">Media. (Ventas menores son factibles, pero hemos dimensionado gastos bajo; aún así es riesgo latente).</w:t>
      </w:r>
    </w:p>
    <w:p>
      <w:pPr>
        <w:pStyle w:val="Compact"/>
        <w:numPr>
          <w:ilvl w:val="0"/>
          <w:numId w:val="1009"/>
        </w:numPr>
      </w:pPr>
      <w:r>
        <w:rPr>
          <w:b/>
          <w:bCs/>
        </w:rPr>
        <w:t xml:space="preserve">I:</w:t>
      </w:r>
      <w:r>
        <w:t xml:space="preserve"> </w:t>
      </w:r>
      <w:r>
        <w:t xml:space="preserve">Alta. (Sin caja, habría que suspender operaciones o buscar rescate, dañando el proyecto).</w:t>
      </w:r>
    </w:p>
    <w:p>
      <w:pPr>
        <w:pStyle w:val="Compact"/>
        <w:numPr>
          <w:ilvl w:val="0"/>
          <w:numId w:val="1009"/>
        </w:numPr>
      </w:pPr>
      <w:r>
        <w:rPr>
          <w:b/>
          <w:bCs/>
        </w:rPr>
        <w:t xml:space="preserve">Mitigación:</w:t>
      </w:r>
      <w:r>
        <w:t xml:space="preserve"> </w:t>
      </w:r>
      <w:r>
        <w:t xml:space="preserve">Aprobación de un</w:t>
      </w:r>
      <w:r>
        <w:t xml:space="preserve"> </w:t>
      </w:r>
      <w:r>
        <w:rPr>
          <w:b/>
          <w:bCs/>
        </w:rPr>
        <w:t xml:space="preserve">Presupuesto IMV</w:t>
      </w:r>
      <w:r>
        <w:t xml:space="preserve"> </w:t>
      </w:r>
      <w:r>
        <w:t xml:space="preserve">(mínimo viable) muy austero por parte del comité, que priorice gastos estrictamente necesarios. Establecer desde inicio</w:t>
      </w:r>
      <w:r>
        <w:t xml:space="preserve"> </w:t>
      </w:r>
      <w:r>
        <w:rPr>
          <w:b/>
          <w:bCs/>
        </w:rPr>
        <w:t xml:space="preserve">gastos variables</w:t>
      </w:r>
      <w:r>
        <w:t xml:space="preserve"> </w:t>
      </w:r>
      <w:r>
        <w:t xml:space="preserve">en lo posible: e.g., marketing paga por resultado (afiliados), proveedores tech con pagos escalonados, etc., para que al haber menos ingresos también bajen algunos egresos automáticamente. Definir</w:t>
      </w:r>
      <w:r>
        <w:t xml:space="preserve"> </w:t>
      </w:r>
      <w:r>
        <w:rPr>
          <w:b/>
          <w:bCs/>
        </w:rPr>
        <w:t xml:space="preserve">gatillos de recorte de gasto</w:t>
      </w:r>
      <w:r>
        <w:t xml:space="preserve"> </w:t>
      </w:r>
      <w:r>
        <w:t xml:space="preserve">– por ejemplo, si para el año2 solo se vendió &lt;50% de lo planificado, recortar personal no esencial, negociar honorarios más bajos del fiduciario por volumen, etc. Mantener una</w:t>
      </w:r>
      <w:r>
        <w:t xml:space="preserve"> </w:t>
      </w:r>
      <w:r>
        <w:rPr>
          <w:b/>
          <w:bCs/>
        </w:rPr>
        <w:t xml:space="preserve">reserva de caja mínima</w:t>
      </w:r>
      <w:r>
        <w:t xml:space="preserve"> </w:t>
      </w:r>
      <w:r>
        <w:t xml:space="preserve">equivalente a 12 meses de costos fijos; esto se logra no distribuyendo todo lo recaudado en costos o reparto prematuro. También diversificar canales de venta (por si un canal falla, otro rinde).</w:t>
      </w:r>
    </w:p>
    <w:p>
      <w:pPr>
        <w:numPr>
          <w:ilvl w:val="0"/>
          <w:numId w:val="1009"/>
        </w:numPr>
      </w:pPr>
      <w:r>
        <w:rPr>
          <w:b/>
          <w:bCs/>
        </w:rPr>
        <w:t xml:space="preserve">Trigger:</w:t>
      </w:r>
      <w:r>
        <w:t xml:space="preserve"> </w:t>
      </w:r>
      <w:r>
        <w:t xml:space="preserve">Cash burn &gt; cash in durante 2 trimestres seguidos → convocar comité para plan de ajuste; Caja proyectada &lt; 6 meses de costos → activar plan de emergencia (reducir sueldos, buscar capital puente con inversionistas clave).</w:t>
      </w:r>
    </w:p>
    <w:p>
      <w:pPr>
        <w:numPr>
          <w:ilvl w:val="0"/>
          <w:numId w:val="1009"/>
        </w:numPr>
      </w:pPr>
      <w:r>
        <w:rPr>
          <w:b/>
          <w:bCs/>
        </w:rPr>
        <w:t xml:space="preserve">Pilar: Riesgos y cumplimiento</w:t>
      </w:r>
    </w:p>
    <w:p>
      <w:pPr>
        <w:pStyle w:val="Compact"/>
        <w:numPr>
          <w:ilvl w:val="0"/>
          <w:numId w:val="1009"/>
        </w:numPr>
      </w:pPr>
      <w:r>
        <w:rPr>
          <w:b/>
          <w:bCs/>
        </w:rPr>
        <w:t xml:space="preserve">Riesgo:</w:t>
      </w:r>
      <w:r>
        <w:t xml:space="preserve"> </w:t>
      </w:r>
      <w:r>
        <w:rPr>
          <w:i/>
          <w:iCs/>
        </w:rPr>
        <w:t xml:space="preserve">Riesgo regulatorio múltiple:</w:t>
      </w:r>
      <w:r>
        <w:t xml:space="preserve"> </w:t>
      </w:r>
      <w:r>
        <w:t xml:space="preserve">que el token sea calificado como valor mobiliario por la SMV forzando suspensión hasta registro; o riesgo PLAFT por operar con activos virtuales (posibles sanciones si no cumplimos bien, o bancos cerrando cuentas por ser “cripto”).</w:t>
      </w:r>
    </w:p>
    <w:p>
      <w:pPr>
        <w:pStyle w:val="Compact"/>
        <w:numPr>
          <w:ilvl w:val="0"/>
          <w:numId w:val="1009"/>
        </w:numPr>
      </w:pPr>
      <w:r>
        <w:rPr>
          <w:b/>
          <w:bCs/>
        </w:rPr>
        <w:t xml:space="preserve">P:</w:t>
      </w:r>
      <w:r>
        <w:t xml:space="preserve"> </w:t>
      </w:r>
      <w:r>
        <w:t xml:space="preserve">Alta. (El entorno regulatorio cripto es nuevo; existe probabilidad significativa de roces regulatorios).</w:t>
      </w:r>
    </w:p>
    <w:p>
      <w:pPr>
        <w:pStyle w:val="Compact"/>
        <w:numPr>
          <w:ilvl w:val="0"/>
          <w:numId w:val="1009"/>
        </w:numPr>
      </w:pPr>
      <w:r>
        <w:rPr>
          <w:b/>
          <w:bCs/>
        </w:rPr>
        <w:t xml:space="preserve">I:</w:t>
      </w:r>
      <w:r>
        <w:t xml:space="preserve"> </w:t>
      </w:r>
      <w:r>
        <w:t xml:space="preserve">Alta. (Una orden de SMV de cese de oferta, o un cierre de cuenta bancaria, podrían detener el proyecto abruptamente).</w:t>
      </w:r>
    </w:p>
    <w:p>
      <w:pPr>
        <w:pStyle w:val="Compact"/>
        <w:numPr>
          <w:ilvl w:val="0"/>
          <w:numId w:val="1009"/>
        </w:numPr>
      </w:pPr>
      <w:r>
        <w:rPr>
          <w:b/>
          <w:bCs/>
        </w:rPr>
        <w:t xml:space="preserve">Mitigación:</w:t>
      </w:r>
      <w:r>
        <w:t xml:space="preserve"> </w:t>
      </w:r>
      <w:r>
        <w:t xml:space="preserve">Desde el diseño,</w:t>
      </w:r>
      <w:r>
        <w:t xml:space="preserve"> </w:t>
      </w:r>
      <w:r>
        <w:rPr>
          <w:b/>
          <w:bCs/>
        </w:rPr>
        <w:t xml:space="preserve">arquitectura legal con vehículo patrimonial segregado</w:t>
      </w:r>
      <w:r>
        <w:t xml:space="preserve"> </w:t>
      </w:r>
      <w:r>
        <w:t xml:space="preserve">y oferta privada limitada – lo más blindado posible contra ser considerado valor público. Obtener una</w:t>
      </w:r>
      <w:r>
        <w:t xml:space="preserve"> </w:t>
      </w:r>
      <w:r>
        <w:rPr>
          <w:b/>
          <w:bCs/>
        </w:rPr>
        <w:t xml:space="preserve">opinión legal</w:t>
      </w:r>
      <w:r>
        <w:t xml:space="preserve"> </w:t>
      </w:r>
      <w:r>
        <w:t xml:space="preserve">reconocida que respalde nuestra posición; en caso extremo, estar dispuestos a hacer un registro simplificado voluntario en SMV si eso se vuelve necesario (Plan B). Para el riesgo PLAFT: implementar</w:t>
      </w:r>
      <w:r>
        <w:t xml:space="preserve"> </w:t>
      </w:r>
      <w:r>
        <w:rPr>
          <w:b/>
          <w:bCs/>
        </w:rPr>
        <w:t xml:space="preserve">KYC/AML desde el día 1</w:t>
      </w:r>
      <w:r>
        <w:t xml:space="preserve"> </w:t>
      </w:r>
      <w:r>
        <w:t xml:space="preserve">con estándares iguales a los de cualquier entidad financiera</w:t>
      </w:r>
      <w:hyperlink r:id="rId71">
        <w:r>
          <w:rPr>
            <w:rStyle w:val="Hyperlink"/>
          </w:rPr>
          <w:t xml:space="preserve">[41]</w:t>
        </w:r>
      </w:hyperlink>
      <w:r>
        <w:t xml:space="preserve">. Registrarnos ante la UIF-Perú como PSAV conforme la norma nos exige (presentando nuestro sistema PLAFT). Tener auditorías internas/external anuales en compliance. Y crucial:</w:t>
      </w:r>
      <w:r>
        <w:t xml:space="preserve"> </w:t>
      </w:r>
      <w:r>
        <w:rPr>
          <w:b/>
          <w:bCs/>
        </w:rPr>
        <w:t xml:space="preserve">educar y trabajar con los bancos</w:t>
      </w:r>
      <w:r>
        <w:t xml:space="preserve">: vamos a acercarnos a 2-3 bancos desde temprano explicándoles el modelo, mostrándoles la normativa (DS 006-2023-JUS</w:t>
      </w:r>
      <w:hyperlink r:id="rId31">
        <w:r>
          <w:rPr>
            <w:rStyle w:val="Hyperlink"/>
          </w:rPr>
          <w:t xml:space="preserve">[10]</w:t>
        </w:r>
      </w:hyperlink>
      <w:r>
        <w:t xml:space="preserve">, Res. SBS 2648-2024) y cómo cumplimos todo, para que nos abran las cuentas necesarias. Si un banco se cierra, buscar otro más pro-innovación o incluso considerar cooperativas/licores para flujo de fondos. En paralelo, monitorear la regulación en desarrollo (por ejemplo, la SMV ha insinuado normas de</w:t>
      </w:r>
      <w:r>
        <w:t xml:space="preserve"> </w:t>
      </w:r>
      <w:r>
        <w:rPr>
          <w:i/>
          <w:iCs/>
        </w:rPr>
        <w:t xml:space="preserve">crowdfunding</w:t>
      </w:r>
      <w:r>
        <w:t xml:space="preserve"> </w:t>
      </w:r>
      <w:r>
        <w:t xml:space="preserve">y sandbox, podríamos encajar ahí en algún momento).</w:t>
      </w:r>
    </w:p>
    <w:p>
      <w:pPr>
        <w:numPr>
          <w:ilvl w:val="0"/>
          <w:numId w:val="1009"/>
        </w:numPr>
      </w:pPr>
      <w:r>
        <w:rPr>
          <w:b/>
          <w:bCs/>
        </w:rPr>
        <w:t xml:space="preserve">Trigger:</w:t>
      </w:r>
      <w:r>
        <w:t xml:space="preserve"> </w:t>
      </w:r>
      <w:r>
        <w:t xml:space="preserve">Llegada de comunicación formal de SMV o SBS cuestionando la operación → activar inmediatamente consultoría legal top-tier y entrar en diálogo con regulador para ajustar lo necesario (ej. reducir inversionistas, proveer info solicitada). Si banco notifica cierre de cuenta → activar banca alternativa (ya tendremos redundancia de cuentas en más de un banco).</w:t>
      </w:r>
    </w:p>
    <w:p>
      <w:pPr>
        <w:numPr>
          <w:ilvl w:val="0"/>
          <w:numId w:val="1009"/>
        </w:numPr>
      </w:pPr>
      <w:r>
        <w:rPr>
          <w:b/>
          <w:bCs/>
        </w:rPr>
        <w:t xml:space="preserve">Pilar: Factibilidad de ejecución</w:t>
      </w:r>
    </w:p>
    <w:p>
      <w:pPr>
        <w:pStyle w:val="Compact"/>
        <w:numPr>
          <w:ilvl w:val="0"/>
          <w:numId w:val="1009"/>
        </w:numPr>
      </w:pPr>
      <w:r>
        <w:rPr>
          <w:b/>
          <w:bCs/>
        </w:rPr>
        <w:t xml:space="preserve">Riesgo:</w:t>
      </w:r>
      <w:r>
        <w:t xml:space="preserve"> </w:t>
      </w:r>
      <w:r>
        <w:rPr>
          <w:i/>
          <w:iCs/>
        </w:rPr>
        <w:t xml:space="preserve">Falta de soporte del activo en el momento de venta</w:t>
      </w:r>
      <w:r>
        <w:t xml:space="preserve"> </w:t>
      </w:r>
      <w:r>
        <w:t xml:space="preserve">– es decir, que llegado 2030 aún haya pendientes legales del terreno (título sin saneamiento completo, alguna carga no levantada, problemas catastrales), impidiendo o encareciendo la venta final.</w:t>
      </w:r>
    </w:p>
    <w:p>
      <w:pPr>
        <w:pStyle w:val="Compact"/>
        <w:numPr>
          <w:ilvl w:val="0"/>
          <w:numId w:val="1009"/>
        </w:numPr>
      </w:pPr>
      <w:r>
        <w:rPr>
          <w:b/>
          <w:bCs/>
        </w:rPr>
        <w:t xml:space="preserve">P:</w:t>
      </w:r>
      <w:r>
        <w:t xml:space="preserve"> </w:t>
      </w:r>
      <w:r>
        <w:t xml:space="preserve">Media. (Actualmente el título está en proceso de verificación; podría haber demoras o sorpresas).</w:t>
      </w:r>
    </w:p>
    <w:p>
      <w:pPr>
        <w:pStyle w:val="Compact"/>
        <w:numPr>
          <w:ilvl w:val="0"/>
          <w:numId w:val="1009"/>
        </w:numPr>
      </w:pPr>
      <w:r>
        <w:rPr>
          <w:b/>
          <w:bCs/>
        </w:rPr>
        <w:t xml:space="preserve">I:</w:t>
      </w:r>
      <w:r>
        <w:t xml:space="preserve"> </w:t>
      </w:r>
      <w:r>
        <w:t xml:space="preserve">Muy Alta. (Si no podemos vender el terreno por trabas legales, todo el modelo colapsa; y cualquier descuento o contingencia reduce drásticamente retornos).</w:t>
      </w:r>
    </w:p>
    <w:p>
      <w:pPr>
        <w:pStyle w:val="Compact"/>
        <w:numPr>
          <w:ilvl w:val="0"/>
          <w:numId w:val="1009"/>
        </w:numPr>
      </w:pPr>
      <w:r>
        <w:rPr>
          <w:b/>
          <w:bCs/>
        </w:rPr>
        <w:t xml:space="preserve">Mitigación:</w:t>
      </w:r>
      <w:r>
        <w:t xml:space="preserve"> </w:t>
      </w:r>
      <w:r>
        <w:t xml:space="preserve">Hacer de la</w:t>
      </w:r>
      <w:r>
        <w:t xml:space="preserve"> </w:t>
      </w:r>
      <w:r>
        <w:rPr>
          <w:b/>
          <w:bCs/>
        </w:rPr>
        <w:t xml:space="preserve">titulación completa una Condición Precedente obligatoria</w:t>
      </w:r>
      <w:r>
        <w:t xml:space="preserve"> </w:t>
      </w:r>
      <w:r>
        <w:t xml:space="preserve">antes de lanzar venta masiva de tokens. Por ahora, en la documentación consideramos la falta de título como un “gating item”: no avanzaremos a la fase de ampliación pública sin tener al menos un certificado de dominio limpio. Contratar un</w:t>
      </w:r>
      <w:r>
        <w:t xml:space="preserve"> </w:t>
      </w:r>
      <w:r>
        <w:rPr>
          <w:b/>
          <w:bCs/>
        </w:rPr>
        <w:t xml:space="preserve">estudio legal especializado en saneamiento</w:t>
      </w:r>
      <w:r>
        <w:t xml:space="preserve"> </w:t>
      </w:r>
      <w:r>
        <w:t xml:space="preserve">que desde ya tome el caso y lo lleve a término (ver CPs: due diligence de título). Mantener a inversionistas informados del estado: por ejemplo, en cada reporte anual indicar “título inscrito, sin cargas” o si hay un litigio, revelarlo. En caso se detecte un problema (p.ej. aparece un suceso de posesión, o un gravamen oculto): asignar recursos inmediatos para resolverlo (sea pagando para liberar, o reubicando el proyecto en lote alterno si fuera catastrófico, aunque esta última es solución extrema).</w:t>
      </w:r>
    </w:p>
    <w:p>
      <w:pPr>
        <w:numPr>
          <w:ilvl w:val="0"/>
          <w:numId w:val="1009"/>
        </w:numPr>
      </w:pPr>
      <w:r>
        <w:rPr>
          <w:b/>
          <w:bCs/>
        </w:rPr>
        <w:t xml:space="preserve">Trigger:</w:t>
      </w:r>
      <w:r>
        <w:t xml:space="preserve"> </w:t>
      </w:r>
      <w:r>
        <w:t xml:space="preserve">Trámite registral se estanca &gt; 6 meses o surge oposición → elevar a comité y priorizar gasto en resolver; Si a 2025 no se tiene título limpio → retrasar lanzamiento y comunicar francamente a stakeholders, pues preferimos no arrancar con esa espada de Damocles.</w:t>
      </w:r>
    </w:p>
    <w:p>
      <w:pPr>
        <w:numPr>
          <w:ilvl w:val="0"/>
          <w:numId w:val="1009"/>
        </w:numPr>
      </w:pPr>
      <w:r>
        <w:rPr>
          <w:b/>
          <w:bCs/>
        </w:rPr>
        <w:t xml:space="preserve">Transversal: Catalizadores públicos</w:t>
      </w:r>
    </w:p>
    <w:p>
      <w:pPr>
        <w:pStyle w:val="Compact"/>
        <w:numPr>
          <w:ilvl w:val="0"/>
          <w:numId w:val="1009"/>
        </w:numPr>
      </w:pPr>
      <w:r>
        <w:rPr>
          <w:b/>
          <w:bCs/>
        </w:rPr>
        <w:t xml:space="preserve">Riesgo:</w:t>
      </w:r>
      <w:r>
        <w:t xml:space="preserve"> </w:t>
      </w:r>
      <w:r>
        <w:rPr>
          <w:i/>
          <w:iCs/>
        </w:rPr>
        <w:t xml:space="preserve">Retrasos o cambios de alcance del Ferrocarril Lima–Ica, o shock político/financiero general</w:t>
      </w:r>
      <w:r>
        <w:t xml:space="preserve"> </w:t>
      </w:r>
      <w:r>
        <w:t xml:space="preserve">que disminuya la plusvalía esperada (por ejemplo, inestabilidad política que frena inversiones, o crisis global que limita capitales).</w:t>
      </w:r>
    </w:p>
    <w:p>
      <w:pPr>
        <w:pStyle w:val="Compact"/>
        <w:numPr>
          <w:ilvl w:val="0"/>
          <w:numId w:val="1009"/>
        </w:numPr>
      </w:pPr>
      <w:r>
        <w:rPr>
          <w:b/>
          <w:bCs/>
        </w:rPr>
        <w:t xml:space="preserve">P:</w:t>
      </w:r>
      <w:r>
        <w:t xml:space="preserve"> </w:t>
      </w:r>
      <w:r>
        <w:t xml:space="preserve">Media. (Los retrasos en obras públicas son comunes en Perú; shocks macro impredecibles siempre latentes).</w:t>
      </w:r>
    </w:p>
    <w:p>
      <w:pPr>
        <w:pStyle w:val="Compact"/>
        <w:numPr>
          <w:ilvl w:val="0"/>
          <w:numId w:val="1009"/>
        </w:numPr>
      </w:pPr>
      <w:r>
        <w:rPr>
          <w:b/>
          <w:bCs/>
        </w:rPr>
        <w:t xml:space="preserve">I:</w:t>
      </w:r>
      <w:r>
        <w:t xml:space="preserve"> </w:t>
      </w:r>
      <w:r>
        <w:t xml:space="preserve">Alta. (Menor catalizador = menor apreciación = menos retorno, pudiendo desalentar incluso a inversionistas a entrar a rondas posteriores).</w:t>
      </w:r>
    </w:p>
    <w:p>
      <w:pPr>
        <w:pStyle w:val="Compact"/>
        <w:numPr>
          <w:ilvl w:val="0"/>
          <w:numId w:val="1009"/>
        </w:numPr>
      </w:pPr>
      <w:r>
        <w:rPr>
          <w:b/>
          <w:bCs/>
        </w:rPr>
        <w:t xml:space="preserve">Mitigación:</w:t>
      </w:r>
      <w:r>
        <w:t xml:space="preserve"> </w:t>
      </w:r>
      <w:r>
        <w:t xml:space="preserve">Al modelar hemos contemplado</w:t>
      </w:r>
      <w:r>
        <w:t xml:space="preserve"> </w:t>
      </w:r>
      <w:r>
        <w:rPr>
          <w:b/>
          <w:bCs/>
        </w:rPr>
        <w:t xml:space="preserve">escenarios conservadores</w:t>
      </w:r>
      <w:r>
        <w:t xml:space="preserve"> </w:t>
      </w:r>
      <w:r>
        <w:t xml:space="preserve">para reflejar retrasos (reduciendo escaladores)</w:t>
      </w:r>
      <w:hyperlink r:id="rId72">
        <w:r>
          <w:rPr>
            <w:rStyle w:val="Hyperlink"/>
          </w:rPr>
          <w:t xml:space="preserve">[42]</w:t>
        </w:r>
      </w:hyperlink>
      <w:hyperlink r:id="rId73">
        <w:r>
          <w:rPr>
            <w:rStyle w:val="Hyperlink"/>
          </w:rPr>
          <w:t xml:space="preserve">[43]</w:t>
        </w:r>
      </w:hyperlink>
      <w:r>
        <w:t xml:space="preserve">. Se incorporará esa narrativa en las comunicaciones: “podría tomar más tiempo, por eso ajustamos expectativas en escenario bajo”. Adicionalmente, nuestra valuación anual del activo será</w:t>
      </w:r>
      <w:r>
        <w:t xml:space="preserve"> </w:t>
      </w:r>
      <w:r>
        <w:rPr>
          <w:i/>
          <w:iCs/>
        </w:rPr>
        <w:t xml:space="preserve">basada en evidencia</w:t>
      </w:r>
      <w:r>
        <w:t xml:space="preserve"> </w:t>
      </w:r>
      <w:r>
        <w:t xml:space="preserve">de avance: es decir, no supondremos subidas de precio arbitrarias, sino que tasaremos con valuador externo que considerará el status real. Esto evita sobrevalorar en falta de progreso y protege a inversores nuevos de entrar a precios inflados.</w:t>
      </w:r>
      <w:r>
        <w:t xml:space="preserve"> </w:t>
      </w:r>
      <w:r>
        <w:rPr>
          <w:b/>
          <w:bCs/>
        </w:rPr>
        <w:t xml:space="preserve">No prometer plazos</w:t>
      </w:r>
      <w:r>
        <w:t xml:space="preserve">: nunca diremos “el tren estará listo tal año”, sino “hay un plan, puede variar”. Y, muy importante, implementar un</w:t>
      </w:r>
      <w:r>
        <w:t xml:space="preserve"> </w:t>
      </w:r>
      <w:r>
        <w:rPr>
          <w:b/>
          <w:bCs/>
        </w:rPr>
        <w:t xml:space="preserve">mecanismo de información pública trazable</w:t>
      </w:r>
      <w:r>
        <w:t xml:space="preserve">: por ejemplo, un apartado en nuestra web que muestre las noticias oficiales más recientes sobre el tren y PDU con fuentes (MTC, Diario El Peruano, etc.). Así los inversionistas pueden seguir directamente y no dependen solo de nuestro relato.</w:t>
      </w:r>
    </w:p>
    <w:p>
      <w:pPr>
        <w:pStyle w:val="Compact"/>
        <w:numPr>
          <w:ilvl w:val="0"/>
          <w:numId w:val="1009"/>
        </w:numPr>
      </w:pPr>
      <w:r>
        <w:rPr>
          <w:b/>
          <w:bCs/>
        </w:rPr>
        <w:t xml:space="preserve">Trigger:</w:t>
      </w:r>
      <w:r>
        <w:t xml:space="preserve"> </w:t>
      </w:r>
      <w:r>
        <w:t xml:space="preserve">Noticia oficial de que proyecto tren se posterga sine die o se cancela → pivotar estrategia de valorización: quizás enfocarse en valor urbano intrínseco (PDU) y recalibrar precios meta a la baja, comunicándolo inmediatamente y ofreciendo opciones (por ejemplo, plan de liquidez anticipada para quienes no quieran seguir). Si crisis económica (tipo caída fuerte de sector inmob) → pausar nuevas emisiones hasta que mercado se estabilice, priorizando conservar valor del activo.</w:t>
      </w:r>
    </w:p>
    <w:p>
      <w:pPr>
        <w:pStyle w:val="FirstParagraph"/>
      </w:pPr>
      <w:r>
        <w:t xml:space="preserve">La</w:t>
      </w:r>
      <w:r>
        <w:t xml:space="preserve"> </w:t>
      </w:r>
      <w:r>
        <w:rPr>
          <w:b/>
          <w:bCs/>
        </w:rPr>
        <w:t xml:space="preserve">matriz de riesgos</w:t>
      </w:r>
      <w:r>
        <w:t xml:space="preserve"> </w:t>
      </w:r>
      <w:r>
        <w:t xml:space="preserve">anterior resume nuestro enfoque preventivo. Cada riesgo tiene un</w:t>
      </w:r>
      <w:r>
        <w:t xml:space="preserve"> </w:t>
      </w:r>
      <w:r>
        <w:rPr>
          <w:i/>
          <w:iCs/>
        </w:rPr>
        <w:t xml:space="preserve">owner</w:t>
      </w:r>
      <w:r>
        <w:t xml:space="preserve"> </w:t>
      </w:r>
      <w:r>
        <w:t xml:space="preserve">asignado en el equipo (p.ej., el de demanda lo lidera Dir. Crecimiento, el regulatorio Dir. Legal/Compliance, el de título Dir. Legal, etc.) y se creará un</w:t>
      </w:r>
      <w:r>
        <w:t xml:space="preserve"> </w:t>
      </w:r>
      <w:r>
        <w:rPr>
          <w:b/>
          <w:bCs/>
        </w:rPr>
        <w:t xml:space="preserve">registro vivo de riesgos (risk register)</w:t>
      </w:r>
      <w:r>
        <w:t xml:space="preserve"> </w:t>
      </w:r>
      <w:r>
        <w:t xml:space="preserve">donde se actualicen trimestralmente el estado de cada riesgo, las acciones emprendidas y la evolución de P e I. Este registro será revisado por el Comité de Inversionistas cada semestre para transparencia.</w:t>
      </w:r>
    </w:p>
    <w:p>
      <w:pPr>
        <w:pStyle w:val="BodyText"/>
      </w:pPr>
      <w:r>
        <w:t xml:space="preserve">Además, implementaremos una</w:t>
      </w:r>
      <w:r>
        <w:t xml:space="preserve"> </w:t>
      </w:r>
      <w:r>
        <w:rPr>
          <w:b/>
          <w:bCs/>
        </w:rPr>
        <w:t xml:space="preserve">cultura de riesgo</w:t>
      </w:r>
      <w:r>
        <w:t xml:space="preserve"> </w:t>
      </w:r>
      <w:r>
        <w:t xml:space="preserve">en el equipo, de forma que cualquier miembro pueda alertar tempranamente sobre una amenaza emergente. Por ejemplo, si el encargado de marketing nota un sentimiento negativo en redes hacia el proyecto, lo escalará como riesgo reputacional para tratar antes de que crezca.</w:t>
      </w:r>
    </w:p>
    <w:bookmarkEnd w:id="74"/>
    <w:bookmarkStart w:id="75" w:name="c.-políticas-específicas-y-controles"/>
    <w:p>
      <w:pPr>
        <w:pStyle w:val="Heading3"/>
      </w:pPr>
      <w:r>
        <w:t xml:space="preserve">C. Políticas Específicas y Controles</w:t>
      </w:r>
    </w:p>
    <w:p>
      <w:pPr>
        <w:pStyle w:val="FirstParagraph"/>
      </w:pPr>
      <w:r>
        <w:t xml:space="preserve">Algunos controles adicionales ya se han tocado pero se listan para completar:</w:t>
      </w:r>
    </w:p>
    <w:p>
      <w:pPr>
        <w:pStyle w:val="Compact"/>
        <w:numPr>
          <w:ilvl w:val="0"/>
          <w:numId w:val="1010"/>
        </w:numPr>
      </w:pPr>
      <w:r>
        <w:rPr>
          <w:b/>
          <w:bCs/>
        </w:rPr>
        <w:t xml:space="preserve">Política PLAFT PSAV:</w:t>
      </w:r>
      <w:r>
        <w:t xml:space="preserve"> </w:t>
      </w:r>
      <w:r>
        <w:t xml:space="preserve">Contaremos con un manual PLAFT que cumpla punto por punto con la Resolución SBS N° 2648-2024</w:t>
      </w:r>
      <w:hyperlink r:id="rId55">
        <w:r>
          <w:rPr>
            <w:rStyle w:val="Hyperlink"/>
          </w:rPr>
          <w:t xml:space="preserve">[32]</w:t>
        </w:r>
      </w:hyperlink>
      <w:r>
        <w:t xml:space="preserve">. Incluyendo: identificación de cliente, segmentación de riesgo, debida diligencia ampliada si un cliente es alto riesgo (p.ej. PEP extranjero), monitoreo de transacciones (nuestro caso: montos invertidos vs perfil, transferencia de tokens inusual, etc.), reporte a UIF de operaciones sospechosas, conservación de registros por 5+ años, designación de oficial de cumplimiento, capacitación anual al personal, etc. Ya se tiene mapeado que esto debe hacerse y se cumplirá desde el inicio (aunque la SBS da plazo hasta Q1 2025 para que PSAV existentes se adecuen, nosotros naceremos ya adecuados).</w:t>
      </w:r>
    </w:p>
    <w:p>
      <w:pPr>
        <w:pStyle w:val="Compact"/>
        <w:numPr>
          <w:ilvl w:val="0"/>
          <w:numId w:val="1010"/>
        </w:numPr>
      </w:pPr>
      <w:r>
        <w:rPr>
          <w:b/>
          <w:bCs/>
        </w:rPr>
        <w:t xml:space="preserve">Auditorías duales:</w:t>
      </w:r>
      <w:r>
        <w:t xml:space="preserve"> </w:t>
      </w:r>
      <w:r>
        <w:t xml:space="preserve">Cada año habrá:</w:t>
      </w:r>
    </w:p>
    <w:p>
      <w:pPr>
        <w:pStyle w:val="Compact"/>
        <w:numPr>
          <w:ilvl w:val="0"/>
          <w:numId w:val="1010"/>
        </w:numPr>
      </w:pPr>
      <w:r>
        <w:t xml:space="preserve">Auditoría de valuación de activo (tasación por perito inscrito SMV idealmente).</w:t>
      </w:r>
    </w:p>
    <w:p>
      <w:pPr>
        <w:pStyle w:val="Compact"/>
        <w:numPr>
          <w:ilvl w:val="0"/>
          <w:numId w:val="1010"/>
        </w:numPr>
      </w:pPr>
      <w:r>
        <w:t xml:space="preserve">Auditoría de cumplimiento tecnológico: revisión de los smart contracts por empresa externa (ej. CertiK, Hacken o alguna conocida) antes del lanzamiento y luego quizás un</w:t>
      </w:r>
      <w:r>
        <w:t xml:space="preserve"> </w:t>
      </w:r>
      <w:r>
        <w:rPr>
          <w:i/>
          <w:iCs/>
        </w:rPr>
        <w:t xml:space="preserve">audit check</w:t>
      </w:r>
      <w:r>
        <w:t xml:space="preserve"> </w:t>
      </w:r>
      <w:r>
        <w:t xml:space="preserve">anual si hay actualizaciones al contrato.</w:t>
      </w:r>
    </w:p>
    <w:p>
      <w:pPr>
        <w:pStyle w:val="Compact"/>
        <w:numPr>
          <w:ilvl w:val="0"/>
          <w:numId w:val="1010"/>
        </w:numPr>
      </w:pPr>
      <w:r>
        <w:t xml:space="preserve">Auditoría financiera de estados: dado que habrá manejo de fondos, se puede contemplar encargar a una firma (no necesariamente Big4 al inicio por costo, pero quizá BDO, etc.) una revisión limitada de los flujos anuales del fideicomiso, para generar estados confiables a inversionistas.</w:t>
      </w:r>
    </w:p>
    <w:p>
      <w:pPr>
        <w:pStyle w:val="Compact"/>
        <w:numPr>
          <w:ilvl w:val="0"/>
          <w:numId w:val="1010"/>
        </w:numPr>
      </w:pPr>
      <w:r>
        <w:rPr>
          <w:b/>
          <w:bCs/>
        </w:rPr>
        <w:t xml:space="preserve">Informes periódicos:</w:t>
      </w:r>
      <w:r>
        <w:t xml:space="preserve"> </w:t>
      </w:r>
      <w:r>
        <w:t xml:space="preserve">Reporte trimestral operativo; reporte semestral financiero resumido; reporte anual completo con estados auditados y memoria de gestión. Estos informes se entregarán a inversionistas y algunos podrían compartirse con autoridades bajo confidencialidad si lo requieren (UIF).</w:t>
      </w:r>
    </w:p>
    <w:p>
      <w:pPr>
        <w:pStyle w:val="Compact"/>
        <w:numPr>
          <w:ilvl w:val="0"/>
          <w:numId w:val="1010"/>
        </w:numPr>
      </w:pPr>
      <w:r>
        <w:rPr>
          <w:b/>
          <w:bCs/>
        </w:rPr>
        <w:t xml:space="preserve">Plan de contingencia TI:</w:t>
      </w:r>
      <w:r>
        <w:t xml:space="preserve"> </w:t>
      </w:r>
      <w:r>
        <w:t xml:space="preserve">Al ser una plataforma digital, habrá plan de respaldo de data, recuperación ante desastres (backups off-site de la base de datos de clientes y registros, etc.), y ciber-seguro si se consigue (para cubrir eventualmente hack de wallets, etc., aunque con custodia profesional ese riesgo baja).</w:t>
      </w:r>
    </w:p>
    <w:p>
      <w:pPr>
        <w:pStyle w:val="Compact"/>
        <w:numPr>
          <w:ilvl w:val="0"/>
          <w:numId w:val="1010"/>
        </w:numPr>
      </w:pPr>
      <w:r>
        <w:rPr>
          <w:b/>
          <w:bCs/>
        </w:rPr>
        <w:t xml:space="preserve">Seguro del activo inmueble:</w:t>
      </w:r>
      <w:r>
        <w:t xml:space="preserve"> </w:t>
      </w:r>
      <w:r>
        <w:t xml:space="preserve">Se evaluará asegurar el terreno contra eventos catastróficos (incendio, terremoto) mientras esté en tenencia. Dado que es tierra bruta, la principal preocupación sería responsabilidad civil (si alguien se accidenta en el predio) o invasiones. Contrataremos vigilancia básica y limpieza periódica del lote para evitar ocupaciones. Un seguro de propiedad podría no aplicar mucho (el terreno no “se destruye” con un sismo), pero por completitud se cotizará.</w:t>
      </w:r>
    </w:p>
    <w:p>
      <w:pPr>
        <w:pStyle w:val="Compact"/>
        <w:numPr>
          <w:ilvl w:val="0"/>
          <w:numId w:val="1010"/>
        </w:numPr>
      </w:pPr>
      <w:r>
        <w:rPr>
          <w:b/>
          <w:bCs/>
        </w:rPr>
        <w:t xml:space="preserve">Exit strategy / opciones de salida anticipada:</w:t>
      </w:r>
      <w:r>
        <w:t xml:space="preserve"> </w:t>
      </w:r>
      <w:r>
        <w:t xml:space="preserve">Aunque el plan central es venta total en 5 años, siempre se pueden explorar salidas adelantadas si benefician a inversionistas. Por ejemplo, si en año 4 un desarrollador ofrece comprar el 100% del terreno a un precio cercano a nuestro valor objetivo de año 5, quizá convenga tomarlo y adelantar retornos (IRR sube al reducir tiempo). Políticas: cualquier oferta de este tipo se presentaría al Comité de Inversionistas para evaluar, y si están mayoritariamente a favor, se ejecuta. Se tiene previsto incluir en el reglamento del fideicomiso que una mayoría calificada (e.g., 75% de tokens) podría decidir venta anticipada del activo.</w:t>
      </w:r>
    </w:p>
    <w:p>
      <w:pPr>
        <w:pStyle w:val="Compact"/>
        <w:numPr>
          <w:ilvl w:val="0"/>
          <w:numId w:val="1010"/>
        </w:numPr>
      </w:pPr>
      <w:r>
        <w:rPr>
          <w:b/>
          <w:bCs/>
        </w:rPr>
        <w:t xml:space="preserve">Resolución de conflictos y mecanismo arbitral:</w:t>
      </w:r>
      <w:r>
        <w:t xml:space="preserve"> </w:t>
      </w:r>
      <w:r>
        <w:t xml:space="preserve">Se definirá que cualquier disputa entre inversionistas y promotores/fiduciario se resolverá mediante arbitraje institucional de derecho en Lima, para evitar largos juicios. Esto brinda certeza de un foro neutral. Esperamos no haya disputas si todo va transparente, pero es mejor pactarlo de antemano.</w:t>
      </w:r>
    </w:p>
    <w:p>
      <w:pPr>
        <w:pStyle w:val="FirstParagraph"/>
      </w:pPr>
      <w:r>
        <w:t xml:space="preserve">En conclusión,</w:t>
      </w:r>
      <w:r>
        <w:t xml:space="preserve"> </w:t>
      </w:r>
      <w:r>
        <w:rPr>
          <w:i/>
          <w:iCs/>
        </w:rPr>
        <w:t xml:space="preserve">PachaNova</w:t>
      </w:r>
      <w:r>
        <w:t xml:space="preserve"> </w:t>
      </w:r>
      <w:r>
        <w:t xml:space="preserve">se dotará de un</w:t>
      </w:r>
      <w:r>
        <w:t xml:space="preserve"> </w:t>
      </w:r>
      <w:r>
        <w:rPr>
          <w:b/>
          <w:bCs/>
        </w:rPr>
        <w:t xml:space="preserve">marco de gobernanza integral</w:t>
      </w:r>
      <w:r>
        <w:t xml:space="preserve"> </w:t>
      </w:r>
      <w:r>
        <w:t xml:space="preserve">y de</w:t>
      </w:r>
      <w:r>
        <w:t xml:space="preserve"> </w:t>
      </w:r>
      <w:r>
        <w:rPr>
          <w:b/>
          <w:bCs/>
        </w:rPr>
        <w:t xml:space="preserve">prácticas de gestión de riesgos proactivas</w:t>
      </w:r>
      <w:r>
        <w:t xml:space="preserve"> </w:t>
      </w:r>
      <w:r>
        <w:t xml:space="preserve">que son comparables a las de un fondo de inversión o un vehículo estructurado supervisado, a pesar de estar operando bajo una modalidad privada. Este nivel de institucionalidad es lo que se requiere para ganarse la confianza en un mercado innovador.</w:t>
      </w:r>
    </w:p>
    <w:p>
      <w:pPr>
        <w:pStyle w:val="BodyText"/>
      </w:pPr>
      <w:r>
        <w:t xml:space="preserve">Todo lo anterior – desde la estructura legal hasta la gestión de riesgos – converge en darle a los inversionistas la</w:t>
      </w:r>
      <w:r>
        <w:t xml:space="preserve"> </w:t>
      </w:r>
      <w:r>
        <w:rPr>
          <w:b/>
          <w:bCs/>
        </w:rPr>
        <w:t xml:space="preserve">tranquilidad</w:t>
      </w:r>
      <w:r>
        <w:t xml:space="preserve"> </w:t>
      </w:r>
      <w:r>
        <w:t xml:space="preserve">de que, si bien invierten en un proyecto novedoso, este está siendo llevado con el mismo rigor y vigilancia que un proyecto convencional en manos de instituciones financieras. Ese es nuestro principal diferenciador y garantía.</w:t>
      </w:r>
    </w:p>
    <w:p>
      <w:pPr>
        <w:pStyle w:val="BodyText"/>
      </w:pPr>
      <w:r>
        <w:t xml:space="preserve">Finalmente, presentaremos el</w:t>
      </w:r>
      <w:r>
        <w:t xml:space="preserve"> </w:t>
      </w:r>
      <w:r>
        <w:rPr>
          <w:b/>
          <w:bCs/>
        </w:rPr>
        <w:t xml:space="preserve">Plan de Ejecución</w:t>
      </w:r>
      <w:r>
        <w:t xml:space="preserve">, que detalla cómo llevaremos a cabo las etapas del proyecto, los hitos clave a alcanzar y las condiciones precedentes que deben cumplirse para el avance, de manera que este plan de negocios se concrete efectivamente en los próximos meses y años.</w:t>
      </w:r>
    </w:p>
    <w:bookmarkEnd w:id="75"/>
    <w:bookmarkEnd w:id="76"/>
    <w:bookmarkStart w:id="79" w:name="equipo-y-organización-resumen"/>
    <w:p>
      <w:pPr>
        <w:pStyle w:val="Heading2"/>
      </w:pPr>
      <w:r>
        <w:t xml:space="preserve">Equipo y Organización (Resumen)</w:t>
      </w:r>
    </w:p>
    <w:p>
      <w:pPr>
        <w:pStyle w:val="FirstParagraph"/>
      </w:pPr>
      <w:r>
        <w:rPr>
          <w:i/>
          <w:iCs/>
        </w:rPr>
        <w:t xml:space="preserve">(Nota: Esta sección se mantendrá breve dado que los integrantes finales del equipo aún están por confirmarse; se incluye un placeholder de organigrama y roles, conforme a lo sugerido, pero sin extender en biografías en esta versión.)</w:t>
      </w:r>
    </w:p>
    <w:p>
      <w:pPr>
        <w:pStyle w:val="BodyText"/>
      </w:pPr>
      <w:r>
        <w:rPr>
          <w:b/>
          <w:bCs/>
        </w:rPr>
        <w:t xml:space="preserve">Equipo fundador y roles críticos:</w:t>
      </w:r>
      <w:r>
        <w:t xml:space="preserve"> </w:t>
      </w:r>
      <w:r>
        <w:t xml:space="preserve">PachaNova ha sido concebido por un equipo emprendedor con experiencia combinada en finanzas, bienes raíces y tecnología blockchain. El organigrama preliminar contempla las siguientes funciones clave:</w:t>
      </w:r>
      <w:r>
        <w:t xml:space="preserve"> </w:t>
      </w:r>
      <w:r>
        <w:t xml:space="preserve">-</w:t>
      </w:r>
      <w:r>
        <w:t xml:space="preserve"> </w:t>
      </w:r>
      <w:r>
        <w:rPr>
          <w:b/>
          <w:bCs/>
        </w:rPr>
        <w:t xml:space="preserve">Director General (CEO):</w:t>
      </w:r>
      <w:r>
        <w:t xml:space="preserve"> </w:t>
      </w:r>
      <w:r>
        <w:t xml:space="preserve">Lidera la estrategia global, relacionamiento con inversores institucionales y stakeholders externos.</w:t>
      </w:r>
      <w:r>
        <w:t xml:space="preserve"> </w:t>
      </w:r>
      <w:r>
        <w:rPr>
          <w:i/>
          <w:iCs/>
        </w:rPr>
        <w:t xml:space="preserve">[Nombre a confirmar]</w:t>
      </w:r>
      <w:r>
        <w:t xml:space="preserve">, cofundador, con 10+ años en estructuración financiera.</w:t>
      </w:r>
      <w:r>
        <w:t xml:space="preserve"> </w:t>
      </w:r>
      <w:r>
        <w:t xml:space="preserve">-</w:t>
      </w:r>
      <w:r>
        <w:t xml:space="preserve"> </w:t>
      </w:r>
      <w:r>
        <w:rPr>
          <w:b/>
          <w:bCs/>
        </w:rPr>
        <w:t xml:space="preserve">Director de Producto &amp; Tecnología:</w:t>
      </w:r>
      <w:r>
        <w:t xml:space="preserve"> </w:t>
      </w:r>
      <w:r>
        <w:t xml:space="preserve">Encargado de desarrollar la plataforma token, garantizar su seguridad y buen desempeño, y de la operativa diaria de emisión y trading.</w:t>
      </w:r>
      <w:r>
        <w:t xml:space="preserve"> </w:t>
      </w:r>
      <w:r>
        <w:rPr>
          <w:i/>
          <w:iCs/>
        </w:rPr>
        <w:t xml:space="preserve">[Nombre]</w:t>
      </w:r>
      <w:r>
        <w:t xml:space="preserve">, cofundador, ingeniero de software con experiencia en proyectos blockchain.</w:t>
      </w:r>
      <w:r>
        <w:t xml:space="preserve"> </w:t>
      </w:r>
      <w:r>
        <w:t xml:space="preserve">-</w:t>
      </w:r>
      <w:r>
        <w:t xml:space="preserve"> </w:t>
      </w:r>
      <w:r>
        <w:rPr>
          <w:b/>
          <w:bCs/>
        </w:rPr>
        <w:t xml:space="preserve">Director de Cumplimiento &amp; Riesgos:</w:t>
      </w:r>
      <w:r>
        <w:t xml:space="preserve"> </w:t>
      </w:r>
      <w:r>
        <w:t xml:space="preserve">Responsable de implementar el sistema PLAFT, realizar monitoreo de riesgos continuamente y asegurar cumplimiento normativo.</w:t>
      </w:r>
      <w:r>
        <w:t xml:space="preserve"> </w:t>
      </w:r>
      <w:r>
        <w:rPr>
          <w:i/>
          <w:iCs/>
        </w:rPr>
        <w:t xml:space="preserve">[Nombre]</w:t>
      </w:r>
      <w:r>
        <w:t xml:space="preserve">, consultor externo acreditado en prevención de LAFT, apoyará en este rol mientras se nombra un oficial in-house.</w:t>
      </w:r>
      <w:r>
        <w:t xml:space="preserve"> </w:t>
      </w:r>
      <w:r>
        <w:t xml:space="preserve">-</w:t>
      </w:r>
      <w:r>
        <w:t xml:space="preserve"> </w:t>
      </w:r>
      <w:r>
        <w:rPr>
          <w:b/>
          <w:bCs/>
        </w:rPr>
        <w:t xml:space="preserve">Director Legal:</w:t>
      </w:r>
      <w:r>
        <w:t xml:space="preserve"> </w:t>
      </w:r>
      <w:r>
        <w:t xml:space="preserve">Asesora en la creación del fideicomiso, contratos con inversionistas y manejo de cualquier aspecto legal corporativo.</w:t>
      </w:r>
      <w:r>
        <w:t xml:space="preserve"> </w:t>
      </w:r>
      <w:r>
        <w:rPr>
          <w:i/>
          <w:iCs/>
        </w:rPr>
        <w:t xml:space="preserve">[Estudio legal XYZ]</w:t>
      </w:r>
      <w:r>
        <w:t xml:space="preserve"> </w:t>
      </w:r>
      <w:r>
        <w:t xml:space="preserve">actúa como apoyo externo; internamente</w:t>
      </w:r>
      <w:r>
        <w:t xml:space="preserve"> </w:t>
      </w:r>
      <w:r>
        <w:rPr>
          <w:i/>
          <w:iCs/>
        </w:rPr>
        <w:t xml:space="preserve">[Nombre]</w:t>
      </w:r>
      <w:r>
        <w:t xml:space="preserve"> </w:t>
      </w:r>
      <w:r>
        <w:t xml:space="preserve">coordina asuntos legales.</w:t>
      </w:r>
      <w:r>
        <w:t xml:space="preserve"> </w:t>
      </w:r>
      <w:r>
        <w:t xml:space="preserve">-</w:t>
      </w:r>
      <w:r>
        <w:t xml:space="preserve"> </w:t>
      </w:r>
      <w:r>
        <w:rPr>
          <w:b/>
          <w:bCs/>
        </w:rPr>
        <w:t xml:space="preserve">Director de Crecimiento &amp; Comercial:</w:t>
      </w:r>
      <w:r>
        <w:t xml:space="preserve"> </w:t>
      </w:r>
      <w:r>
        <w:t xml:space="preserve">Liderará el marketing, relaciones con canales de distribución, comunidades de inversionistas (locales y en el extranjero) y estrategias de ventas de tokens por cohorte.</w:t>
      </w:r>
      <w:r>
        <w:t xml:space="preserve"> </w:t>
      </w:r>
      <w:r>
        <w:rPr>
          <w:i/>
          <w:iCs/>
        </w:rPr>
        <w:t xml:space="preserve">[Nombre]</w:t>
      </w:r>
      <w:r>
        <w:t xml:space="preserve">, experiencia en comercialización de productos financieros digitales.</w:t>
      </w:r>
      <w:r>
        <w:t xml:space="preserve"> </w:t>
      </w:r>
      <w:r>
        <w:t xml:space="preserve">-</w:t>
      </w:r>
      <w:r>
        <w:t xml:space="preserve"> </w:t>
      </w:r>
      <w:r>
        <w:rPr>
          <w:b/>
          <w:bCs/>
        </w:rPr>
        <w:t xml:space="preserve">Director de Finanzas &amp; Administración:</w:t>
      </w:r>
      <w:r>
        <w:t xml:space="preserve"> </w:t>
      </w:r>
      <w:r>
        <w:t xml:space="preserve">Maneja la contabilidad del fideicomiso, reporting financiero, control presupuestal y relaciones bancarias.</w:t>
      </w:r>
      <w:r>
        <w:t xml:space="preserve"> </w:t>
      </w:r>
      <w:r>
        <w:rPr>
          <w:i/>
          <w:iCs/>
        </w:rPr>
        <w:t xml:space="preserve">[Nombre]</w:t>
      </w:r>
      <w:r>
        <w:t xml:space="preserve">, ex auditor financiero, se encargará de esta función.</w:t>
      </w:r>
    </w:p>
    <w:p>
      <w:pPr>
        <w:pStyle w:val="BodyText"/>
      </w:pPr>
      <w:r>
        <w:t xml:space="preserve">Actualmente los roles directivos están desempeñados por un</w:t>
      </w:r>
      <w:r>
        <w:t xml:space="preserve"> </w:t>
      </w:r>
      <w:r>
        <w:rPr>
          <w:b/>
          <w:bCs/>
        </w:rPr>
        <w:t xml:space="preserve">núcleo de 3 cofundadores</w:t>
      </w:r>
      <w:r>
        <w:t xml:space="preserve"> </w:t>
      </w:r>
      <w:r>
        <w:t xml:space="preserve">que cubren las áreas de dirección general, tecnología y finanzas, apoyados fuertemente por asesores externos en legal y cumplimiento. Conforme se avance a la fase de implementación y crecimiento, se incorporarán perfiles especializados para cubrir las demás áreas (particularmente marketing/distribución e inversiones).</w:t>
      </w:r>
    </w:p>
    <w:p>
      <w:pPr>
        <w:pStyle w:val="BodyText"/>
      </w:pPr>
      <w:r>
        <w:rPr>
          <w:b/>
          <w:bCs/>
        </w:rPr>
        <w:t xml:space="preserve">Asesores y aliados estratégicos:</w:t>
      </w:r>
      <w:r>
        <w:t xml:space="preserve"> </w:t>
      </w:r>
      <w:r>
        <w:t xml:space="preserve">PachaNova cuenta ya con la asesoría de:</w:t>
      </w:r>
      <w:r>
        <w:t xml:space="preserve"> </w:t>
      </w:r>
      <w:r>
        <w:t xml:space="preserve">- Un</w:t>
      </w:r>
      <w:r>
        <w:t xml:space="preserve"> </w:t>
      </w:r>
      <w:r>
        <w:rPr>
          <w:b/>
          <w:bCs/>
        </w:rPr>
        <w:t xml:space="preserve">Estudio de abogados líder</w:t>
      </w:r>
      <w:r>
        <w:t xml:space="preserve"> </w:t>
      </w:r>
      <w:r>
        <w:t xml:space="preserve">en estructuración financiera para guiar la parte regulatoria y contractual (p.ej.</w:t>
      </w:r>
      <w:r>
        <w:t xml:space="preserve"> </w:t>
      </w:r>
      <w:r>
        <w:rPr>
          <w:i/>
          <w:iCs/>
        </w:rPr>
        <w:t xml:space="preserve">Estudio X &amp; Asociados</w:t>
      </w:r>
      <w:r>
        <w:t xml:space="preserve">).</w:t>
      </w:r>
      <w:r>
        <w:t xml:space="preserve"> </w:t>
      </w:r>
      <w:r>
        <w:t xml:space="preserve">- Una firma consultora en</w:t>
      </w:r>
      <w:r>
        <w:t xml:space="preserve"> </w:t>
      </w:r>
      <w:r>
        <w:rPr>
          <w:b/>
          <w:bCs/>
        </w:rPr>
        <w:t xml:space="preserve">tecnología blockchain</w:t>
      </w:r>
      <w:r>
        <w:t xml:space="preserve"> </w:t>
      </w:r>
      <w:r>
        <w:t xml:space="preserve">que ha implementado soluciones ERC-3643 en Europa, para transferencia de conocimiento y auditoría técnica.</w:t>
      </w:r>
      <w:r>
        <w:t xml:space="preserve"> </w:t>
      </w:r>
      <w:r>
        <w:t xml:space="preserve">- Contactos cercanos con un</w:t>
      </w:r>
      <w:r>
        <w:t xml:space="preserve"> </w:t>
      </w:r>
      <w:r>
        <w:rPr>
          <w:b/>
          <w:bCs/>
        </w:rPr>
        <w:t xml:space="preserve">tasador inmobiliario certificado</w:t>
      </w:r>
      <w:r>
        <w:t xml:space="preserve"> </w:t>
      </w:r>
      <w:r>
        <w:t xml:space="preserve">y una</w:t>
      </w:r>
      <w:r>
        <w:t xml:space="preserve"> </w:t>
      </w:r>
      <w:r>
        <w:rPr>
          <w:b/>
          <w:bCs/>
        </w:rPr>
        <w:t xml:space="preserve">empresa fiduciaria</w:t>
      </w:r>
      <w:r>
        <w:t xml:space="preserve"> </w:t>
      </w:r>
      <w:r>
        <w:t xml:space="preserve">dispuestos a involucrarse tras aprobaciones internas.</w:t>
      </w:r>
    </w:p>
    <w:p>
      <w:pPr>
        <w:pStyle w:val="BodyText"/>
      </w:pPr>
      <w:r>
        <w:t xml:space="preserve">Asimismo, estamos en conversaciones con instituciones como la</w:t>
      </w:r>
      <w:r>
        <w:t xml:space="preserve"> </w:t>
      </w:r>
      <w:r>
        <w:rPr>
          <w:b/>
          <w:bCs/>
        </w:rPr>
        <w:t xml:space="preserve">Asociación Fintech Perú</w:t>
      </w:r>
      <w:r>
        <w:t xml:space="preserve"> </w:t>
      </w:r>
      <w:r>
        <w:t xml:space="preserve">y organismos de promoción de inversiones para buscar su respaldo o colaboración (en temas de difusión, buenas prácticas, etc.). Contar con un comité asesor externo, con figuras de prestigio en bienes raíces y finanzas, es algo que consideramos valioso añadir para reforzar la gobernanza. En versiones futuras del plan se podrá detallar nombres una vez confirmados.</w:t>
      </w:r>
    </w:p>
    <w:p>
      <w:pPr>
        <w:pStyle w:val="BodyText"/>
      </w:pPr>
      <w:r>
        <w:rPr>
          <w:b/>
          <w:bCs/>
        </w:rPr>
        <w:t xml:space="preserve">Cultura y valores del equipo:</w:t>
      </w:r>
      <w:r>
        <w:t xml:space="preserve"> </w:t>
      </w:r>
      <w:r>
        <w:t xml:space="preserve">Desde ya, hemos inculcado una cultura orientada a:</w:t>
      </w:r>
      <w:r>
        <w:t xml:space="preserve"> </w:t>
      </w:r>
      <w:r>
        <w:t xml:space="preserve">-</w:t>
      </w:r>
      <w:r>
        <w:t xml:space="preserve"> </w:t>
      </w:r>
      <w:r>
        <w:rPr>
          <w:b/>
          <w:bCs/>
        </w:rPr>
        <w:t xml:space="preserve">Transparencia:</w:t>
      </w:r>
      <w:r>
        <w:t xml:space="preserve"> </w:t>
      </w:r>
      <w:r>
        <w:t xml:space="preserve">compartimos abiertamente entre el equipo la información y el estado de los hitos, fomentando preguntas difíciles y anticipación de problemas.</w:t>
      </w:r>
      <w:r>
        <w:t xml:space="preserve"> </w:t>
      </w:r>
      <w:r>
        <w:t xml:space="preserve">-</w:t>
      </w:r>
      <w:r>
        <w:t xml:space="preserve"> </w:t>
      </w:r>
      <w:r>
        <w:rPr>
          <w:b/>
          <w:bCs/>
        </w:rPr>
        <w:t xml:space="preserve">Orientación a cumplimiento:</w:t>
      </w:r>
      <w:r>
        <w:t xml:space="preserve"> </w:t>
      </w:r>
      <w:r>
        <w:t xml:space="preserve">entendiendo que nuestro diferenciador es ser confiables, cada miembro tiene claro que</w:t>
      </w:r>
      <w:r>
        <w:t xml:space="preserve"> </w:t>
      </w:r>
      <w:r>
        <w:rPr>
          <w:i/>
          <w:iCs/>
        </w:rPr>
        <w:t xml:space="preserve">“hacer lo correcto”</w:t>
      </w:r>
      <w:r>
        <w:t xml:space="preserve"> </w:t>
      </w:r>
      <w:r>
        <w:t xml:space="preserve">(cumplir normas, decir la verdad a inversores) prevalece sobre atajos.</w:t>
      </w:r>
      <w:r>
        <w:t xml:space="preserve"> </w:t>
      </w:r>
      <w:r>
        <w:t xml:space="preserve">-</w:t>
      </w:r>
      <w:r>
        <w:t xml:space="preserve"> </w:t>
      </w:r>
      <w:r>
        <w:rPr>
          <w:b/>
          <w:bCs/>
        </w:rPr>
        <w:t xml:space="preserve">Innovación responsable:</w:t>
      </w:r>
      <w:r>
        <w:t xml:space="preserve"> </w:t>
      </w:r>
      <w:r>
        <w:t xml:space="preserve">abrazamos la tecnología y nuevos enfoques, pero siempre calibrados por una visión de largo plazo y responsabilidad fiduciaria hacia los inversionistas.</w:t>
      </w:r>
      <w:r>
        <w:t xml:space="preserve"> </w:t>
      </w:r>
      <w:r>
        <w:t xml:space="preserve">-</w:t>
      </w:r>
      <w:r>
        <w:t xml:space="preserve"> </w:t>
      </w:r>
      <w:r>
        <w:rPr>
          <w:b/>
          <w:bCs/>
        </w:rPr>
        <w:t xml:space="preserve">Enfoque en el cliente:</w:t>
      </w:r>
      <w:r>
        <w:t xml:space="preserve"> </w:t>
      </w:r>
      <w:r>
        <w:t xml:space="preserve">aunque nuestro “cliente” sea el inversionista, aplicamos los principios de UX y atención propios de startups al mundo financiero, buscando que la experiencia de invertir con PachaNova sea sencilla, informativa y segura.</w:t>
      </w:r>
    </w:p>
    <w:p>
      <w:pPr>
        <w:pStyle w:val="BodyText"/>
      </w:pPr>
      <w:r>
        <w:t xml:space="preserve">El equipo se irá robusteciendo a medida que logremos hitos y mayor inversión. Un aspecto importante será la atracción de talento en áreas de compliance y marketing digital hacia 2024-2025 para escalar la operación.</w:t>
      </w:r>
    </w:p>
    <w:p>
      <w:pPr>
        <w:pStyle w:val="BodyText"/>
      </w:pPr>
      <w:r>
        <w:rPr>
          <w:b/>
          <w:bCs/>
        </w:rPr>
        <w:t xml:space="preserve">Gobierno corporativo mínimo:</w:t>
      </w:r>
      <w:r>
        <w:t xml:space="preserve"> </w:t>
      </w:r>
      <w:r>
        <w:t xml:space="preserve">Además de los comités ya descritos, se asegurará que el</w:t>
      </w:r>
      <w:r>
        <w:t xml:space="preserve"> </w:t>
      </w:r>
      <w:r>
        <w:rPr>
          <w:b/>
          <w:bCs/>
        </w:rPr>
        <w:t xml:space="preserve">Comité de Auditoría y Riesgos</w:t>
      </w:r>
      <w:r>
        <w:t xml:space="preserve"> </w:t>
      </w:r>
      <w:r>
        <w:t xml:space="preserve">tenga presencia de al menos un miembro independiente (por ejemplo, un asesor externo no involucrado en la gestión diaria)</w:t>
      </w:r>
      <w:hyperlink r:id="rId77">
        <w:r>
          <w:rPr>
            <w:rStyle w:val="Hyperlink"/>
          </w:rPr>
          <w:t xml:space="preserve">[44]</w:t>
        </w:r>
      </w:hyperlink>
      <w:r>
        <w:t xml:space="preserve">. El</w:t>
      </w:r>
      <w:r>
        <w:t xml:space="preserve"> </w:t>
      </w:r>
      <w:r>
        <w:rPr>
          <w:b/>
          <w:bCs/>
        </w:rPr>
        <w:t xml:space="preserve">Comité de Valuación</w:t>
      </w:r>
      <w:r>
        <w:t xml:space="preserve"> </w:t>
      </w:r>
      <w:r>
        <w:t xml:space="preserve">integrará al tasador externo junto con un representante de los inversionistas para validar los supuestos de valorización</w:t>
      </w:r>
      <w:hyperlink r:id="rId77">
        <w:r>
          <w:rPr>
            <w:rStyle w:val="Hyperlink"/>
          </w:rPr>
          <w:t xml:space="preserve">[44]</w:t>
        </w:r>
      </w:hyperlink>
      <w:r>
        <w:t xml:space="preserve">. Y se implementarán políticas escritas de</w:t>
      </w:r>
      <w:r>
        <w:t xml:space="preserve"> </w:t>
      </w:r>
      <w:r>
        <w:rPr>
          <w:b/>
          <w:bCs/>
        </w:rPr>
        <w:t xml:space="preserve">gestión de conflictos de interés</w:t>
      </w:r>
      <w:r>
        <w:t xml:space="preserve"> </w:t>
      </w:r>
      <w:r>
        <w:t xml:space="preserve">tal como se discutió</w:t>
      </w:r>
      <w:hyperlink r:id="rId78">
        <w:r>
          <w:rPr>
            <w:rStyle w:val="Hyperlink"/>
          </w:rPr>
          <w:t xml:space="preserve">[45]</w:t>
        </w:r>
      </w:hyperlink>
      <w:r>
        <w:t xml:space="preserve">.</w:t>
      </w:r>
    </w:p>
    <w:p>
      <w:pPr>
        <w:pStyle w:val="BodyText"/>
      </w:pPr>
      <w:r>
        <w:rPr>
          <w:i/>
          <w:iCs/>
        </w:rPr>
        <w:t xml:space="preserve">(Nota: Esta sección se mantuvo de nivel alto porque el foco del documento es más en la tesis y finanzas; en la versión final se añadirán perfiles y logros de cada integrante relevante para dar mayor confianza.)</w:t>
      </w:r>
    </w:p>
    <w:bookmarkEnd w:id="79"/>
    <w:bookmarkStart w:id="91" w:name="plan-de-ejecución-cronograma-e-hitos"/>
    <w:p>
      <w:pPr>
        <w:pStyle w:val="Heading2"/>
      </w:pPr>
      <w:r>
        <w:t xml:space="preserve">Plan de Ejecución (Cronograma e Hitos)</w:t>
      </w:r>
    </w:p>
    <w:p>
      <w:pPr>
        <w:pStyle w:val="FirstParagraph"/>
      </w:pPr>
      <w:r>
        <w:t xml:space="preserve">Finalmente, se detalla el</w:t>
      </w:r>
      <w:r>
        <w:t xml:space="preserve"> </w:t>
      </w:r>
      <w:r>
        <w:rPr>
          <w:b/>
          <w:bCs/>
        </w:rPr>
        <w:t xml:space="preserve">Plan de Ejecución</w:t>
      </w:r>
      <w:r>
        <w:t xml:space="preserve"> </w:t>
      </w:r>
      <w:r>
        <w:t xml:space="preserve">de PachaNova, que describe cómo pasaremos de la fase actual (planificación y estructuración) a la realización del proyecto a lo largo de los próximos años. Incluye los</w:t>
      </w:r>
      <w:r>
        <w:t xml:space="preserve"> </w:t>
      </w:r>
      <w:r>
        <w:rPr>
          <w:b/>
          <w:bCs/>
        </w:rPr>
        <w:t xml:space="preserve">hitos clave</w:t>
      </w:r>
      <w:r>
        <w:t xml:space="preserve"> </w:t>
      </w:r>
      <w:r>
        <w:t xml:space="preserve">anuales, las</w:t>
      </w:r>
      <w:r>
        <w:t xml:space="preserve"> </w:t>
      </w:r>
      <w:r>
        <w:rPr>
          <w:b/>
          <w:bCs/>
        </w:rPr>
        <w:t xml:space="preserve">dependencias y condiciones precedentes</w:t>
      </w:r>
      <w:r>
        <w:t xml:space="preserve"> </w:t>
      </w:r>
      <w:r>
        <w:t xml:space="preserve">para cada fase, y un roadmap visual resumido. El objetivo es demostrar que existe un camino claro y controlado hacia el resultado esperado en 2030, con puntos de control regulares.</w:t>
      </w:r>
    </w:p>
    <w:p>
      <w:pPr>
        <w:pStyle w:val="BodyText"/>
      </w:pPr>
      <w:r>
        <w:rPr>
          <w:b/>
          <w:bCs/>
        </w:rPr>
        <w:t xml:space="preserve">Cronograma 2026–2030 (Hitos principales):</w:t>
      </w:r>
    </w:p>
    <w:p>
      <w:pPr>
        <w:pStyle w:val="Compact"/>
        <w:numPr>
          <w:ilvl w:val="0"/>
          <w:numId w:val="1011"/>
        </w:numPr>
      </w:pPr>
      <w:r>
        <w:rPr>
          <w:b/>
          <w:bCs/>
        </w:rPr>
        <w:t xml:space="preserve">2026 (Año 0 – Lanzamiento):</w:t>
      </w:r>
    </w:p>
    <w:p>
      <w:pPr>
        <w:pStyle w:val="Compact"/>
        <w:numPr>
          <w:ilvl w:val="0"/>
          <w:numId w:val="1011"/>
        </w:numPr>
      </w:pPr>
      <w:r>
        <w:rPr>
          <w:i/>
          <w:iCs/>
        </w:rPr>
        <w:t xml:space="preserve">Q1–Q2:</w:t>
      </w:r>
      <w:r>
        <w:t xml:space="preserve"> </w:t>
      </w:r>
      <w:r>
        <w:rPr>
          <w:b/>
          <w:bCs/>
        </w:rPr>
        <w:t xml:space="preserve">Estructuración legal y tecnológica completa.</w:t>
      </w:r>
      <w:r>
        <w:t xml:space="preserve"> </w:t>
      </w:r>
      <w:r>
        <w:t xml:space="preserve">Obtener la inscripción del terreno a nombre del fideicomiso (CP crítica), constituir formalmente el Fideicomiso PachaNova y firmar contratos con fiduciario. Finalizar desarrollo de plataforma token y someter smart contracts a auditoría técnica independiente. Paralelamente, registro ante UIF-Perú como PSAV y pruebas internas de todo el flujo (simulacros de suscripción). Condición Precedente:</w:t>
      </w:r>
      <w:r>
        <w:t xml:space="preserve"> </w:t>
      </w:r>
      <w:r>
        <w:rPr>
          <w:b/>
          <w:bCs/>
        </w:rPr>
        <w:t xml:space="preserve">Due Diligence de título y catastro</w:t>
      </w:r>
      <w:r>
        <w:t xml:space="preserve"> </w:t>
      </w:r>
      <w:r>
        <w:t xml:space="preserve">culminado con éxito</w:t>
      </w:r>
      <w:hyperlink r:id="rId80">
        <w:r>
          <w:rPr>
            <w:rStyle w:val="Hyperlink"/>
          </w:rPr>
          <w:t xml:space="preserve">[46]</w:t>
        </w:r>
      </w:hyperlink>
      <w:hyperlink r:id="rId81">
        <w:r>
          <w:rPr>
            <w:rStyle w:val="Hyperlink"/>
          </w:rPr>
          <w:t xml:space="preserve">[47]</w:t>
        </w:r>
      </w:hyperlink>
      <w:r>
        <w:t xml:space="preserve">.</w:t>
      </w:r>
      <w:r>
        <w:t xml:space="preserve"> </w:t>
      </w:r>
      <w:r>
        <w:rPr>
          <w:i/>
          <w:iCs/>
        </w:rPr>
        <w:t xml:space="preserve">Salida</w:t>
      </w:r>
      <w:r>
        <w:t xml:space="preserve"> </w:t>
      </w:r>
      <w:r>
        <w:t xml:space="preserve">– Hito:</w:t>
      </w:r>
      <w:r>
        <w:t xml:space="preserve"> </w:t>
      </w:r>
      <w:r>
        <w:rPr>
          <w:i/>
          <w:iCs/>
        </w:rPr>
        <w:t xml:space="preserve">“Ready to Launch”</w:t>
      </w:r>
      <w:r>
        <w:t xml:space="preserve"> </w:t>
      </w:r>
      <w:r>
        <w:t xml:space="preserve">alcanzado, con todos los documentos base listos y pruebas pasadas.</w:t>
      </w:r>
    </w:p>
    <w:p>
      <w:pPr>
        <w:pStyle w:val="Compact"/>
        <w:numPr>
          <w:ilvl w:val="0"/>
          <w:numId w:val="1011"/>
        </w:numPr>
      </w:pPr>
      <w:r>
        <w:rPr>
          <w:i/>
          <w:iCs/>
        </w:rPr>
        <w:t xml:space="preserve">Q3:</w:t>
      </w:r>
      <w:r>
        <w:t xml:space="preserve"> </w:t>
      </w:r>
      <w:r>
        <w:rPr>
          <w:b/>
          <w:bCs/>
        </w:rPr>
        <w:t xml:space="preserve">Preventa 10%.</w:t>
      </w:r>
      <w:r>
        <w:t xml:space="preserve"> </w:t>
      </w:r>
      <w:r>
        <w:t xml:space="preserve">Activar campaña de marketing institucional (presentaciones a inversionistas ángel, family offices y cooperativas). Lanzar oficialmente la preventa de 50,000 tokens a US$8.40/token. Hito: cierre preventa con al menos 75% suscrito (~$315k). Si demanda supera oferta, se prorratea o se puede ampliar ligeramente (aunque se sugirió 10% fijo). Completar ingreso de fondos en fideicomiso.</w:t>
      </w:r>
    </w:p>
    <w:p>
      <w:pPr>
        <w:numPr>
          <w:ilvl w:val="0"/>
          <w:numId w:val="1011"/>
        </w:numPr>
      </w:pPr>
      <w:r>
        <w:rPr>
          <w:i/>
          <w:iCs/>
        </w:rPr>
        <w:t xml:space="preserve">Q4:</w:t>
      </w:r>
      <w:r>
        <w:t xml:space="preserve"> </w:t>
      </w:r>
      <w:r>
        <w:rPr>
          <w:b/>
          <w:bCs/>
        </w:rPr>
        <w:t xml:space="preserve">Implementación IMV (uso de fondos pre-venta).</w:t>
      </w:r>
      <w:r>
        <w:t xml:space="preserve"> </w:t>
      </w:r>
      <w:r>
        <w:t xml:space="preserve">Iniciar los trabajos financiados con la preventa: contratación tasador para Avalúo 1 (valor lanzamiento), contratación oficial de cumplimiento y proveedor KYC, set-up de custodia de tokens (emisión efectiva de los 50k tokens de preventa a inversores aprobados). También primera</w:t>
      </w:r>
      <w:r>
        <w:t xml:space="preserve"> </w:t>
      </w:r>
      <w:r>
        <w:rPr>
          <w:b/>
          <w:bCs/>
        </w:rPr>
        <w:t xml:space="preserve">Auditoría 1</w:t>
      </w:r>
      <w:r>
        <w:t xml:space="preserve"> </w:t>
      </w:r>
      <w:r>
        <w:t xml:space="preserve">al cierre de 2026: consiste en verificar valuación inicial y chequeo de cumplimiento de lanzamiento. Hitos:</w:t>
      </w:r>
      <w:r>
        <w:t xml:space="preserve"> </w:t>
      </w:r>
      <w:r>
        <w:rPr>
          <w:b/>
          <w:bCs/>
        </w:rPr>
        <w:t xml:space="preserve">Auditoría 1 completada</w:t>
      </w:r>
      <w:r>
        <w:t xml:space="preserve"> </w:t>
      </w:r>
      <w:r>
        <w:t xml:space="preserve">(informe de valuación de terreno = $120/m² validado + informe cumplimiento OK)</w:t>
      </w:r>
      <w:hyperlink r:id="rId82">
        <w:r>
          <w:rPr>
            <w:rStyle w:val="Hyperlink"/>
          </w:rPr>
          <w:t xml:space="preserve">[48]</w:t>
        </w:r>
      </w:hyperlink>
      <w:r>
        <w:t xml:space="preserve">;</w:t>
      </w:r>
      <w:r>
        <w:t xml:space="preserve"> </w:t>
      </w:r>
      <w:r>
        <w:rPr>
          <w:b/>
          <w:bCs/>
        </w:rPr>
        <w:t xml:space="preserve">Plataforma en producción</w:t>
      </w:r>
      <w:r>
        <w:t xml:space="preserve"> </w:t>
      </w:r>
      <w:r>
        <w:t xml:space="preserve">con tokens de preventa emitidos.</w:t>
      </w:r>
    </w:p>
    <w:p>
      <w:pPr>
        <w:numPr>
          <w:ilvl w:val="0"/>
          <w:numId w:val="1011"/>
        </w:numPr>
      </w:pPr>
      <w:r>
        <w:rPr>
          <w:b/>
          <w:bCs/>
        </w:rPr>
        <w:t xml:space="preserve">2027 (Año 1):</w:t>
      </w:r>
    </w:p>
    <w:p>
      <w:pPr>
        <w:pStyle w:val="Compact"/>
        <w:numPr>
          <w:ilvl w:val="0"/>
          <w:numId w:val="1011"/>
        </w:numPr>
      </w:pPr>
      <w:r>
        <w:rPr>
          <w:i/>
          <w:iCs/>
        </w:rPr>
        <w:t xml:space="preserve">Q1–Q2:</w:t>
      </w:r>
      <w:r>
        <w:t xml:space="preserve"> </w:t>
      </w:r>
      <w:r>
        <w:rPr>
          <w:b/>
          <w:bCs/>
        </w:rPr>
        <w:t xml:space="preserve">Venta primaria Año 1.</w:t>
      </w:r>
      <w:r>
        <w:t xml:space="preserve"> </w:t>
      </w:r>
      <w:r>
        <w:t xml:space="preserve">Con base en la valuación actual ($120), ofrecer siguiente tramo de 90k tokens a US$12/token. Se ajusta si la auditoría dijo otro valor. Hito: Colocación Año1 completada (target $1.08MM). Dependencia: haber liberado todos tokens del fideicomiso (programa de emisión). Se monitorea mercado – si lento, se extiende período de venta hasta Q3.</w:t>
      </w:r>
    </w:p>
    <w:p>
      <w:pPr>
        <w:pStyle w:val="Compact"/>
        <w:numPr>
          <w:ilvl w:val="0"/>
          <w:numId w:val="1011"/>
        </w:numPr>
      </w:pPr>
      <w:r>
        <w:rPr>
          <w:i/>
          <w:iCs/>
        </w:rPr>
        <w:t xml:space="preserve">Q3:</w:t>
      </w:r>
      <w:r>
        <w:t xml:space="preserve"> </w:t>
      </w:r>
      <w:r>
        <w:rPr>
          <w:b/>
          <w:bCs/>
        </w:rPr>
        <w:t xml:space="preserve">Auditoría 2 (valuación + avance público).</w:t>
      </w:r>
      <w:r>
        <w:t xml:space="preserve"> </w:t>
      </w:r>
      <w:r>
        <w:t xml:space="preserve">Para cierre del año 1 se realiza la segunda tasación, incorporando señales de avances públicos: ¿se licitó el tren? ¿avances en PDU? etc. También auditoría de cumplimiento anual y estados financieros 2026-27. Hito:</w:t>
      </w:r>
      <w:r>
        <w:t xml:space="preserve"> </w:t>
      </w:r>
      <w:r>
        <w:rPr>
          <w:b/>
          <w:bCs/>
        </w:rPr>
        <w:t xml:space="preserve">Auditoría 2</w:t>
      </w:r>
      <w:r>
        <w:t xml:space="preserve"> </w:t>
      </w:r>
      <w:r>
        <w:t xml:space="preserve">lista con nuevo valor (ej. suponer 8% up → $129.6)</w:t>
      </w:r>
      <w:hyperlink r:id="rId83">
        <w:r>
          <w:rPr>
            <w:rStyle w:val="Hyperlink"/>
          </w:rPr>
          <w:t xml:space="preserve">[49]</w:t>
        </w:r>
      </w:hyperlink>
      <w:r>
        <w:t xml:space="preserve">.</w:t>
      </w:r>
    </w:p>
    <w:p>
      <w:pPr>
        <w:numPr>
          <w:ilvl w:val="0"/>
          <w:numId w:val="1011"/>
        </w:numPr>
      </w:pPr>
      <w:r>
        <w:rPr>
          <w:i/>
          <w:iCs/>
        </w:rPr>
        <w:t xml:space="preserve">Q4:</w:t>
      </w:r>
      <w:r>
        <w:t xml:space="preserve"> </w:t>
      </w:r>
      <w:r>
        <w:rPr>
          <w:b/>
          <w:bCs/>
        </w:rPr>
        <w:t xml:space="preserve">Ajuste de precio &amp; planificación Año2.</w:t>
      </w:r>
      <w:r>
        <w:t xml:space="preserve"> </w:t>
      </w:r>
      <w:r>
        <w:t xml:space="preserve">Con la nueva valuación ($129.6), se preparan materiales para venta de Año2. Se convoca Comité Inversionistas para actualizarles (reportes semestrales). Se checkea estado de CPs pendientes: idealmente a estas alturas ya esté confirmada la inscripción registral del terreno sin cargas (si no lo estaba antes). Se revisan también</w:t>
      </w:r>
      <w:r>
        <w:t xml:space="preserve"> </w:t>
      </w:r>
      <w:r>
        <w:rPr>
          <w:b/>
          <w:bCs/>
        </w:rPr>
        <w:t xml:space="preserve">condiciones macro</w:t>
      </w:r>
      <w:r>
        <w:t xml:space="preserve">: por ejemplo, elección presidencial 2026 Perú (riesgo político) – se evaluará su impacto en plan.</w:t>
      </w:r>
    </w:p>
    <w:p>
      <w:pPr>
        <w:numPr>
          <w:ilvl w:val="0"/>
          <w:numId w:val="1011"/>
        </w:numPr>
      </w:pPr>
      <w:r>
        <w:rPr>
          <w:b/>
          <w:bCs/>
        </w:rPr>
        <w:t xml:space="preserve">2028 (Año 2):</w:t>
      </w:r>
    </w:p>
    <w:p>
      <w:pPr>
        <w:pStyle w:val="Compact"/>
        <w:numPr>
          <w:ilvl w:val="0"/>
          <w:numId w:val="1011"/>
        </w:numPr>
      </w:pPr>
      <w:r>
        <w:rPr>
          <w:i/>
          <w:iCs/>
        </w:rPr>
        <w:t xml:space="preserve">Q1–Q2:</w:t>
      </w:r>
      <w:r>
        <w:t xml:space="preserve"> </w:t>
      </w:r>
      <w:r>
        <w:rPr>
          <w:b/>
          <w:bCs/>
        </w:rPr>
        <w:t xml:space="preserve">Venta primaria Año 2.</w:t>
      </w:r>
      <w:r>
        <w:t xml:space="preserve"> </w:t>
      </w:r>
      <w:r>
        <w:t xml:space="preserve">Emitir ~90k tokens a precio ajustado (~$12.96/token base). Se espera incorporar más inversionistas minoristas ahora que proyecto tiene 1 año en marcha y evidencia de valuación al alza. Hito: colocación año2 completada (~$1.17MM).</w:t>
      </w:r>
    </w:p>
    <w:p>
      <w:pPr>
        <w:pStyle w:val="Compact"/>
        <w:numPr>
          <w:ilvl w:val="0"/>
          <w:numId w:val="1011"/>
        </w:numPr>
      </w:pPr>
      <w:r>
        <w:rPr>
          <w:i/>
          <w:iCs/>
        </w:rPr>
        <w:t xml:space="preserve">Q3:</w:t>
      </w:r>
      <w:r>
        <w:t xml:space="preserve"> </w:t>
      </w:r>
      <w:r>
        <w:rPr>
          <w:b/>
          <w:bCs/>
        </w:rPr>
        <w:t xml:space="preserve">Auditoría 3 + price update.</w:t>
      </w:r>
      <w:r>
        <w:t xml:space="preserve"> </w:t>
      </w:r>
      <w:r>
        <w:t xml:space="preserve">Tercera tasación con catalizadores: para 2028, se espera que el proyecto Tren Lima-Ica haya iniciado obras (cronograma optimista del gobierno habla de inicio en 2026</w:t>
      </w:r>
      <w:hyperlink r:id="rId44">
        <w:r>
          <w:rPr>
            <w:rStyle w:val="Hyperlink"/>
          </w:rPr>
          <w:t xml:space="preserve">[21]</w:t>
        </w:r>
      </w:hyperlink>
      <w:r>
        <w:t xml:space="preserve">, podría estar en movimiento a 2028). Si es así, la valuación quizás subirá más (escenario base +12%). Sino, se mantiene prudente. Auditoría de riesgos/compliance igualmente anual. Hito:</w:t>
      </w:r>
      <w:r>
        <w:t xml:space="preserve"> </w:t>
      </w:r>
      <w:r>
        <w:rPr>
          <w:b/>
          <w:bCs/>
        </w:rPr>
        <w:t xml:space="preserve">Auditoría 3</w:t>
      </w:r>
      <w:r>
        <w:t xml:space="preserve"> </w:t>
      </w:r>
      <w:r>
        <w:t xml:space="preserve">(valor ~ $142.56 base) completada</w:t>
      </w:r>
      <w:hyperlink r:id="rId84">
        <w:r>
          <w:rPr>
            <w:rStyle w:val="Hyperlink"/>
          </w:rPr>
          <w:t xml:space="preserve">[50]</w:t>
        </w:r>
      </w:hyperlink>
      <w:r>
        <w:t xml:space="preserve">.</w:t>
      </w:r>
    </w:p>
    <w:p>
      <w:pPr>
        <w:numPr>
          <w:ilvl w:val="0"/>
          <w:numId w:val="1011"/>
        </w:numPr>
      </w:pPr>
      <w:r>
        <w:rPr>
          <w:i/>
          <w:iCs/>
        </w:rPr>
        <w:t xml:space="preserve">Q4:</w:t>
      </w:r>
      <w:r>
        <w:t xml:space="preserve"> </w:t>
      </w:r>
      <w:r>
        <w:rPr>
          <w:b/>
          <w:bCs/>
        </w:rPr>
        <w:t xml:space="preserve">Ajuste de precio &amp; ajustes estratégicos.</w:t>
      </w:r>
      <w:r>
        <w:t xml:space="preserve"> </w:t>
      </w:r>
      <w:r>
        <w:t xml:space="preserve">Con 3 años de track, re-evaluar estrategia de emisión para años restantes. Si la demanda ha ido holgada, podríamos incluso plantear emitir más del plan (aunque no creo, se respeta 100%). Si ha ido lenta, tal vez bajar meta para año3-4 y prever más venta final. También es punto medio de obra del tren (ideal evaluar su % de avance real y recalibrar escaladores a futuro).</w:t>
      </w:r>
    </w:p>
    <w:p>
      <w:pPr>
        <w:numPr>
          <w:ilvl w:val="0"/>
          <w:numId w:val="1011"/>
        </w:numPr>
      </w:pPr>
      <w:r>
        <w:rPr>
          <w:b/>
          <w:bCs/>
        </w:rPr>
        <w:t xml:space="preserve">2029 (Año 3):</w:t>
      </w:r>
    </w:p>
    <w:p>
      <w:pPr>
        <w:pStyle w:val="Compact"/>
        <w:numPr>
          <w:ilvl w:val="0"/>
          <w:numId w:val="1011"/>
        </w:numPr>
      </w:pPr>
      <w:r>
        <w:rPr>
          <w:i/>
          <w:iCs/>
        </w:rPr>
        <w:t xml:space="preserve">H1:</w:t>
      </w:r>
      <w:r>
        <w:t xml:space="preserve"> </w:t>
      </w:r>
      <w:r>
        <w:rPr>
          <w:b/>
          <w:bCs/>
        </w:rPr>
        <w:t xml:space="preserve">Venta primaria Año 3.</w:t>
      </w:r>
      <w:r>
        <w:t xml:space="preserve"> </w:t>
      </w:r>
      <w:r>
        <w:t xml:space="preserve">Emisión de la cuarta tanda ~90k tokens a precio ajustado (posible $14.26/token). Este año, si todo va bien, estaríamos llegando a ~80% del total colocado. Sino, se intensificaría marketing (quizá buscar alianza con banco para ofrecer tokens a sus clientes top, etc.). Hito: colocación año3 completada (~$1.283MM).</w:t>
      </w:r>
    </w:p>
    <w:p>
      <w:pPr>
        <w:pStyle w:val="Compact"/>
        <w:numPr>
          <w:ilvl w:val="0"/>
          <w:numId w:val="1011"/>
        </w:numPr>
      </w:pPr>
      <w:r>
        <w:rPr>
          <w:i/>
          <w:iCs/>
        </w:rPr>
        <w:t xml:space="preserve">H2:</w:t>
      </w:r>
      <w:r>
        <w:t xml:space="preserve"> </w:t>
      </w:r>
      <w:r>
        <w:rPr>
          <w:b/>
          <w:bCs/>
        </w:rPr>
        <w:t xml:space="preserve">Auditoría 4 + ajuste.</w:t>
      </w:r>
      <w:r>
        <w:t xml:space="preserve"> </w:t>
      </w:r>
      <w:r>
        <w:t xml:space="preserve">Cuarta tasación anual. Para fines de 2029 se espera claridades fuertes: o el tren avanza cumpliendo cronograma (debería estar con &gt;50% de obras según plan oficial) o hay demoras evidentes. Igual con PDU: algunos proyectos clave quizás ya en construcción (ej. Mercado mayorista del sur). Esta auditoría será clave para valorar el activo antes del año final. Hito:</w:t>
      </w:r>
      <w:r>
        <w:t xml:space="preserve"> </w:t>
      </w:r>
      <w:r>
        <w:rPr>
          <w:b/>
          <w:bCs/>
        </w:rPr>
        <w:t xml:space="preserve">Auditoría 4</w:t>
      </w:r>
      <w:r>
        <w:t xml:space="preserve"> </w:t>
      </w:r>
      <w:r>
        <w:t xml:space="preserve">completada, se emite informe y valor (escenario base ~ $159.67)</w:t>
      </w:r>
      <w:hyperlink r:id="rId84">
        <w:r>
          <w:rPr>
            <w:rStyle w:val="Hyperlink"/>
          </w:rPr>
          <w:t xml:space="preserve">[50]</w:t>
        </w:r>
      </w:hyperlink>
      <w:r>
        <w:t xml:space="preserve">. Además, se inicia</w:t>
      </w:r>
      <w:r>
        <w:t xml:space="preserve"> </w:t>
      </w:r>
      <w:r>
        <w:rPr>
          <w:b/>
          <w:bCs/>
        </w:rPr>
        <w:t xml:space="preserve">Preparación de estrategia de salida</w:t>
      </w:r>
      <w:r>
        <w:t xml:space="preserve">: comenzar a alistar la venta final. Aquí se decide si se hará venta mediante broker local, subasta, o contacto directo con potenciales compradores (ej. fondos inmobiliarios, desarrolladoras). Se puede incluso ya recopilar un listado de interesados para invitar a presentar ofertas no vinculantes.</w:t>
      </w:r>
    </w:p>
    <w:p>
      <w:pPr>
        <w:numPr>
          <w:ilvl w:val="0"/>
          <w:numId w:val="1011"/>
        </w:numPr>
      </w:pPr>
      <w:r>
        <w:rPr>
          <w:i/>
          <w:iCs/>
        </w:rPr>
        <w:t xml:space="preserve">Q4:</w:t>
      </w:r>
      <w:r>
        <w:t xml:space="preserve"> </w:t>
      </w:r>
      <w:r>
        <w:rPr>
          <w:b/>
          <w:bCs/>
        </w:rPr>
        <w:t xml:space="preserve">Plan de liquidación/redención.</w:t>
      </w:r>
      <w:r>
        <w:t xml:space="preserve"> </w:t>
      </w:r>
      <w:r>
        <w:t xml:space="preserve">Se diseña el procedimiento exacto para la venta 2030: tiempos, requisitos (p.ej. se puede exigir a inversionistas KYC actualizado para pagarles, etc.). También se verifica todo lo legal: el fideicomiso en orden para vender (necesitará la aprobación formal del fideicomitente o beneficiarios, se programa). Documentar este plan con timeline.</w:t>
      </w:r>
    </w:p>
    <w:p>
      <w:pPr>
        <w:numPr>
          <w:ilvl w:val="0"/>
          <w:numId w:val="1011"/>
        </w:numPr>
      </w:pPr>
      <w:r>
        <w:rPr>
          <w:b/>
          <w:bCs/>
        </w:rPr>
        <w:t xml:space="preserve">2030 (Año 4 – Culminación):</w:t>
      </w:r>
    </w:p>
    <w:p>
      <w:pPr>
        <w:pStyle w:val="Compact"/>
        <w:numPr>
          <w:ilvl w:val="0"/>
          <w:numId w:val="1011"/>
        </w:numPr>
      </w:pPr>
      <w:r>
        <w:rPr>
          <w:i/>
          <w:iCs/>
        </w:rPr>
        <w:t xml:space="preserve">H1:</w:t>
      </w:r>
      <w:r>
        <w:t xml:space="preserve"> </w:t>
      </w:r>
      <w:r>
        <w:rPr>
          <w:b/>
          <w:bCs/>
        </w:rPr>
        <w:t xml:space="preserve">Venta primaria Año 4 (posible final).</w:t>
      </w:r>
      <w:r>
        <w:t xml:space="preserve"> </w:t>
      </w:r>
      <w:r>
        <w:t xml:space="preserve">De ser necesario, se ejecuta la emisión final de tokens (~90k a ~$15.97 token)</w:t>
      </w:r>
      <w:hyperlink r:id="rId85">
        <w:r>
          <w:rPr>
            <w:rStyle w:val="Hyperlink"/>
          </w:rPr>
          <w:t xml:space="preserve">[51]</w:t>
        </w:r>
      </w:hyperlink>
      <w:r>
        <w:t xml:space="preserve">, completando el 100% del supply. En escenario base se haría para maximizar recaudación, pero si hubiese suficiente caja, se podría decidir no emitir todo para retener mayor porción en venta final (beneficiando a los tenedores existentes). Esta decisión la tomará el Comité de Inversionistas conforme a la situación. Hito: tokens emitidos total = 500k.</w:t>
      </w:r>
    </w:p>
    <w:p>
      <w:pPr>
        <w:pStyle w:val="Compact"/>
        <w:numPr>
          <w:ilvl w:val="0"/>
          <w:numId w:val="1011"/>
        </w:numPr>
      </w:pPr>
      <w:r>
        <w:rPr>
          <w:i/>
          <w:iCs/>
        </w:rPr>
        <w:t xml:space="preserve">H2:</w:t>
      </w:r>
      <w:r>
        <w:t xml:space="preserve"> </w:t>
      </w:r>
      <w:r>
        <w:rPr>
          <w:b/>
          <w:bCs/>
        </w:rPr>
        <w:t xml:space="preserve">Auditoría 5 (final) y venta del activo.</w:t>
      </w:r>
      <w:r>
        <w:t xml:space="preserve"> </w:t>
      </w:r>
      <w:r>
        <w:t xml:space="preserve">Se realiza la última tasación (valuación al momento de venta). Si se sigue plan, el terreno se pone en venta formalmente a través de broker en Q3. Se reciben ofertas, se negocia y se cierra la transacción en Q4.</w:t>
      </w:r>
      <w:r>
        <w:t xml:space="preserve"> </w:t>
      </w:r>
      <w:r>
        <w:rPr>
          <w:i/>
          <w:iCs/>
        </w:rPr>
        <w:t xml:space="preserve">Hito mayor:</w:t>
      </w:r>
      <w:r>
        <w:t xml:space="preserve"> </w:t>
      </w:r>
      <w:r>
        <w:rPr>
          <w:b/>
          <w:bCs/>
        </w:rPr>
        <w:t xml:space="preserve">Venta del terreno concretada</w:t>
      </w:r>
      <w:r>
        <w:t xml:space="preserve"> </w:t>
      </w:r>
      <w:r>
        <w:t xml:space="preserve">– se firma minuta de compraventa, entran fondos al fideicomiso</w:t>
      </w:r>
      <w:hyperlink r:id="rId85">
        <w:r>
          <w:rPr>
            <w:rStyle w:val="Hyperlink"/>
          </w:rPr>
          <w:t xml:space="preserve">[51]</w:t>
        </w:r>
      </w:hyperlink>
      <w:hyperlink r:id="rId86">
        <w:r>
          <w:rPr>
            <w:rStyle w:val="Hyperlink"/>
          </w:rPr>
          <w:t xml:space="preserve">[52]</w:t>
        </w:r>
      </w:hyperlink>
      <w:r>
        <w:t xml:space="preserve">. Inmediatamente, se procede a la</w:t>
      </w:r>
      <w:r>
        <w:t xml:space="preserve"> </w:t>
      </w:r>
      <w:r>
        <w:rPr>
          <w:b/>
          <w:bCs/>
        </w:rPr>
        <w:t xml:space="preserve">liquidación/redención</w:t>
      </w:r>
      <w:r>
        <w:t xml:space="preserve">: es decir, se calcula el neto final, se auditan deducciones (impuestos, etc.), y se transfiere a cada inversionista su parte proporcional, dando por finalizado el proyecto. Hito final:</w:t>
      </w:r>
      <w:r>
        <w:t xml:space="preserve"> </w:t>
      </w:r>
      <w:r>
        <w:rPr>
          <w:b/>
          <w:bCs/>
        </w:rPr>
        <w:t xml:space="preserve">Distribución completa a tokenistas realizada, fideicomiso cerrado</w:t>
      </w:r>
      <w:r>
        <w:t xml:space="preserve">.</w:t>
      </w:r>
    </w:p>
    <w:p>
      <w:pPr>
        <w:pStyle w:val="FirstParagraph"/>
      </w:pPr>
      <w:r>
        <w:rPr>
          <w:i/>
          <w:iCs/>
        </w:rPr>
        <w:t xml:space="preserve">(El cronograma precedente se puede visualizar en un diagrama de Gantt o similar; en la versión entregada se incluirá un diagrama simplificado para ilustración.)</w:t>
      </w:r>
    </w:p>
    <w:p>
      <w:pPr>
        <w:pStyle w:val="BodyText"/>
      </w:pPr>
      <w:r>
        <w:t xml:space="preserve">El</w:t>
      </w:r>
      <w:r>
        <w:t xml:space="preserve"> </w:t>
      </w:r>
      <w:r>
        <w:rPr>
          <w:b/>
          <w:bCs/>
        </w:rPr>
        <w:t xml:space="preserve">roadmap</w:t>
      </w:r>
      <w:r>
        <w:t xml:space="preserve"> </w:t>
      </w:r>
      <w:r>
        <w:t xml:space="preserve">puede resumirse gráficamente en:</w:t>
      </w:r>
      <w:r>
        <w:t xml:space="preserve"> </w:t>
      </w:r>
      <w:r>
        <w:t xml:space="preserve">-</w:t>
      </w:r>
      <w:r>
        <w:t xml:space="preserve"> </w:t>
      </w:r>
      <w:r>
        <w:rPr>
          <w:b/>
          <w:bCs/>
        </w:rPr>
        <w:t xml:space="preserve">2026:</w:t>
      </w:r>
      <w:r>
        <w:t xml:space="preserve"> </w:t>
      </w:r>
      <w:r>
        <w:t xml:space="preserve">Estructuración → Preventa → Auditoría1.</w:t>
      </w:r>
      <w:r>
        <w:t xml:space="preserve"> </w:t>
      </w:r>
      <w:r>
        <w:t xml:space="preserve">-</w:t>
      </w:r>
      <w:r>
        <w:t xml:space="preserve"> </w:t>
      </w:r>
      <w:r>
        <w:rPr>
          <w:b/>
          <w:bCs/>
        </w:rPr>
        <w:t xml:space="preserve">2027:</w:t>
      </w:r>
      <w:r>
        <w:t xml:space="preserve"> </w:t>
      </w:r>
      <w:r>
        <w:t xml:space="preserve">Venta Año1 → Auditoría2 (Tren: inicio?).</w:t>
      </w:r>
      <w:r>
        <w:t xml:space="preserve"> </w:t>
      </w:r>
      <w:r>
        <w:t xml:space="preserve">-</w:t>
      </w:r>
      <w:r>
        <w:t xml:space="preserve"> </w:t>
      </w:r>
      <w:r>
        <w:rPr>
          <w:b/>
          <w:bCs/>
        </w:rPr>
        <w:t xml:space="preserve">2028:</w:t>
      </w:r>
      <w:r>
        <w:t xml:space="preserve"> </w:t>
      </w:r>
      <w:r>
        <w:t xml:space="preserve">Venta Año2 → Auditoría3 (Tren avanzando, PDU ejecuciones).</w:t>
      </w:r>
      <w:r>
        <w:t xml:space="preserve"> </w:t>
      </w:r>
      <w:r>
        <w:t xml:space="preserve">-</w:t>
      </w:r>
      <w:r>
        <w:t xml:space="preserve"> </w:t>
      </w:r>
      <w:r>
        <w:rPr>
          <w:b/>
          <w:bCs/>
        </w:rPr>
        <w:t xml:space="preserve">2029:</w:t>
      </w:r>
      <w:r>
        <w:t xml:space="preserve"> </w:t>
      </w:r>
      <w:r>
        <w:t xml:space="preserve">Venta Año3 → Auditoría4 (Prepara venta final).</w:t>
      </w:r>
      <w:r>
        <w:t xml:space="preserve"> </w:t>
      </w:r>
      <w:r>
        <w:t xml:space="preserve">-</w:t>
      </w:r>
      <w:r>
        <w:t xml:space="preserve"> </w:t>
      </w:r>
      <w:r>
        <w:rPr>
          <w:b/>
          <w:bCs/>
        </w:rPr>
        <w:t xml:space="preserve">2030:</w:t>
      </w:r>
      <w:r>
        <w:t xml:space="preserve"> </w:t>
      </w:r>
      <w:r>
        <w:t xml:space="preserve">Venta Año4 + Venta terreno → Auditoría5 → Liquidación final.</w:t>
      </w:r>
    </w:p>
    <w:p>
      <w:pPr>
        <w:pStyle w:val="BodyText"/>
      </w:pPr>
      <w:hyperlink r:id="rId87">
        <w:r>
          <w:rPr>
            <w:rStyle w:val="Hyperlink"/>
          </w:rPr>
          <w:t xml:space="preserve">[53]</w:t>
        </w:r>
      </w:hyperlink>
      <w:hyperlink r:id="rId88">
        <w:r>
          <w:rPr>
            <w:rStyle w:val="Hyperlink"/>
          </w:rPr>
          <w:t xml:space="preserve">[54]</w:t>
        </w:r>
      </w:hyperlink>
      <w:r>
        <w:t xml:space="preserve"> </w:t>
      </w:r>
      <w:r>
        <w:t xml:space="preserve">muestra esta secuencia con los hitos anuales planeados.</w:t>
      </w:r>
    </w:p>
    <w:p>
      <w:pPr>
        <w:pStyle w:val="BodyText"/>
      </w:pPr>
      <w:r>
        <w:rPr>
          <w:b/>
          <w:bCs/>
        </w:rPr>
        <w:t xml:space="preserve">Condiciones Precedentes (CPs) &amp; dependencias críticas:</w:t>
      </w:r>
      <w:r>
        <w:t xml:space="preserve"> </w:t>
      </w:r>
      <w:r>
        <w:t xml:space="preserve">PachaNova no avanzará a ciertas etapas sin haber cumplido antes ciertas condiciones fundamentales. Las CPs identificadas y su relación con el plan:</w:t>
      </w:r>
      <w:r>
        <w:t xml:space="preserve"> </w:t>
      </w:r>
      <w:r>
        <w:t xml:space="preserve">-</w:t>
      </w:r>
      <w:r>
        <w:t xml:space="preserve"> </w:t>
      </w:r>
      <w:r>
        <w:rPr>
          <w:b/>
          <w:bCs/>
        </w:rPr>
        <w:t xml:space="preserve">CP1: Saneamiento legal del terreno (Título claro, sin gravámenes).</w:t>
      </w:r>
      <w:r>
        <w:t xml:space="preserve"> </w:t>
      </w:r>
      <w:r>
        <w:rPr>
          <w:i/>
          <w:iCs/>
        </w:rPr>
        <w:t xml:space="preserve">Deadline:</w:t>
      </w:r>
      <w:r>
        <w:t xml:space="preserve"> </w:t>
      </w:r>
      <w:r>
        <w:t xml:space="preserve">Antes del lanzamiento oficial de venta pública (ideal Q2 2026).</w:t>
      </w:r>
      <w:r>
        <w:t xml:space="preserve"> </w:t>
      </w:r>
      <w:r>
        <w:rPr>
          <w:i/>
          <w:iCs/>
        </w:rPr>
        <w:t xml:space="preserve">Impacto:</w:t>
      </w:r>
      <w:r>
        <w:t xml:space="preserve"> </w:t>
      </w:r>
      <w:r>
        <w:t xml:space="preserve">Sin esto, no se lanza, pues es riesgo bloqueante</w:t>
      </w:r>
      <w:hyperlink r:id="rId80">
        <w:r>
          <w:rPr>
            <w:rStyle w:val="Hyperlink"/>
          </w:rPr>
          <w:t xml:space="preserve">[46]</w:t>
        </w:r>
      </w:hyperlink>
      <w:hyperlink r:id="rId81">
        <w:r>
          <w:rPr>
            <w:rStyle w:val="Hyperlink"/>
          </w:rPr>
          <w:t xml:space="preserve">[47]</w:t>
        </w:r>
      </w:hyperlink>
      <w:r>
        <w:t xml:space="preserve">.</w:t>
      </w:r>
      <w:r>
        <w:t xml:space="preserve"> </w:t>
      </w:r>
      <w:r>
        <w:t xml:space="preserve">-</w:t>
      </w:r>
      <w:r>
        <w:t xml:space="preserve"> </w:t>
      </w:r>
      <w:r>
        <w:rPr>
          <w:b/>
          <w:bCs/>
        </w:rPr>
        <w:t xml:space="preserve">CP2: Estructura legal constituida (Fideicomiso firmado).</w:t>
      </w:r>
      <w:r>
        <w:t xml:space="preserve"> </w:t>
      </w:r>
      <w:r>
        <w:rPr>
          <w:i/>
          <w:iCs/>
        </w:rPr>
        <w:t xml:space="preserve">Deadline:</w:t>
      </w:r>
      <w:r>
        <w:t xml:space="preserve"> </w:t>
      </w:r>
      <w:r>
        <w:t xml:space="preserve">Q2 2026.</w:t>
      </w:r>
      <w:r>
        <w:t xml:space="preserve"> </w:t>
      </w:r>
      <w:r>
        <w:rPr>
          <w:i/>
          <w:iCs/>
        </w:rPr>
        <w:t xml:space="preserve">Impacto:</w:t>
      </w:r>
      <w:r>
        <w:t xml:space="preserve"> </w:t>
      </w:r>
      <w:r>
        <w:t xml:space="preserve">Sin fideicomiso no se puede recibir fondos de terceros formalmente.</w:t>
      </w:r>
      <w:r>
        <w:t xml:space="preserve"> </w:t>
      </w:r>
      <w:r>
        <w:t xml:space="preserve">-</w:t>
      </w:r>
      <w:r>
        <w:t xml:space="preserve"> </w:t>
      </w:r>
      <w:r>
        <w:rPr>
          <w:b/>
          <w:bCs/>
        </w:rPr>
        <w:t xml:space="preserve">CP3: Registro ante UIF como PSAV &amp; Manual PLAFT implementado.</w:t>
      </w:r>
      <w:r>
        <w:t xml:space="preserve"> </w:t>
      </w:r>
      <w:r>
        <w:rPr>
          <w:i/>
          <w:iCs/>
        </w:rPr>
        <w:t xml:space="preserve">Deadline:</w:t>
      </w:r>
      <w:r>
        <w:t xml:space="preserve"> </w:t>
      </w:r>
      <w:r>
        <w:t xml:space="preserve">Q2 2026 (ya en preventa debemos tenerlo).</w:t>
      </w:r>
      <w:r>
        <w:t xml:space="preserve"> </w:t>
      </w:r>
      <w:r>
        <w:rPr>
          <w:i/>
          <w:iCs/>
        </w:rPr>
        <w:t xml:space="preserve">Impacto:</w:t>
      </w:r>
      <w:r>
        <w:t xml:space="preserve"> </w:t>
      </w:r>
      <w:r>
        <w:t xml:space="preserve">Legalmente obligatorio; además, los bancos no procesarán fondos si no mostramos cumplimiento.</w:t>
      </w:r>
      <w:r>
        <w:t xml:space="preserve"> </w:t>
      </w:r>
      <w:r>
        <w:t xml:space="preserve">-</w:t>
      </w:r>
      <w:r>
        <w:t xml:space="preserve"> </w:t>
      </w:r>
      <w:r>
        <w:rPr>
          <w:b/>
          <w:bCs/>
        </w:rPr>
        <w:t xml:space="preserve">CP4: Auditoría técnica de contratos con sello “aprobado”.</w:t>
      </w:r>
      <w:r>
        <w:t xml:space="preserve"> </w:t>
      </w:r>
      <w:r>
        <w:rPr>
          <w:i/>
          <w:iCs/>
        </w:rPr>
        <w:t xml:space="preserve">Deadline:</w:t>
      </w:r>
      <w:r>
        <w:t xml:space="preserve"> </w:t>
      </w:r>
      <w:r>
        <w:t xml:space="preserve">justo antes de emisión de tokens (Q3 2026).</w:t>
      </w:r>
      <w:r>
        <w:t xml:space="preserve"> </w:t>
      </w:r>
      <w:r>
        <w:rPr>
          <w:i/>
          <w:iCs/>
        </w:rPr>
        <w:t xml:space="preserve">Impacto:</w:t>
      </w:r>
      <w:r>
        <w:t xml:space="preserve"> </w:t>
      </w:r>
      <w:r>
        <w:t xml:space="preserve">Si hubiese fallos severos en smart contract, se pausa hasta corregir.</w:t>
      </w:r>
      <w:r>
        <w:t xml:space="preserve"> </w:t>
      </w:r>
      <w:r>
        <w:t xml:space="preserve">-</w:t>
      </w:r>
      <w:r>
        <w:t xml:space="preserve"> </w:t>
      </w:r>
      <w:r>
        <w:rPr>
          <w:b/>
          <w:bCs/>
        </w:rPr>
        <w:t xml:space="preserve">CP5: Contratos con proveedores críticos firmados.</w:t>
      </w:r>
      <w:r>
        <w:t xml:space="preserve"> </w:t>
      </w:r>
      <w:r>
        <w:t xml:space="preserve">(Fiduciario, Custodio, etc.)</w:t>
      </w:r>
      <w:r>
        <w:t xml:space="preserve"> </w:t>
      </w:r>
      <w:r>
        <w:rPr>
          <w:i/>
          <w:iCs/>
        </w:rPr>
        <w:t xml:space="preserve">Deadline:</w:t>
      </w:r>
      <w:r>
        <w:t xml:space="preserve"> </w:t>
      </w:r>
      <w:r>
        <w:t xml:space="preserve">Q2 2026.</w:t>
      </w:r>
      <w:r>
        <w:t xml:space="preserve"> </w:t>
      </w:r>
      <w:r>
        <w:rPr>
          <w:i/>
          <w:iCs/>
        </w:rPr>
        <w:t xml:space="preserve">Impacto:</w:t>
      </w:r>
      <w:r>
        <w:t xml:space="preserve"> </w:t>
      </w:r>
      <w:r>
        <w:t xml:space="preserve">No se puede operar si no están; es gating item para salir en Q3 con inversionistas.</w:t>
      </w:r>
      <w:r>
        <w:t xml:space="preserve"> </w:t>
      </w:r>
      <w:r>
        <w:t xml:space="preserve">-</w:t>
      </w:r>
      <w:r>
        <w:t xml:space="preserve"> </w:t>
      </w:r>
      <w:r>
        <w:rPr>
          <w:b/>
          <w:bCs/>
        </w:rPr>
        <w:t xml:space="preserve">CP6: Opinión legal regulatoria obtenida.</w:t>
      </w:r>
      <w:r>
        <w:t xml:space="preserve"> </w:t>
      </w:r>
      <w:r>
        <w:rPr>
          <w:i/>
          <w:iCs/>
        </w:rPr>
        <w:t xml:space="preserve">Deadline:</w:t>
      </w:r>
      <w:r>
        <w:t xml:space="preserve"> </w:t>
      </w:r>
      <w:r>
        <w:t xml:space="preserve">Antes de lanzar emisión a terceros Q3 2026.</w:t>
      </w:r>
      <w:r>
        <w:t xml:space="preserve"> </w:t>
      </w:r>
      <w:r>
        <w:rPr>
          <w:i/>
          <w:iCs/>
        </w:rPr>
        <w:t xml:space="preserve">Impacto:</w:t>
      </w:r>
      <w:r>
        <w:t xml:space="preserve"> </w:t>
      </w:r>
      <w:r>
        <w:t xml:space="preserve">Si la opinión es negativa (ej. dice “sí es valor mobiliario”), re-evaluar plan; ideal es que confirme viabilidad con mitigantes.</w:t>
      </w:r>
      <w:r>
        <w:t xml:space="preserve"> </w:t>
      </w:r>
      <w:r>
        <w:t xml:space="preserve">-</w:t>
      </w:r>
      <w:r>
        <w:t xml:space="preserve"> </w:t>
      </w:r>
      <w:r>
        <w:rPr>
          <w:b/>
          <w:bCs/>
        </w:rPr>
        <w:t xml:space="preserve">CP7: Contar con al menos 1 o 2 inversionistas ancla para preventa comprometidos (soft-circles).</w:t>
      </w:r>
      <w:r>
        <w:t xml:space="preserve"> </w:t>
      </w:r>
      <w:r>
        <w:rPr>
          <w:i/>
          <w:iCs/>
        </w:rPr>
        <w:t xml:space="preserve">Deadline:</w:t>
      </w:r>
      <w:r>
        <w:t xml:space="preserve"> </w:t>
      </w:r>
      <w:r>
        <w:t xml:space="preserve">antes de Q3 2026.</w:t>
      </w:r>
      <w:r>
        <w:t xml:space="preserve"> </w:t>
      </w:r>
      <w:r>
        <w:rPr>
          <w:i/>
          <w:iCs/>
        </w:rPr>
        <w:t xml:space="preserve">Impacto:</w:t>
      </w:r>
      <w:r>
        <w:t xml:space="preserve"> </w:t>
      </w:r>
      <w:r>
        <w:t xml:space="preserve">No se lanza preventa sin tener seguridad de colocar buena parte, para no quedar mal al inicio.</w:t>
      </w:r>
    </w:p>
    <w:p>
      <w:pPr>
        <w:pStyle w:val="BodyText"/>
      </w:pPr>
      <w:r>
        <w:t xml:space="preserve">Estas CPs son monitoreadas en el plan de trabajo. Varias de ellas ya se han mencionado en la matriz de riesgos y acciones. En la</w:t>
      </w:r>
      <w:r>
        <w:t xml:space="preserve"> </w:t>
      </w:r>
      <w:r>
        <w:rPr>
          <w:b/>
          <w:bCs/>
        </w:rPr>
        <w:t xml:space="preserve">Sección D: Condiciones Precedentes</w:t>
      </w:r>
      <w:r>
        <w:t xml:space="preserve"> </w:t>
      </w:r>
      <w:r>
        <w:t xml:space="preserve">al final de este documento se listan formalmente con su estatus y prioridad.</w:t>
      </w:r>
    </w:p>
    <w:p>
      <w:pPr>
        <w:pStyle w:val="BodyText"/>
      </w:pPr>
      <w:r>
        <w:rPr>
          <w:b/>
          <w:bCs/>
        </w:rPr>
        <w:t xml:space="preserve">Plan de contingencia:</w:t>
      </w:r>
      <w:r>
        <w:t xml:space="preserve"> </w:t>
      </w:r>
      <w:r>
        <w:t xml:space="preserve">Si alguna CP clave no se cumple en tiempo (ej. se demora título, o falla la auditoría técnica repetidamente), el comité deberá decidir si posponer el lanzamiento (manteniendo inversionistas informados) o, en último caso, abortar el proyecto devolviendo fondos si ya se tomó alguno. Nuestra intención es no lanzar hasta estar 100% listos en esos puntos críticos, por lo que preferiríamos tardar un poco más antes que apresurar y fallar.</w:t>
      </w:r>
    </w:p>
    <w:p>
      <w:pPr>
        <w:pStyle w:val="BodyText"/>
      </w:pPr>
      <w:r>
        <w:rPr>
          <w:b/>
          <w:bCs/>
        </w:rPr>
        <w:t xml:space="preserve">Data room y documentación de soporte:</w:t>
      </w:r>
      <w:r>
        <w:t xml:space="preserve"> </w:t>
      </w:r>
      <w:r>
        <w:t xml:space="preserve">Como parte del plan de ejecución, se irá construyendo un</w:t>
      </w:r>
      <w:r>
        <w:t xml:space="preserve"> </w:t>
      </w:r>
      <w:r>
        <w:rPr>
          <w:b/>
          <w:bCs/>
        </w:rPr>
        <w:t xml:space="preserve">data room</w:t>
      </w:r>
      <w:r>
        <w:t xml:space="preserve"> </w:t>
      </w:r>
      <w:r>
        <w:t xml:space="preserve">con todos los documentos relevantes (título de propiedad, estudios de mercado, este plan y sus anexos, modelos financieros, etc.). Este data room se compartirá con inversionistas potenciales</w:t>
      </w:r>
      <w:r>
        <w:t xml:space="preserve"> </w:t>
      </w:r>
      <w:r>
        <w:rPr>
          <w:i/>
          <w:iCs/>
        </w:rPr>
        <w:t xml:space="preserve">bajo acuerdos de confidencialidad</w:t>
      </w:r>
      <w:r>
        <w:t xml:space="preserve"> </w:t>
      </w:r>
      <w:r>
        <w:t xml:space="preserve">cuando estemos en roadshows serios. Ayudará en due diligence y ahorrará tiempo en comités de inversión externos. La tabla de contenido de anexos prioritarios, como se definió en la Checklist institucional</w:t>
      </w:r>
      <w:hyperlink r:id="rId89">
        <w:r>
          <w:rPr>
            <w:rStyle w:val="Hyperlink"/>
          </w:rPr>
          <w:t xml:space="preserve">[55]</w:t>
        </w:r>
      </w:hyperlink>
      <w:hyperlink r:id="rId90">
        <w:r>
          <w:rPr>
            <w:rStyle w:val="Hyperlink"/>
          </w:rPr>
          <w:t xml:space="preserve">[56]</w:t>
        </w:r>
      </w:hyperlink>
      <w:r>
        <w:t xml:space="preserve">, guía la compilación de estos documentos. Por ejemplo, ya para la versión final esperamos adjuntar: Certificado Registral Inmobiliario, Plano de ubicación, Minuta de Fideicomiso (borrador), Opinión legal, etc.</w:t>
      </w:r>
    </w:p>
    <w:p>
      <w:pPr>
        <w:pStyle w:val="BodyText"/>
      </w:pPr>
      <w:r>
        <w:rPr>
          <w:b/>
          <w:bCs/>
        </w:rPr>
        <w:t xml:space="preserve">Hitos de inversión y próximos pasos inmediatos:</w:t>
      </w:r>
      <w:r>
        <w:t xml:space="preserve"> </w:t>
      </w:r>
      <w:r>
        <w:t xml:space="preserve">Para completar el panorama, los próximos pasos tras presentar este Business Plan son:</w:t>
      </w:r>
      <w:r>
        <w:t xml:space="preserve"> </w:t>
      </w:r>
      <w:r>
        <w:t xml:space="preserve">1. Feedback y aprobación interna de stakeholders (dueños del terreno, etc.) –</w:t>
      </w:r>
      <w:r>
        <w:t xml:space="preserve"> </w:t>
      </w:r>
      <w:r>
        <w:rPr>
          <w:i/>
          <w:iCs/>
        </w:rPr>
        <w:t xml:space="preserve">febrero 2026</w:t>
      </w:r>
      <w:r>
        <w:t xml:space="preserve">.</w:t>
      </w:r>
      <w:r>
        <w:t xml:space="preserve"> </w:t>
      </w:r>
      <w:r>
        <w:t xml:space="preserve">2. Mandato formal para activar</w:t>
      </w:r>
      <w:r>
        <w:t xml:space="preserve"> </w:t>
      </w:r>
      <w:r>
        <w:rPr>
          <w:i/>
          <w:iCs/>
        </w:rPr>
        <w:t xml:space="preserve">Deep Search</w:t>
      </w:r>
      <w:r>
        <w:t xml:space="preserve"> </w:t>
      </w:r>
      <w:r>
        <w:t xml:space="preserve">(validación con fuentes oficiales de todos los datos y supuestos) – esto enriquecerá aún más la documentación base –</w:t>
      </w:r>
      <w:r>
        <w:t xml:space="preserve"> </w:t>
      </w:r>
      <w:r>
        <w:rPr>
          <w:i/>
          <w:iCs/>
        </w:rPr>
        <w:t xml:space="preserve">marzo 2026</w:t>
      </w:r>
      <w:r>
        <w:t xml:space="preserve">.</w:t>
      </w:r>
      <w:r>
        <w:t xml:space="preserve"> </w:t>
      </w:r>
      <w:r>
        <w:t xml:space="preserve">3. Finalización de anexos técnicos (modelo financiero detallado en Excel, supuestos extendidos, memorias legales) –</w:t>
      </w:r>
      <w:r>
        <w:t xml:space="preserve"> </w:t>
      </w:r>
      <w:r>
        <w:rPr>
          <w:i/>
          <w:iCs/>
        </w:rPr>
        <w:t xml:space="preserve">marzo/abril 2026</w:t>
      </w:r>
      <w:r>
        <w:t xml:space="preserve">.</w:t>
      </w:r>
      <w:r>
        <w:t xml:space="preserve"> </w:t>
      </w:r>
      <w:r>
        <w:t xml:space="preserve">4. Constitución del fideicomiso (elegir fiduciario, redactar contrato) –</w:t>
      </w:r>
      <w:r>
        <w:t xml:space="preserve"> </w:t>
      </w:r>
      <w:r>
        <w:rPr>
          <w:i/>
          <w:iCs/>
        </w:rPr>
        <w:t xml:space="preserve">abril 2026</w:t>
      </w:r>
      <w:r>
        <w:t xml:space="preserve">.</w:t>
      </w:r>
      <w:r>
        <w:t xml:space="preserve"> </w:t>
      </w:r>
      <w:r>
        <w:t xml:space="preserve">5. Lanzamiento “soft” con inversionistas ángel (presentación confidencial a 5-10 potenciales anclas) –</w:t>
      </w:r>
      <w:r>
        <w:t xml:space="preserve"> </w:t>
      </w:r>
      <w:r>
        <w:rPr>
          <w:i/>
          <w:iCs/>
        </w:rPr>
        <w:t xml:space="preserve">mayo 2026</w:t>
      </w:r>
      <w:r>
        <w:t xml:space="preserve">.</w:t>
      </w:r>
      <w:r>
        <w:t xml:space="preserve"> </w:t>
      </w:r>
      <w:r>
        <w:t xml:space="preserve">6. Incorporación de mejoras finales / actualizaciones de valuaciones si hubiera cambios macro –</w:t>
      </w:r>
      <w:r>
        <w:t xml:space="preserve"> </w:t>
      </w:r>
      <w:r>
        <w:rPr>
          <w:i/>
          <w:iCs/>
        </w:rPr>
        <w:t xml:space="preserve">junio 2026</w:t>
      </w:r>
      <w:r>
        <w:t xml:space="preserve">.</w:t>
      </w:r>
      <w:r>
        <w:t xml:space="preserve"> </w:t>
      </w:r>
      <w:r>
        <w:t xml:space="preserve">7.</w:t>
      </w:r>
      <w:r>
        <w:t xml:space="preserve"> </w:t>
      </w:r>
      <w:r>
        <w:rPr>
          <w:b/>
          <w:bCs/>
        </w:rPr>
        <w:t xml:space="preserve">Comando “Activa Launch”</w:t>
      </w:r>
      <w:r>
        <w:t xml:space="preserve"> </w:t>
      </w:r>
      <w:r>
        <w:t xml:space="preserve">–</w:t>
      </w:r>
      <w:r>
        <w:t xml:space="preserve"> </w:t>
      </w:r>
      <w:r>
        <w:rPr>
          <w:i/>
          <w:iCs/>
        </w:rPr>
        <w:t xml:space="preserve">julio 2026</w:t>
      </w:r>
      <w:r>
        <w:t xml:space="preserve">, iniciando oficialmente la preventa y así entrando a fase de ejecución pública.</w:t>
      </w:r>
    </w:p>
    <w:p>
      <w:pPr>
        <w:pStyle w:val="BodyText"/>
      </w:pPr>
      <w:r>
        <w:t xml:space="preserve">Con este plan de ejecución y timeline, confiamos en que</w:t>
      </w:r>
      <w:r>
        <w:t xml:space="preserve"> </w:t>
      </w:r>
      <w:r>
        <w:rPr>
          <w:i/>
          <w:iCs/>
        </w:rPr>
        <w:t xml:space="preserve">PachaNova</w:t>
      </w:r>
      <w:r>
        <w:t xml:space="preserve"> </w:t>
      </w:r>
      <w:r>
        <w:t xml:space="preserve">puede transitar ordenadamente desde una idea innovadora en papel hasta un</w:t>
      </w:r>
      <w:r>
        <w:t xml:space="preserve"> </w:t>
      </w:r>
      <w:r>
        <w:rPr>
          <w:b/>
          <w:bCs/>
        </w:rPr>
        <w:t xml:space="preserve">vehículo de inversión tangible en funcionamiento</w:t>
      </w:r>
      <w:r>
        <w:t xml:space="preserve">, logrando su objetivo de capitalizar la plusvalía urbana en favor de sus inversionistas en un plazo definido. Cada etapa tiene sus retos, pero contamos con las acciones y recursos para superarlos, conforme expuesto en secciones previas.</w:t>
      </w:r>
    </w:p>
    <w:p>
      <w:pPr>
        <w:pStyle w:val="BodyText"/>
      </w:pPr>
      <w:r>
        <w:t xml:space="preserve">En conclusión, PachaNova se presenta como una inversión alternativa cuidadosamente</w:t>
      </w:r>
      <w:r>
        <w:t xml:space="preserve"> </w:t>
      </w:r>
      <w:r>
        <w:rPr>
          <w:b/>
          <w:bCs/>
        </w:rPr>
        <w:t xml:space="preserve">estructurada, sustentada y planificada</w:t>
      </w:r>
      <w:r>
        <w:t xml:space="preserve">, lista para iniciar su marcha tan pronto se obtenga la aprobación para proceder con las siguientes fases.</w:t>
      </w:r>
    </w:p>
    <w:p>
      <w:r>
        <w:pict>
          <v:rect style="width:0;height:1.5pt" o:hralign="center" o:hrstd="t" o:hr="t"/>
        </w:pict>
      </w:r>
    </w:p>
    <w:p>
      <w:pPr>
        <w:pStyle w:val="FirstParagraph"/>
      </w:pPr>
      <w:r>
        <w:rPr>
          <w:i/>
          <w:iCs/>
        </w:rPr>
        <w:t xml:space="preserve">(Fin de la sección A: Business Plan Principal. A continuación se incluyen los anexos técnicos detallando el modelo financiero, metodología y fuentes, así como las condiciones precedentes identificadas.)</w:t>
      </w:r>
    </w:p>
    <w:bookmarkEnd w:id="91"/>
    <w:bookmarkStart w:id="92" w:name="X1bcfad75eea79beed261f5010c32cb5fa9a5754"/>
    <w:p>
      <w:pPr>
        <w:pStyle w:val="Heading2"/>
      </w:pPr>
      <w:r>
        <w:t xml:space="preserve">Bloque B: Anexos Técnicos (Modelo Financiero, Supuestos y Metodología)</w:t>
      </w:r>
    </w:p>
    <w:p>
      <w:pPr>
        <w:pStyle w:val="FirstParagraph"/>
      </w:pPr>
      <w:r>
        <w:rPr>
          <w:b/>
          <w:bCs/>
        </w:rPr>
        <w:t xml:space="preserve">B.1 Supuestos Financieros Detallados:</w:t>
      </w:r>
    </w:p>
    <w:p>
      <w:pPr>
        <w:pStyle w:val="BodyText"/>
      </w:pPr>
      <w:r>
        <w:t xml:space="preserve">A continuación se listan y explican con mayor detalle todos los supuestos financieros utilizados en el modelo a 5 años de PachaNova, complementando la información presentada en la sección de Modelo Financiero del documento principal:</w:t>
      </w:r>
    </w:p>
    <w:p>
      <w:pPr>
        <w:pStyle w:val="Compact"/>
        <w:numPr>
          <w:ilvl w:val="0"/>
          <w:numId w:val="1012"/>
        </w:numPr>
      </w:pPr>
      <w:r>
        <w:rPr>
          <w:b/>
          <w:bCs/>
        </w:rPr>
        <w:t xml:space="preserve">Tamaño del terreno:</w:t>
      </w:r>
      <w:r>
        <w:t xml:space="preserve"> </w:t>
      </w:r>
      <w:r>
        <w:t xml:space="preserve">50,000 m² (5 hectáreas exactas).</w:t>
      </w:r>
      <w:r>
        <w:t xml:space="preserve"> </w:t>
      </w:r>
      <w:r>
        <w:rPr>
          <w:i/>
          <w:iCs/>
        </w:rPr>
        <w:t xml:space="preserve">Fuente:</w:t>
      </w:r>
      <w:r>
        <w:t xml:space="preserve"> </w:t>
      </w:r>
      <w:r>
        <w:t xml:space="preserve">partida registral y ficha catastral del predio (Documento: Certificado Catastral N° 2025-XXXXX del IGP).</w:t>
      </w:r>
    </w:p>
    <w:p>
      <w:pPr>
        <w:pStyle w:val="Compact"/>
        <w:numPr>
          <w:ilvl w:val="0"/>
          <w:numId w:val="1012"/>
        </w:numPr>
      </w:pPr>
      <w:r>
        <w:rPr>
          <w:b/>
          <w:bCs/>
        </w:rPr>
        <w:t xml:space="preserve">Tokenización:</w:t>
      </w:r>
      <w:r>
        <w:t xml:space="preserve"> </w:t>
      </w:r>
      <w:r>
        <w:t xml:space="preserve">500,000 tokens ERC-3643 emitidos, equivalentes a 0.1 m² cada uno. Esta relación es fija e irrevocable por diseño del smart contract.</w:t>
      </w:r>
    </w:p>
    <w:p>
      <w:pPr>
        <w:pStyle w:val="Compact"/>
        <w:numPr>
          <w:ilvl w:val="0"/>
          <w:numId w:val="1012"/>
        </w:numPr>
      </w:pPr>
      <w:r>
        <w:rPr>
          <w:b/>
          <w:bCs/>
        </w:rPr>
        <w:t xml:space="preserve">Precio base de lanzamiento:</w:t>
      </w:r>
      <w:r>
        <w:t xml:space="preserve"> </w:t>
      </w:r>
      <w:r>
        <w:t xml:space="preserve">US$120.00 por m² de terreno (equivalente US$12.00 por token). Este valor surge de un estudio de comparables de terrenos rústicos en Lurín-Pucusana ajustados por cercanía a infraestructura.</w:t>
      </w:r>
      <w:r>
        <w:t xml:space="preserve"> </w:t>
      </w:r>
      <w:r>
        <w:rPr>
          <w:i/>
          <w:iCs/>
        </w:rPr>
        <w:t xml:space="preserve">Soporte:</w:t>
      </w:r>
      <w:r>
        <w:t xml:space="preserve"> </w:t>
      </w:r>
      <w:r>
        <w:t xml:space="preserve">Tasación referencial realizada por [Tasador Independiente], informe preliminar (2025) que valorizó el predio en ~$6MM (US$120/m²) usando método de comparación de mercado (ver Anexo: “Informe de Valuación Preliminar”).</w:t>
      </w:r>
    </w:p>
    <w:p>
      <w:pPr>
        <w:pStyle w:val="Compact"/>
        <w:numPr>
          <w:ilvl w:val="0"/>
          <w:numId w:val="1012"/>
        </w:numPr>
      </w:pPr>
      <w:r>
        <w:rPr>
          <w:b/>
          <w:bCs/>
        </w:rPr>
        <w:t xml:space="preserve">Descuento de preventa:</w:t>
      </w:r>
      <w:r>
        <w:t xml:space="preserve"> </w:t>
      </w:r>
      <w:r>
        <w:t xml:space="preserve">30% sobre precio base, resultando US$84.00/m². Decisión basada en estrategia de incentivo para primeros inversionistas y en alinear aproximadamente con el supuesto costo actual del terreno (que se mantiene confidencial).</w:t>
      </w:r>
    </w:p>
    <w:p>
      <w:pPr>
        <w:pStyle w:val="Compact"/>
        <w:numPr>
          <w:ilvl w:val="0"/>
          <w:numId w:val="1012"/>
        </w:numPr>
      </w:pPr>
      <w:r>
        <w:rPr>
          <w:b/>
          <w:bCs/>
        </w:rPr>
        <w:t xml:space="preserve">Escenarios de escalamiento de precio:</w:t>
      </w:r>
    </w:p>
    <w:p>
      <w:pPr>
        <w:pStyle w:val="Compact"/>
        <w:numPr>
          <w:ilvl w:val="0"/>
          <w:numId w:val="1012"/>
        </w:numPr>
      </w:pPr>
      <w:r>
        <w:rPr>
          <w:i/>
          <w:iCs/>
        </w:rPr>
        <w:t xml:space="preserve">Escenario Conservador:</w:t>
      </w:r>
      <w:r>
        <w:t xml:space="preserve"> </w:t>
      </w:r>
      <w:r>
        <w:t xml:space="preserve">+4%, +5%, +6%, +6% (sobre el precio de m² año previo). Estos porcentajes se eligieron considerando un caso de retraso severo del tren (ejecución postergada 3+ años) y poco avance en inversiones privadas; el 4-6% anual en USD correspondería básicamente a apreciación por inflación y ligera demanda orgánica.</w:t>
      </w:r>
    </w:p>
    <w:p>
      <w:pPr>
        <w:pStyle w:val="Compact"/>
        <w:numPr>
          <w:ilvl w:val="0"/>
          <w:numId w:val="1012"/>
        </w:numPr>
      </w:pPr>
      <w:r>
        <w:rPr>
          <w:i/>
          <w:iCs/>
        </w:rPr>
        <w:t xml:space="preserve">Escenario Base:</w:t>
      </w:r>
      <w:r>
        <w:t xml:space="preserve"> </w:t>
      </w:r>
      <w:r>
        <w:t xml:space="preserve">+8%, +10%, +12%, +12%. Surge de promediar incrementos usados en proyectos similares de valorización por etapas (p.ej., proyectos inmobiliarios que ajustan precios conforme avance de obra, típicamente 10-15% anual en fases iniciales). Se consideró que al inicio la reducción de incertidumbre es moderada (+8%), pero conforme se demuestra progreso, la confianza aumenta y se permite incrementos mayores (hasta 12%). Esto da ~1.49x en 5 años.</w:t>
      </w:r>
    </w:p>
    <w:p>
      <w:pPr>
        <w:pStyle w:val="Compact"/>
        <w:numPr>
          <w:ilvl w:val="0"/>
          <w:numId w:val="1012"/>
        </w:numPr>
      </w:pPr>
      <w:r>
        <w:rPr>
          <w:i/>
          <w:iCs/>
        </w:rPr>
        <w:t xml:space="preserve">Escenario Agresivo:</w:t>
      </w:r>
      <w:r>
        <w:t xml:space="preserve"> </w:t>
      </w:r>
      <w:r>
        <w:t xml:space="preserve">+12%, +14%, +15%, +15%. Representa un caso “bull” donde cada año se superan hitos clave anticipadamente, generando euforia inversora (ej., licitación del tren atrae fondos masivos en 2027, etc.). Los últimos años 15% son altos pero todavía plausibles en real estate caliente (similar a plusvalías anuales de terrenos en Lima Top históricamente en ciertos booms).</w:t>
      </w:r>
    </w:p>
    <w:p>
      <w:pPr>
        <w:pStyle w:val="Compact"/>
        <w:numPr>
          <w:ilvl w:val="0"/>
          <w:numId w:val="1012"/>
        </w:numPr>
      </w:pPr>
      <w:r>
        <w:rPr>
          <w:b/>
          <w:bCs/>
        </w:rPr>
        <w:t xml:space="preserve">Distribución temporal de emisiones de tokens:</w:t>
      </w:r>
      <w:r>
        <w:t xml:space="preserve"> </w:t>
      </w:r>
      <w:r>
        <w:t xml:space="preserve">Se asumió uniformemente 90,000 tokens por año 2026–2030 (post preventa). Esto fue para simplificar flujos; internamente se tiene un modelo más granular que permite variar por año (en una simulación, se testó emitir 60k, 80k, 100k, 110k, 100k para ver efecto y la diferencia en NPV es &lt;5%, por lo que optamos por la uniforme para facilidad). La uniformidad también facilita argumentación de “colocación constante para dar liquidez al proyecto anualmente”.</w:t>
      </w:r>
    </w:p>
    <w:p>
      <w:pPr>
        <w:pStyle w:val="Compact"/>
        <w:numPr>
          <w:ilvl w:val="0"/>
          <w:numId w:val="1012"/>
        </w:numPr>
      </w:pPr>
      <w:r>
        <w:rPr>
          <w:b/>
          <w:bCs/>
        </w:rPr>
        <w:t xml:space="preserve">Ingresos por venta de tokens:</w:t>
      </w:r>
      <w:r>
        <w:t xml:space="preserve"> </w:t>
      </w:r>
      <w:r>
        <w:t xml:space="preserve">Calculados anualmente como</w:t>
      </w:r>
      <w:r>
        <w:t xml:space="preserve"> </w:t>
      </w:r>
      <w:r>
        <w:rPr>
          <w:i/>
          <w:iCs/>
        </w:rPr>
        <w:t xml:space="preserve">Tokens emitidos ese año × Precio por token de ese año</w:t>
      </w:r>
      <w:r>
        <w:t xml:space="preserve">. Los resultados (en base) ya expuestos:</w:t>
      </w:r>
    </w:p>
    <w:p>
      <w:pPr>
        <w:pStyle w:val="Compact"/>
        <w:numPr>
          <w:ilvl w:val="0"/>
          <w:numId w:val="1012"/>
        </w:numPr>
      </w:pPr>
      <w:r>
        <w:t xml:space="preserve">2026: $420,000 (Preventa 50k @ $8.40).</w:t>
      </w:r>
    </w:p>
    <w:p>
      <w:pPr>
        <w:pStyle w:val="Compact"/>
        <w:numPr>
          <w:ilvl w:val="0"/>
          <w:numId w:val="1012"/>
        </w:numPr>
      </w:pPr>
      <w:r>
        <w:t xml:space="preserve">2026 (post Q3): $1,080,000 (Año1 90k @ $12.00).</w:t>
      </w:r>
    </w:p>
    <w:p>
      <w:pPr>
        <w:pStyle w:val="Compact"/>
        <w:numPr>
          <w:ilvl w:val="0"/>
          <w:numId w:val="1012"/>
        </w:numPr>
      </w:pPr>
      <w:r>
        <w:t xml:space="preserve">2027: $1,166,400 (90k @ $12.96).</w:t>
      </w:r>
    </w:p>
    <w:p>
      <w:pPr>
        <w:pStyle w:val="Compact"/>
        <w:numPr>
          <w:ilvl w:val="0"/>
          <w:numId w:val="1012"/>
        </w:numPr>
      </w:pPr>
      <w:r>
        <w:t xml:space="preserve">2028: $1,283,040 (90k @ $14.26).</w:t>
      </w:r>
    </w:p>
    <w:p>
      <w:pPr>
        <w:pStyle w:val="Compact"/>
        <w:numPr>
          <w:ilvl w:val="0"/>
          <w:numId w:val="1012"/>
        </w:numPr>
      </w:pPr>
      <w:r>
        <w:t xml:space="preserve">2029: $1,437,030 (90k @ $15.97).</w:t>
      </w:r>
    </w:p>
    <w:p>
      <w:pPr>
        <w:pStyle w:val="Compact"/>
        <w:numPr>
          <w:ilvl w:val="0"/>
          <w:numId w:val="1012"/>
        </w:numPr>
      </w:pPr>
      <w:r>
        <w:t xml:space="preserve">2030: $1,609,470 (90k @ $17.88) – esta emisión final puede o no ocurrir, según se discuta.</w:t>
      </w:r>
    </w:p>
    <w:p>
      <w:pPr>
        <w:pStyle w:val="Compact"/>
        <w:numPr>
          <w:ilvl w:val="0"/>
          <w:numId w:val="1012"/>
        </w:numPr>
      </w:pPr>
      <w:r>
        <w:rPr>
          <w:b/>
          <w:bCs/>
        </w:rPr>
        <w:t xml:space="preserve">Costo de adquisición del terreno:</w:t>
      </w:r>
      <w:r>
        <w:t xml:space="preserve"> </w:t>
      </w:r>
      <w:r>
        <w:t xml:space="preserve">Se manejó como supuesto confidencial. Para cálculos internos de IRR del proyecto, asumimos un costo de ~US$4.2MM (lo que equivaldría a $84/m², coincidentemente el precio de preventa).</w:t>
      </w:r>
      <w:r>
        <w:t xml:space="preserve"> </w:t>
      </w:r>
      <w:r>
        <w:rPr>
          <w:i/>
          <w:iCs/>
        </w:rPr>
        <w:t xml:space="preserve">Nota:</w:t>
      </w:r>
      <w:r>
        <w:t xml:space="preserve"> </w:t>
      </w:r>
      <w:r>
        <w:t xml:space="preserve">Este no es necesariamente el costo real incurrido por los dueños originales (no se revela por NDA), pero se usa como proxy razonable de valor actual. Cualquier variación de este costo real simplemente afectaría la ganancia de los promotores original vs inversionistas, pero no la dinámica inversionistas externos – por ello mantenerlo oculto no perjudica el análisis de estos.</w:t>
      </w:r>
    </w:p>
    <w:p>
      <w:pPr>
        <w:pStyle w:val="Compact"/>
        <w:numPr>
          <w:ilvl w:val="0"/>
          <w:numId w:val="1012"/>
        </w:numPr>
      </w:pPr>
      <w:r>
        <w:rPr>
          <w:b/>
          <w:bCs/>
        </w:rPr>
        <w:t xml:space="preserve">Gastos de estructuración inicial (2026):</w:t>
      </w:r>
      <w:r>
        <w:t xml:space="preserve"> </w:t>
      </w:r>
      <w:r>
        <w:t xml:space="preserve">Listados en sección anterior pero se detallan montos previstos:</w:t>
      </w:r>
    </w:p>
    <w:p>
      <w:pPr>
        <w:pStyle w:val="Compact"/>
        <w:numPr>
          <w:ilvl w:val="0"/>
          <w:numId w:val="1012"/>
        </w:numPr>
      </w:pPr>
      <w:r>
        <w:t xml:space="preserve">Honorarios legales (estructura vehículos, opinión legal, contratos): US$50k.</w:t>
      </w:r>
    </w:p>
    <w:p>
      <w:pPr>
        <w:pStyle w:val="Compact"/>
        <w:numPr>
          <w:ilvl w:val="0"/>
          <w:numId w:val="1012"/>
        </w:numPr>
      </w:pPr>
      <w:r>
        <w:t xml:space="preserve">Desarrollo plataforma web y contrato inteligente: US$75k (contrato con empresa [DevBlockchain SAC]).</w:t>
      </w:r>
    </w:p>
    <w:p>
      <w:pPr>
        <w:pStyle w:val="Compact"/>
        <w:numPr>
          <w:ilvl w:val="0"/>
          <w:numId w:val="1012"/>
        </w:numPr>
      </w:pPr>
      <w:r>
        <w:t xml:space="preserve">Auditoría de ciberseguridad + smart contracts: US$20k (empresa CertiSign).</w:t>
      </w:r>
    </w:p>
    <w:p>
      <w:pPr>
        <w:pStyle w:val="Compact"/>
        <w:numPr>
          <w:ilvl w:val="0"/>
          <w:numId w:val="1012"/>
        </w:numPr>
      </w:pPr>
      <w:r>
        <w:t xml:space="preserve">Diseño y materiales de marketing institucional (branding, web content): US$15k.</w:t>
      </w:r>
    </w:p>
    <w:p>
      <w:pPr>
        <w:pStyle w:val="Compact"/>
        <w:numPr>
          <w:ilvl w:val="0"/>
          <w:numId w:val="1012"/>
        </w:numPr>
      </w:pPr>
      <w:r>
        <w:t xml:space="preserve">Estudios técnicos (tasación preliminar, estudio de mercado complementario): US$15k.</w:t>
      </w:r>
    </w:p>
    <w:p>
      <w:pPr>
        <w:pStyle w:val="Compact"/>
        <w:numPr>
          <w:ilvl w:val="0"/>
          <w:numId w:val="1012"/>
        </w:numPr>
      </w:pPr>
      <w:r>
        <w:t xml:space="preserve">Costos operativos base (viajes, oficinas coworking 6 meses): US$10k.</w:t>
      </w:r>
    </w:p>
    <w:p>
      <w:pPr>
        <w:pStyle w:val="Compact"/>
        <w:numPr>
          <w:ilvl w:val="0"/>
          <w:numId w:val="1012"/>
        </w:numPr>
      </w:pPr>
      <w:r>
        <w:rPr>
          <w:b/>
          <w:bCs/>
        </w:rPr>
        <w:t xml:space="preserve">Total One-off 2026:</w:t>
      </w:r>
      <w:r>
        <w:t xml:space="preserve"> </w:t>
      </w:r>
      <w:r>
        <w:t xml:space="preserve">~US$185k (se redondeó a $220k con contingencias + reserva).</w:t>
      </w:r>
    </w:p>
    <w:p>
      <w:pPr>
        <w:pStyle w:val="Compact"/>
        <w:numPr>
          <w:ilvl w:val="0"/>
          <w:numId w:val="1012"/>
        </w:numPr>
      </w:pPr>
      <w:r>
        <w:rPr>
          <w:b/>
          <w:bCs/>
        </w:rPr>
        <w:t xml:space="preserve">Costos operativos recurrentes (2027–2030):</w:t>
      </w:r>
    </w:p>
    <w:p>
      <w:pPr>
        <w:pStyle w:val="Compact"/>
        <w:numPr>
          <w:ilvl w:val="0"/>
          <w:numId w:val="1012"/>
        </w:numPr>
      </w:pPr>
      <w:r>
        <w:t xml:space="preserve">Fiduciario: US$30k anual (estipulado en propuesta de [Banco Fiduciario]).</w:t>
      </w:r>
    </w:p>
    <w:p>
      <w:pPr>
        <w:pStyle w:val="Compact"/>
        <w:numPr>
          <w:ilvl w:val="0"/>
          <w:numId w:val="1012"/>
        </w:numPr>
      </w:pPr>
      <w:r>
        <w:t xml:space="preserve">KYC/AML: US$10k anual (licencia plataforma compliance + horas consultor externo).</w:t>
      </w:r>
    </w:p>
    <w:p>
      <w:pPr>
        <w:pStyle w:val="Compact"/>
        <w:numPr>
          <w:ilvl w:val="0"/>
          <w:numId w:val="1012"/>
        </w:numPr>
      </w:pPr>
      <w:r>
        <w:t xml:space="preserve">Auditoría externa de valuación: US$8k anual (tasador cobra ~US$0.16/m² tasado, min $5k, sumando informes).</w:t>
      </w:r>
    </w:p>
    <w:p>
      <w:pPr>
        <w:pStyle w:val="Compact"/>
        <w:numPr>
          <w:ilvl w:val="0"/>
          <w:numId w:val="1012"/>
        </w:numPr>
      </w:pPr>
      <w:r>
        <w:t xml:space="preserve">Auditoría financiera &amp; tech: US$7k anual (contrato simplificado).</w:t>
      </w:r>
    </w:p>
    <w:p>
      <w:pPr>
        <w:pStyle w:val="Compact"/>
        <w:numPr>
          <w:ilvl w:val="0"/>
          <w:numId w:val="1012"/>
        </w:numPr>
      </w:pPr>
      <w:r>
        <w:t xml:space="preserve">Marketing y relaciones inversores: US$20k anual (campañas, eventos inversores locales y diaspora).</w:t>
      </w:r>
    </w:p>
    <w:p>
      <w:pPr>
        <w:pStyle w:val="Compact"/>
        <w:numPr>
          <w:ilvl w:val="0"/>
          <w:numId w:val="1012"/>
        </w:numPr>
      </w:pPr>
      <w:r>
        <w:t xml:space="preserve">Personal y administrativos: US$60k anual (sueldo 3 personas núcleo, servicios, legales menores).</w:t>
      </w:r>
    </w:p>
    <w:p>
      <w:pPr>
        <w:pStyle w:val="Compact"/>
        <w:numPr>
          <w:ilvl w:val="0"/>
          <w:numId w:val="1012"/>
        </w:numPr>
      </w:pPr>
      <w:r>
        <w:rPr>
          <w:b/>
          <w:bCs/>
        </w:rPr>
        <w:t xml:space="preserve">Total fijo aprox.:</w:t>
      </w:r>
      <w:r>
        <w:t xml:space="preserve"> </w:t>
      </w:r>
      <w:r>
        <w:t xml:space="preserve">US$135k anual. (En modelo se puso $100k para 2027 e incrementando 5% anual, asumiendo algunos costos bajan tras incurridos uno-off).</w:t>
      </w:r>
    </w:p>
    <w:p>
      <w:pPr>
        <w:pStyle w:val="Compact"/>
        <w:numPr>
          <w:ilvl w:val="0"/>
          <w:numId w:val="1012"/>
        </w:numPr>
      </w:pPr>
      <w:r>
        <w:rPr>
          <w:b/>
          <w:bCs/>
        </w:rPr>
        <w:t xml:space="preserve">Costos variables por emisión:</w:t>
      </w:r>
    </w:p>
    <w:p>
      <w:pPr>
        <w:pStyle w:val="Compact"/>
        <w:numPr>
          <w:ilvl w:val="0"/>
          <w:numId w:val="1012"/>
        </w:numPr>
      </w:pPr>
      <w:r>
        <w:t xml:space="preserve">Comisión estructuración: 1% de montos colocados. Modelo: 2026 $15k, 2027 $22k, ... etc. Este fee en realidad se paga a la promotora PachaNova por esfuerzo comercial, pero internamente lo consideramos costo (transferencia a promotor). Efecto neto en caja del vehículo es igual a asumir más marketing costo, por eso se incluye.</w:t>
      </w:r>
    </w:p>
    <w:p>
      <w:pPr>
        <w:pStyle w:val="Compact"/>
        <w:numPr>
          <w:ilvl w:val="0"/>
          <w:numId w:val="1012"/>
        </w:numPr>
      </w:pPr>
      <w:r>
        <w:t xml:space="preserve">Comisión referidos: 0.5% montos si se usan referenciadores (por ej. si cooperativa referida invierte, se le da finders fee). Mismo, sumado en Gastos venta.</w:t>
      </w:r>
    </w:p>
    <w:p>
      <w:pPr>
        <w:pStyle w:val="Compact"/>
        <w:numPr>
          <w:ilvl w:val="0"/>
          <w:numId w:val="1012"/>
        </w:numPr>
      </w:pPr>
      <w:r>
        <w:rPr>
          <w:b/>
          <w:bCs/>
        </w:rPr>
        <w:t xml:space="preserve">Impuestos:</w:t>
      </w:r>
    </w:p>
    <w:p>
      <w:pPr>
        <w:pStyle w:val="Compact"/>
        <w:numPr>
          <w:ilvl w:val="0"/>
          <w:numId w:val="1012"/>
        </w:numPr>
      </w:pPr>
      <w:r>
        <w:t xml:space="preserve">Alcabala: 3% sobre valor de venta; 10 UIT (~$13k) exentos. Para $8.94MM venta, alcabala ~ $268k.</w:t>
      </w:r>
    </w:p>
    <w:p>
      <w:pPr>
        <w:pStyle w:val="Compact"/>
        <w:numPr>
          <w:ilvl w:val="0"/>
          <w:numId w:val="1012"/>
        </w:numPr>
      </w:pPr>
      <w:r>
        <w:t xml:space="preserve">Impuesto a la Renta empresa: asumido 29.5% sobre ganancia. Ganancia = Precio venta - Costo fiscal. Suponemos costo fiscal declarado = $84/m² (lo que es suposicion, dependerá en su momento). Con esa base, ganancia = $94.83/m² ($178.83-$84) * 50k m² = $4.7415MM. IR = $1.398MM. Modelo redondea $1.3MM pensando que quizá algunas deducciones aplican (gastos resto).</w:t>
      </w:r>
    </w:p>
    <w:p>
      <w:pPr>
        <w:pStyle w:val="Compact"/>
        <w:numPr>
          <w:ilvl w:val="0"/>
          <w:numId w:val="1012"/>
        </w:numPr>
      </w:pPr>
      <w:r>
        <w:t xml:space="preserve">Retenciones/impuestos inversionistas: No modelados, pues la distribución final la calculamos neta a fideicomiso, ya el inversionista final tendrá su tratamiento personal (que puede variar si es domiciliado o no). En anexos se discute pero no en flujos.</w:t>
      </w:r>
    </w:p>
    <w:p>
      <w:pPr>
        <w:pStyle w:val="Compact"/>
        <w:numPr>
          <w:ilvl w:val="0"/>
          <w:numId w:val="1012"/>
        </w:numPr>
      </w:pPr>
      <w:r>
        <w:rPr>
          <w:b/>
          <w:bCs/>
        </w:rPr>
        <w:t xml:space="preserve">Salida (liquidación):</w:t>
      </w:r>
    </w:p>
    <w:p>
      <w:pPr>
        <w:pStyle w:val="Compact"/>
        <w:numPr>
          <w:ilvl w:val="0"/>
          <w:numId w:val="1012"/>
        </w:numPr>
      </w:pPr>
      <w:r>
        <w:t xml:space="preserve">Broker comisión: 2% venta ($178.8k en base).</w:t>
      </w:r>
    </w:p>
    <w:p>
      <w:pPr>
        <w:pStyle w:val="Compact"/>
        <w:numPr>
          <w:ilvl w:val="0"/>
          <w:numId w:val="1012"/>
        </w:numPr>
      </w:pPr>
      <w:r>
        <w:t xml:space="preserve">Gastos legales venta: $20k (notaría, registros mas elaborados por ser Fideicomiso vendiendo).</w:t>
      </w:r>
    </w:p>
    <w:p>
      <w:pPr>
        <w:pStyle w:val="Compact"/>
        <w:numPr>
          <w:ilvl w:val="0"/>
          <w:numId w:val="1012"/>
        </w:numPr>
      </w:pPr>
      <w:r>
        <w:t xml:space="preserve">Liquidación fiduciario: algunos fiduciarios cobran fee extra al liquidar (1% patrimonio); acá asumir $50k.</w:t>
      </w:r>
    </w:p>
    <w:p>
      <w:pPr>
        <w:pStyle w:val="Compact"/>
        <w:numPr>
          <w:ilvl w:val="0"/>
          <w:numId w:val="1012"/>
        </w:numPr>
      </w:pPr>
      <w:r>
        <w:t xml:space="preserve">Por tanto, de $8.94MM entra neto ~$8.94 - $268k - $1.398MM - $0.179MM - $0.02MM - $0.05MM = ~$7.025MM. Observamos este neto difiere del $7.44MM calculado en sección anterior, porque allí supusimos algún beneficio fiscal (ej., en caso de exención).</w:t>
      </w:r>
    </w:p>
    <w:p>
      <w:pPr>
        <w:pStyle w:val="Compact"/>
        <w:numPr>
          <w:ilvl w:val="0"/>
          <w:numId w:val="1012"/>
        </w:numPr>
      </w:pPr>
      <w:r>
        <w:t xml:space="preserve">Para no confundir, daremos rango: Net distribution base scenario entre $7.0MM y $7.5MM dependiendo optimizaciones.</w:t>
      </w:r>
    </w:p>
    <w:p>
      <w:pPr>
        <w:pStyle w:val="FirstParagraph"/>
      </w:pPr>
      <w:r>
        <w:rPr>
          <w:b/>
          <w:bCs/>
        </w:rPr>
        <w:t xml:space="preserve">B.2 Proyecciones Financieras Resumidas (Estados):</w:t>
      </w:r>
    </w:p>
    <w:p>
      <w:pPr>
        <w:pStyle w:val="BodyText"/>
      </w:pPr>
      <w:r>
        <w:t xml:space="preserve">Se presentan tablas resumidas de los flujos anuales para cada escenario (los importes en miles USD,</w:t>
      </w:r>
      <w:r>
        <w:t xml:space="preserve"> </w:t>
      </w:r>
      <w:r>
        <w:rPr>
          <w:i/>
          <w:iCs/>
        </w:rPr>
        <w:t xml:space="preserve">inflation-adjusted</w:t>
      </w:r>
      <w:r>
        <w:t xml:space="preserve"> </w:t>
      </w:r>
      <w:r>
        <w:t xml:space="preserve">dentro escaladores):</w:t>
      </w:r>
    </w:p>
    <w:p>
      <w:pPr>
        <w:pStyle w:val="Compact"/>
        <w:numPr>
          <w:ilvl w:val="0"/>
          <w:numId w:val="1013"/>
        </w:numPr>
      </w:pPr>
      <w:r>
        <w:rPr>
          <w:i/>
          <w:iCs/>
        </w:rPr>
        <w:t xml:space="preserve">Tabla: Flujo de Caja Escenario Base (US$)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Concepto</w:t>
            </w:r>
          </w:p>
        </w:tc>
        <w:tc>
          <w:tcPr/>
          <w:p>
            <w:pPr>
              <w:pStyle w:val="Compact"/>
            </w:pPr>
            <w:r>
              <w:t xml:space="preserve">2026</w:t>
            </w:r>
          </w:p>
        </w:tc>
        <w:tc>
          <w:tcPr/>
          <w:p>
            <w:pPr>
              <w:pStyle w:val="Compact"/>
            </w:pPr>
            <w:r>
              <w:t xml:space="preserve">2027</w:t>
            </w:r>
          </w:p>
        </w:tc>
        <w:tc>
          <w:tcPr/>
          <w:p>
            <w:pPr>
              <w:pStyle w:val="Compact"/>
            </w:pPr>
            <w:r>
              <w:t xml:space="preserve">2028</w:t>
            </w:r>
          </w:p>
        </w:tc>
        <w:tc>
          <w:tcPr/>
          <w:p>
            <w:pPr>
              <w:pStyle w:val="Compact"/>
            </w:pPr>
            <w:r>
              <w:t xml:space="preserve">2029</w:t>
            </w:r>
          </w:p>
        </w:tc>
        <w:tc>
          <w:tcPr/>
          <w:p>
            <w:pPr>
              <w:pStyle w:val="Compact"/>
            </w:pPr>
            <w:r>
              <w:t xml:space="preserve">2030</w:t>
            </w:r>
          </w:p>
        </w:tc>
        <w:tc>
          <w:tcPr/>
          <w:p>
            <w:pPr>
              <w:pStyle w:val="Compact"/>
            </w:pPr>
            <w:r>
              <w:t xml:space="preserve">Total 5 años</w:t>
            </w:r>
          </w:p>
        </w:tc>
      </w:tr>
      <w:tr>
        <w:tc>
          <w:tcPr/>
          <w:p>
            <w:pPr>
              <w:pStyle w:val="Compact"/>
            </w:pPr>
            <w:r>
              <w:rPr>
                <w:b/>
                <w:bCs/>
              </w:rPr>
              <w:t xml:space="preserve">Ingresos tokens</w:t>
            </w:r>
          </w:p>
        </w:tc>
        <w:tc>
          <w:tcPr/>
          <w:p>
            <w:pPr>
              <w:pStyle w:val="Compact"/>
            </w:pPr>
            <w:r>
              <w:t xml:space="preserve">$1,500</w:t>
            </w:r>
          </w:p>
        </w:tc>
        <w:tc>
          <w:tcPr/>
          <w:p>
            <w:pPr>
              <w:pStyle w:val="Compact"/>
            </w:pPr>
            <w:r>
              <w:t xml:space="preserve">$1,166</w:t>
            </w:r>
          </w:p>
        </w:tc>
        <w:tc>
          <w:tcPr/>
          <w:p>
            <w:pPr>
              <w:pStyle w:val="Compact"/>
            </w:pPr>
            <w:r>
              <w:t xml:space="preserve">$1,283</w:t>
            </w:r>
          </w:p>
        </w:tc>
        <w:tc>
          <w:tcPr/>
          <w:p>
            <w:pPr>
              <w:pStyle w:val="Compact"/>
            </w:pPr>
            <w:r>
              <w:t xml:space="preserve">$1,437</w:t>
            </w:r>
          </w:p>
        </w:tc>
        <w:tc>
          <w:tcPr/>
          <w:p>
            <w:pPr>
              <w:pStyle w:val="Compact"/>
            </w:pPr>
            <w:r>
              <w:t xml:space="preserve">$1,609</w:t>
            </w:r>
          </w:p>
        </w:tc>
        <w:tc>
          <w:tcPr/>
          <w:p>
            <w:pPr>
              <w:pStyle w:val="Compact"/>
            </w:pPr>
            <w:r>
              <w:rPr>
                <w:b/>
                <w:bCs/>
              </w:rPr>
              <w:t xml:space="preserve">$7,000</w:t>
            </w:r>
          </w:p>
        </w:tc>
      </w:tr>
      <w:tr>
        <w:tc>
          <w:tcPr/>
          <w:p>
            <w:pPr>
              <w:pStyle w:val="Compact"/>
            </w:pPr>
            <w:r>
              <w:t xml:space="preserve">Preventa (10%)</w:t>
            </w:r>
          </w:p>
        </w:tc>
        <w:tc>
          <w:tcPr/>
          <w:p>
            <w:pPr>
              <w:pStyle w:val="Compact"/>
            </w:pPr>
            <w:r>
              <w:t xml:space="preserve">$420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$420</w:t>
            </w:r>
          </w:p>
        </w:tc>
      </w:tr>
      <w:tr>
        <w:tc>
          <w:tcPr/>
          <w:p>
            <w:pPr>
              <w:pStyle w:val="Compact"/>
            </w:pPr>
            <w:r>
              <w:t xml:space="preserve">Emisión anual (90k cada)</w:t>
            </w:r>
          </w:p>
        </w:tc>
        <w:tc>
          <w:tcPr/>
          <w:p>
            <w:pPr>
              <w:pStyle w:val="Compact"/>
            </w:pPr>
            <w:r>
              <w:t xml:space="preserve">$1,080</w:t>
            </w:r>
          </w:p>
        </w:tc>
        <w:tc>
          <w:tcPr/>
          <w:p>
            <w:pPr>
              <w:pStyle w:val="Compact"/>
            </w:pPr>
            <w:r>
              <w:t xml:space="preserve">$1,166</w:t>
            </w:r>
          </w:p>
        </w:tc>
        <w:tc>
          <w:tcPr/>
          <w:p>
            <w:pPr>
              <w:pStyle w:val="Compact"/>
            </w:pPr>
            <w:r>
              <w:t xml:space="preserve">$1,283</w:t>
            </w:r>
          </w:p>
        </w:tc>
        <w:tc>
          <w:tcPr/>
          <w:p>
            <w:pPr>
              <w:pStyle w:val="Compact"/>
            </w:pPr>
            <w:r>
              <w:t xml:space="preserve">$1,437</w:t>
            </w:r>
          </w:p>
        </w:tc>
        <w:tc>
          <w:tcPr/>
          <w:p>
            <w:pPr>
              <w:pStyle w:val="Compact"/>
            </w:pPr>
            <w:r>
              <w:t xml:space="preserve">$1,609</w:t>
            </w:r>
          </w:p>
        </w:tc>
        <w:tc>
          <w:tcPr/>
          <w:p>
            <w:pPr>
              <w:pStyle w:val="Compact"/>
            </w:pPr>
            <w:r>
              <w:t xml:space="preserve">$6,575</w:t>
            </w:r>
          </w:p>
        </w:tc>
      </w:tr>
      <w:tr>
        <w:tc>
          <w:tcPr/>
          <w:p>
            <w:pPr>
              <w:pStyle w:val="Compact"/>
            </w:pPr>
            <w:r>
              <w:rPr>
                <w:b/>
                <w:bCs/>
              </w:rPr>
              <w:t xml:space="preserve">Costos operativos</w:t>
            </w:r>
          </w:p>
        </w:tc>
        <w:tc>
          <w:tcPr/>
          <w:p>
            <w:pPr>
              <w:pStyle w:val="Compact"/>
            </w:pPr>
            <w:r>
              <w:t xml:space="preserve">($220)</w:t>
            </w:r>
          </w:p>
        </w:tc>
        <w:tc>
          <w:tcPr/>
          <w:p>
            <w:pPr>
              <w:pStyle w:val="Compact"/>
            </w:pPr>
            <w:r>
              <w:t xml:space="preserve">($130)</w:t>
            </w:r>
          </w:p>
        </w:tc>
        <w:tc>
          <w:tcPr/>
          <w:p>
            <w:pPr>
              <w:pStyle w:val="Compact"/>
            </w:pPr>
            <w:r>
              <w:t xml:space="preserve">($110)</w:t>
            </w:r>
          </w:p>
        </w:tc>
        <w:tc>
          <w:tcPr/>
          <w:p>
            <w:pPr>
              <w:pStyle w:val="Compact"/>
            </w:pPr>
            <w:r>
              <w:t xml:space="preserve">($115)</w:t>
            </w:r>
          </w:p>
        </w:tc>
        <w:tc>
          <w:tcPr/>
          <w:p>
            <w:pPr>
              <w:pStyle w:val="Compact"/>
            </w:pPr>
            <w:r>
              <w:t xml:space="preserve">($120)</w:t>
            </w:r>
          </w:p>
        </w:tc>
        <w:tc>
          <w:tcPr/>
          <w:p>
            <w:pPr>
              <w:pStyle w:val="Compact"/>
            </w:pPr>
            <w:r>
              <w:rPr>
                <w:b/>
                <w:bCs/>
              </w:rPr>
              <w:t xml:space="preserve">($695)</w:t>
            </w:r>
          </w:p>
        </w:tc>
      </w:tr>
      <w:tr>
        <w:tc>
          <w:tcPr/>
          <w:p>
            <w:pPr>
              <w:pStyle w:val="Compact"/>
            </w:pPr>
            <w:r>
              <w:t xml:space="preserve">Iniciales one-off</w:t>
            </w:r>
          </w:p>
        </w:tc>
        <w:tc>
          <w:tcPr/>
          <w:p>
            <w:pPr>
              <w:pStyle w:val="Compact"/>
            </w:pPr>
            <w:r>
              <w:t xml:space="preserve">($220)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($220)</w:t>
            </w:r>
          </w:p>
        </w:tc>
      </w:tr>
      <w:tr>
        <w:tc>
          <w:tcPr/>
          <w:p>
            <w:pPr>
              <w:pStyle w:val="Compact"/>
            </w:pPr>
            <w:r>
              <w:t xml:space="preserve">Operativos recurrentes</w:t>
            </w:r>
          </w:p>
        </w:tc>
        <w:tc>
          <w:tcPr/>
          <w:p>
            <w:pPr>
              <w:pStyle w:val="Compact"/>
            </w:pPr>
            <w:r>
              <w:t xml:space="preserve">–</w:t>
            </w:r>
          </w:p>
        </w:tc>
        <w:tc>
          <w:tcPr/>
          <w:p>
            <w:pPr>
              <w:pStyle w:val="Compact"/>
            </w:pPr>
            <w:r>
              <w:t xml:space="preserve">($130)</w:t>
            </w:r>
          </w:p>
        </w:tc>
        <w:tc>
          <w:tcPr/>
          <w:p>
            <w:pPr>
              <w:pStyle w:val="Compact"/>
            </w:pPr>
            <w:r>
              <w:t xml:space="preserve">($110)</w:t>
            </w:r>
          </w:p>
        </w:tc>
        <w:tc>
          <w:tcPr/>
          <w:p>
            <w:pPr>
              <w:pStyle w:val="Compact"/>
            </w:pPr>
            <w:r>
              <w:t xml:space="preserve">($115)</w:t>
            </w:r>
          </w:p>
        </w:tc>
        <w:tc>
          <w:tcPr/>
          <w:p>
            <w:pPr>
              <w:pStyle w:val="Compact"/>
            </w:pPr>
            <w:r>
              <w:t xml:space="preserve">($120)</w:t>
            </w:r>
          </w:p>
        </w:tc>
        <w:tc>
          <w:tcPr/>
          <w:p>
            <w:pPr>
              <w:pStyle w:val="Compact"/>
            </w:pPr>
            <w:r>
              <w:t xml:space="preserve">($475)</w:t>
            </w:r>
          </w:p>
        </w:tc>
      </w:tr>
      <w:tr>
        <w:tc>
          <w:tcPr/>
          <w:p>
            <w:pPr>
              <w:pStyle w:val="Compact"/>
            </w:pPr>
            <w:r>
              <w:rPr>
                <w:b/>
                <w:bCs/>
              </w:rPr>
              <w:t xml:space="preserve">Flujo neto pre-venta terreno</w:t>
            </w:r>
          </w:p>
        </w:tc>
        <w:tc>
          <w:tcPr/>
          <w:p>
            <w:pPr>
              <w:pStyle w:val="Compact"/>
            </w:pPr>
            <w:r>
              <w:t xml:space="preserve">$1,280</w:t>
            </w:r>
          </w:p>
        </w:tc>
        <w:tc>
          <w:tcPr/>
          <w:p>
            <w:pPr>
              <w:pStyle w:val="Compact"/>
            </w:pPr>
            <w:r>
              <w:t xml:space="preserve">$1,036</w:t>
            </w:r>
          </w:p>
        </w:tc>
        <w:tc>
          <w:tcPr/>
          <w:p>
            <w:pPr>
              <w:pStyle w:val="Compact"/>
            </w:pPr>
            <w:r>
              <w:t xml:space="preserve">$1,173</w:t>
            </w:r>
          </w:p>
        </w:tc>
        <w:tc>
          <w:tcPr/>
          <w:p>
            <w:pPr>
              <w:pStyle w:val="Compact"/>
            </w:pPr>
            <w:r>
              <w:t xml:space="preserve">$1,322</w:t>
            </w:r>
          </w:p>
        </w:tc>
        <w:tc>
          <w:tcPr/>
          <w:p>
            <w:pPr>
              <w:pStyle w:val="Compact"/>
            </w:pPr>
            <w:r>
              <w:t xml:space="preserve">$1,489</w:t>
            </w:r>
          </w:p>
        </w:tc>
        <w:tc>
          <w:tcPr/>
          <w:p>
            <w:pPr>
              <w:pStyle w:val="Compact"/>
            </w:pPr>
            <w:r>
              <w:t xml:space="preserve">$6,300</w:t>
            </w:r>
          </w:p>
        </w:tc>
      </w:tr>
      <w:tr>
        <w:tc>
          <w:tcPr/>
          <w:p>
            <w:pPr>
              <w:pStyle w:val="Compact"/>
            </w:pPr>
            <w:r>
              <w:rPr>
                <w:b/>
                <w:bCs/>
              </w:rPr>
              <w:t xml:space="preserve">Venta terreno bruto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$8,942</w:t>
            </w:r>
          </w:p>
        </w:tc>
        <w:tc>
          <w:tcPr/>
          <w:p>
            <w:pPr>
              <w:pStyle w:val="Compact"/>
            </w:pPr>
            <w:r>
              <w:t xml:space="preserve">$8,942</w:t>
            </w:r>
          </w:p>
        </w:tc>
      </w:tr>
      <w:tr>
        <w:tc>
          <w:tcPr/>
          <w:p>
            <w:pPr>
              <w:pStyle w:val="Compact"/>
            </w:pPr>
            <w:r>
              <w:t xml:space="preserve">Imp. Alcabala + venta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($288)</w:t>
            </w:r>
          </w:p>
        </w:tc>
        <w:tc>
          <w:tcPr/>
          <w:p>
            <w:pPr>
              <w:pStyle w:val="Compact"/>
            </w:pPr>
            <w:r>
              <w:t xml:space="preserve">($288)</w:t>
            </w:r>
          </w:p>
        </w:tc>
      </w:tr>
      <w:tr>
        <w:tc>
          <w:tcPr/>
          <w:p>
            <w:pPr>
              <w:pStyle w:val="Compact"/>
            </w:pPr>
            <w:r>
              <w:t xml:space="preserve">IR sobre ganancia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($1,320)</w:t>
            </w:r>
          </w:p>
        </w:tc>
        <w:tc>
          <w:tcPr/>
          <w:p>
            <w:pPr>
              <w:pStyle w:val="Compact"/>
            </w:pPr>
            <w:r>
              <w:t xml:space="preserve">($1,320)</w:t>
            </w:r>
          </w:p>
        </w:tc>
      </w:tr>
      <w:tr>
        <w:tc>
          <w:tcPr/>
          <w:p>
            <w:pPr>
              <w:pStyle w:val="Compact"/>
            </w:pPr>
            <w:r>
              <w:t xml:space="preserve">Costos y comisiones venta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($250)</w:t>
            </w:r>
          </w:p>
        </w:tc>
        <w:tc>
          <w:tcPr/>
          <w:p>
            <w:pPr>
              <w:pStyle w:val="Compact"/>
            </w:pPr>
            <w:r>
              <w:t xml:space="preserve">($250)</w:t>
            </w:r>
          </w:p>
        </w:tc>
      </w:tr>
      <w:tr>
        <w:tc>
          <w:tcPr/>
          <w:p>
            <w:pPr>
              <w:pStyle w:val="Compact"/>
            </w:pPr>
            <w:r>
              <w:rPr>
                <w:b/>
                <w:bCs/>
              </w:rPr>
              <w:t xml:space="preserve">Distribución a tokens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$7,084</w:t>
            </w:r>
          </w:p>
        </w:tc>
        <w:tc>
          <w:tcPr/>
          <w:p>
            <w:pPr>
              <w:pStyle w:val="Compact"/>
            </w:pPr>
            <w:r>
              <w:rPr>
                <w:b/>
                <w:bCs/>
              </w:rPr>
              <w:t xml:space="preserve">$7,084</w:t>
            </w:r>
          </w:p>
        </w:tc>
      </w:tr>
    </w:tbl>
    <w:p>
      <w:pPr>
        <w:pStyle w:val="BodyText"/>
      </w:pPr>
      <w:r>
        <w:rPr>
          <w:i/>
          <w:iCs/>
        </w:rPr>
        <w:t xml:space="preserve">(Notas: Ingresos tokens 2026 incluye preventa+emisión A1. Costos operativos 2026 son estructuración. Distribución a tokens 2030 es residuo tras venta. Cifras en miles USD aproximados por redondeo.)</w:t>
      </w:r>
    </w:p>
    <w:p>
      <w:pPr>
        <w:pStyle w:val="Compact"/>
        <w:numPr>
          <w:ilvl w:val="0"/>
          <w:numId w:val="1014"/>
        </w:numPr>
      </w:pPr>
      <w:r>
        <w:rPr>
          <w:i/>
          <w:iCs/>
        </w:rPr>
        <w:t xml:space="preserve">Tabla: Flujo Escenario Conservador (US$ ‘000)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Concepto</w:t>
            </w:r>
          </w:p>
        </w:tc>
        <w:tc>
          <w:tcPr/>
          <w:p>
            <w:pPr>
              <w:pStyle w:val="Compact"/>
            </w:pPr>
            <w:r>
              <w:t xml:space="preserve">2026</w:t>
            </w:r>
          </w:p>
        </w:tc>
        <w:tc>
          <w:tcPr/>
          <w:p>
            <w:pPr>
              <w:pStyle w:val="Compact"/>
            </w:pPr>
            <w:r>
              <w:t xml:space="preserve">2027</w:t>
            </w:r>
          </w:p>
        </w:tc>
        <w:tc>
          <w:tcPr/>
          <w:p>
            <w:pPr>
              <w:pStyle w:val="Compact"/>
            </w:pPr>
            <w:r>
              <w:t xml:space="preserve">2028</w:t>
            </w:r>
          </w:p>
        </w:tc>
        <w:tc>
          <w:tcPr/>
          <w:p>
            <w:pPr>
              <w:pStyle w:val="Compact"/>
            </w:pPr>
            <w:r>
              <w:t xml:space="preserve">2029</w:t>
            </w:r>
          </w:p>
        </w:tc>
        <w:tc>
          <w:tcPr/>
          <w:p>
            <w:pPr>
              <w:pStyle w:val="Compact"/>
            </w:pPr>
            <w:r>
              <w:t xml:space="preserve">2030</w:t>
            </w:r>
          </w:p>
        </w:tc>
        <w:tc>
          <w:tcPr/>
          <w:p>
            <w:pPr>
              <w:pStyle w:val="Compact"/>
            </w:pPr>
            <w:r>
              <w:t xml:space="preserve">Total</w:t>
            </w:r>
          </w:p>
        </w:tc>
      </w:tr>
      <w:tr>
        <w:tc>
          <w:tcPr/>
          <w:p>
            <w:pPr>
              <w:pStyle w:val="Compact"/>
            </w:pPr>
            <w:r>
              <w:t xml:space="preserve">Ingresos tokens</w:t>
            </w:r>
          </w:p>
        </w:tc>
        <w:tc>
          <w:tcPr/>
          <w:p>
            <w:pPr>
              <w:pStyle w:val="Compact"/>
            </w:pPr>
            <w:r>
              <w:t xml:space="preserve">$1,500</w:t>
            </w:r>
          </w:p>
        </w:tc>
        <w:tc>
          <w:tcPr/>
          <w:p>
            <w:pPr>
              <w:pStyle w:val="Compact"/>
            </w:pPr>
            <w:r>
              <w:t xml:space="preserve">$1,099</w:t>
            </w:r>
          </w:p>
        </w:tc>
        <w:tc>
          <w:tcPr/>
          <w:p>
            <w:pPr>
              <w:pStyle w:val="Compact"/>
            </w:pPr>
            <w:r>
              <w:t xml:space="preserve">$1,165</w:t>
            </w:r>
          </w:p>
        </w:tc>
        <w:tc>
          <w:tcPr/>
          <w:p>
            <w:pPr>
              <w:pStyle w:val="Compact"/>
            </w:pPr>
            <w:r>
              <w:t xml:space="preserve">$1,235</w:t>
            </w:r>
          </w:p>
        </w:tc>
        <w:tc>
          <w:tcPr/>
          <w:p>
            <w:pPr>
              <w:pStyle w:val="Compact"/>
            </w:pPr>
            <w:r>
              <w:t xml:space="preserve">$1,379</w:t>
            </w:r>
          </w:p>
        </w:tc>
        <w:tc>
          <w:tcPr/>
          <w:p>
            <w:pPr>
              <w:pStyle w:val="Compact"/>
            </w:pPr>
            <w:r>
              <w:t xml:space="preserve">$6,378</w:t>
            </w:r>
          </w:p>
        </w:tc>
      </w:tr>
      <w:tr>
        <w:tc>
          <w:tcPr/>
          <w:p>
            <w:pPr>
              <w:pStyle w:val="Compact"/>
            </w:pPr>
            <w:r>
              <w:t xml:space="preserve">Costos operativos</w:t>
            </w:r>
          </w:p>
        </w:tc>
        <w:tc>
          <w:tcPr/>
          <w:p>
            <w:pPr>
              <w:pStyle w:val="Compact"/>
            </w:pPr>
            <w:r>
              <w:t xml:space="preserve">($220)</w:t>
            </w:r>
          </w:p>
        </w:tc>
        <w:tc>
          <w:tcPr/>
          <w:p>
            <w:pPr>
              <w:pStyle w:val="Compact"/>
            </w:pPr>
            <w:r>
              <w:t xml:space="preserve">($130)</w:t>
            </w:r>
          </w:p>
        </w:tc>
        <w:tc>
          <w:tcPr/>
          <w:p>
            <w:pPr>
              <w:pStyle w:val="Compact"/>
            </w:pPr>
            <w:r>
              <w:t xml:space="preserve">($110)</w:t>
            </w:r>
          </w:p>
        </w:tc>
        <w:tc>
          <w:tcPr/>
          <w:p>
            <w:pPr>
              <w:pStyle w:val="Compact"/>
            </w:pPr>
            <w:r>
              <w:t xml:space="preserve">($110)</w:t>
            </w:r>
          </w:p>
        </w:tc>
        <w:tc>
          <w:tcPr/>
          <w:p>
            <w:pPr>
              <w:pStyle w:val="Compact"/>
            </w:pPr>
            <w:r>
              <w:t xml:space="preserve">($115)</w:t>
            </w:r>
          </w:p>
        </w:tc>
        <w:tc>
          <w:tcPr/>
          <w:p>
            <w:pPr>
              <w:pStyle w:val="Compact"/>
            </w:pPr>
            <w:r>
              <w:t xml:space="preserve">($685)</w:t>
            </w:r>
          </w:p>
        </w:tc>
      </w:tr>
      <w:tr>
        <w:tc>
          <w:tcPr/>
          <w:p>
            <w:pPr>
              <w:pStyle w:val="Compact"/>
            </w:pPr>
            <w:r>
              <w:t xml:space="preserve">Flujo neto pre-venta</w:t>
            </w:r>
          </w:p>
        </w:tc>
        <w:tc>
          <w:tcPr/>
          <w:p>
            <w:pPr>
              <w:pStyle w:val="Compact"/>
            </w:pPr>
            <w:r>
              <w:t xml:space="preserve">$1,280</w:t>
            </w:r>
          </w:p>
        </w:tc>
        <w:tc>
          <w:tcPr/>
          <w:p>
            <w:pPr>
              <w:pStyle w:val="Compact"/>
            </w:pPr>
            <w:r>
              <w:t xml:space="preserve">$969</w:t>
            </w:r>
          </w:p>
        </w:tc>
        <w:tc>
          <w:tcPr/>
          <w:p>
            <w:pPr>
              <w:pStyle w:val="Compact"/>
            </w:pPr>
            <w:r>
              <w:t xml:space="preserve">$1,055</w:t>
            </w:r>
          </w:p>
        </w:tc>
        <w:tc>
          <w:tcPr/>
          <w:p>
            <w:pPr>
              <w:pStyle w:val="Compact"/>
            </w:pPr>
            <w:r>
              <w:t xml:space="preserve">$1,125</w:t>
            </w:r>
          </w:p>
        </w:tc>
        <w:tc>
          <w:tcPr/>
          <w:p>
            <w:pPr>
              <w:pStyle w:val="Compact"/>
            </w:pPr>
            <w:r>
              <w:t xml:space="preserve">$1,264</w:t>
            </w:r>
          </w:p>
        </w:tc>
        <w:tc>
          <w:tcPr/>
          <w:p>
            <w:pPr>
              <w:pStyle w:val="Compact"/>
            </w:pPr>
            <w:r>
              <w:t xml:space="preserve">$5,693</w:t>
            </w:r>
          </w:p>
        </w:tc>
      </w:tr>
      <w:tr>
        <w:tc>
          <w:tcPr/>
          <w:p>
            <w:pPr>
              <w:pStyle w:val="Compact"/>
            </w:pPr>
            <w:r>
              <w:t xml:space="preserve">Venta terreno bruto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$7,362</w:t>
            </w:r>
          </w:p>
        </w:tc>
        <w:tc>
          <w:tcPr/>
          <w:p>
            <w:pPr>
              <w:pStyle w:val="Compact"/>
            </w:pPr>
            <w:r>
              <w:t xml:space="preserve">$7,362</w:t>
            </w:r>
          </w:p>
        </w:tc>
      </w:tr>
      <w:tr>
        <w:tc>
          <w:tcPr/>
          <w:p>
            <w:pPr>
              <w:pStyle w:val="Compact"/>
            </w:pPr>
            <w:r>
              <w:t xml:space="preserve">Imp. + costos venta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($1,463)</w:t>
            </w:r>
          </w:p>
        </w:tc>
        <w:tc>
          <w:tcPr/>
          <w:p>
            <w:pPr>
              <w:pStyle w:val="Compact"/>
            </w:pPr>
            <w:r>
              <w:t xml:space="preserve">($1,463)</w:t>
            </w:r>
          </w:p>
        </w:tc>
      </w:tr>
      <w:tr>
        <w:tc>
          <w:tcPr/>
          <w:p>
            <w:pPr>
              <w:pStyle w:val="Compact"/>
            </w:pPr>
            <w:r>
              <w:t xml:space="preserve">Distribución a tokens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$5,899</w:t>
            </w:r>
          </w:p>
        </w:tc>
        <w:tc>
          <w:tcPr/>
          <w:p>
            <w:pPr>
              <w:pStyle w:val="Compact"/>
            </w:pPr>
            <w:r>
              <w:t xml:space="preserve">$5,899</w:t>
            </w:r>
          </w:p>
        </w:tc>
      </w:tr>
    </w:tbl>
    <w:p>
      <w:pPr>
        <w:pStyle w:val="Compact"/>
        <w:numPr>
          <w:ilvl w:val="0"/>
          <w:numId w:val="1015"/>
        </w:numPr>
      </w:pPr>
      <w:r>
        <w:rPr>
          <w:i/>
          <w:iCs/>
        </w:rPr>
        <w:t xml:space="preserve">Tabla: Flujo Escenario Agresivo (US$ ‘000)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Concepto</w:t>
            </w:r>
          </w:p>
        </w:tc>
        <w:tc>
          <w:tcPr/>
          <w:p>
            <w:pPr>
              <w:pStyle w:val="Compact"/>
            </w:pPr>
            <w:r>
              <w:t xml:space="preserve">2026</w:t>
            </w:r>
          </w:p>
        </w:tc>
        <w:tc>
          <w:tcPr/>
          <w:p>
            <w:pPr>
              <w:pStyle w:val="Compact"/>
            </w:pPr>
            <w:r>
              <w:t xml:space="preserve">2027</w:t>
            </w:r>
          </w:p>
        </w:tc>
        <w:tc>
          <w:tcPr/>
          <w:p>
            <w:pPr>
              <w:pStyle w:val="Compact"/>
            </w:pPr>
            <w:r>
              <w:t xml:space="preserve">2028</w:t>
            </w:r>
          </w:p>
        </w:tc>
        <w:tc>
          <w:tcPr/>
          <w:p>
            <w:pPr>
              <w:pStyle w:val="Compact"/>
            </w:pPr>
            <w:r>
              <w:t xml:space="preserve">2029</w:t>
            </w:r>
          </w:p>
        </w:tc>
        <w:tc>
          <w:tcPr/>
          <w:p>
            <w:pPr>
              <w:pStyle w:val="Compact"/>
            </w:pPr>
            <w:r>
              <w:t xml:space="preserve">2030</w:t>
            </w:r>
          </w:p>
        </w:tc>
        <w:tc>
          <w:tcPr/>
          <w:p>
            <w:pPr>
              <w:pStyle w:val="Compact"/>
            </w:pPr>
            <w:r>
              <w:t xml:space="preserve">Total</w:t>
            </w:r>
          </w:p>
        </w:tc>
      </w:tr>
      <w:tr>
        <w:tc>
          <w:tcPr/>
          <w:p>
            <w:pPr>
              <w:pStyle w:val="Compact"/>
            </w:pPr>
            <w:r>
              <w:t xml:space="preserve">Ingresos tokens</w:t>
            </w:r>
          </w:p>
        </w:tc>
        <w:tc>
          <w:tcPr/>
          <w:p>
            <w:pPr>
              <w:pStyle w:val="Compact"/>
            </w:pPr>
            <w:r>
              <w:t xml:space="preserve">$1,500</w:t>
            </w:r>
          </w:p>
        </w:tc>
        <w:tc>
          <w:tcPr/>
          <w:p>
            <w:pPr>
              <w:pStyle w:val="Compact"/>
            </w:pPr>
            <w:r>
              <w:t xml:space="preserve">$1,233</w:t>
            </w:r>
          </w:p>
        </w:tc>
        <w:tc>
          <w:tcPr/>
          <w:p>
            <w:pPr>
              <w:pStyle w:val="Compact"/>
            </w:pPr>
            <w:r>
              <w:t xml:space="preserve">$1,404</w:t>
            </w:r>
          </w:p>
        </w:tc>
        <w:tc>
          <w:tcPr/>
          <w:p>
            <w:pPr>
              <w:pStyle w:val="Compact"/>
            </w:pPr>
            <w:r>
              <w:t xml:space="preserve">$1,615</w:t>
            </w:r>
          </w:p>
        </w:tc>
        <w:tc>
          <w:tcPr/>
          <w:p>
            <w:pPr>
              <w:pStyle w:val="Compact"/>
            </w:pPr>
            <w:r>
              <w:t xml:space="preserve">$1,746</w:t>
            </w:r>
          </w:p>
        </w:tc>
        <w:tc>
          <w:tcPr/>
          <w:p>
            <w:pPr>
              <w:pStyle w:val="Compact"/>
            </w:pPr>
            <w:r>
              <w:t xml:space="preserve">$7,498</w:t>
            </w:r>
          </w:p>
        </w:tc>
      </w:tr>
      <w:tr>
        <w:tc>
          <w:tcPr/>
          <w:p>
            <w:pPr>
              <w:pStyle w:val="Compact"/>
            </w:pPr>
            <w:r>
              <w:t xml:space="preserve">Costos operativos</w:t>
            </w:r>
          </w:p>
        </w:tc>
        <w:tc>
          <w:tcPr/>
          <w:p>
            <w:pPr>
              <w:pStyle w:val="Compact"/>
            </w:pPr>
            <w:r>
              <w:t xml:space="preserve">($220)</w:t>
            </w:r>
          </w:p>
        </w:tc>
        <w:tc>
          <w:tcPr/>
          <w:p>
            <w:pPr>
              <w:pStyle w:val="Compact"/>
            </w:pPr>
            <w:r>
              <w:t xml:space="preserve">($140)</w:t>
            </w:r>
          </w:p>
        </w:tc>
        <w:tc>
          <w:tcPr/>
          <w:p>
            <w:pPr>
              <w:pStyle w:val="Compact"/>
            </w:pPr>
            <w:r>
              <w:t xml:space="preserve">($120)</w:t>
            </w:r>
          </w:p>
        </w:tc>
        <w:tc>
          <w:tcPr/>
          <w:p>
            <w:pPr>
              <w:pStyle w:val="Compact"/>
            </w:pPr>
            <w:r>
              <w:t xml:space="preserve">($130)</w:t>
            </w:r>
          </w:p>
        </w:tc>
        <w:tc>
          <w:tcPr/>
          <w:p>
            <w:pPr>
              <w:pStyle w:val="Compact"/>
            </w:pPr>
            <w:r>
              <w:t xml:space="preserve">($140)</w:t>
            </w:r>
          </w:p>
        </w:tc>
        <w:tc>
          <w:tcPr/>
          <w:p>
            <w:pPr>
              <w:pStyle w:val="Compact"/>
            </w:pPr>
            <w:r>
              <w:t xml:space="preserve">($750)</w:t>
            </w:r>
          </w:p>
        </w:tc>
      </w:tr>
      <w:tr>
        <w:tc>
          <w:tcPr/>
          <w:p>
            <w:pPr>
              <w:pStyle w:val="Compact"/>
            </w:pPr>
            <w:r>
              <w:t xml:space="preserve">Flujo neto pre-venta</w:t>
            </w:r>
          </w:p>
        </w:tc>
        <w:tc>
          <w:tcPr/>
          <w:p>
            <w:pPr>
              <w:pStyle w:val="Compact"/>
            </w:pPr>
            <w:r>
              <w:t xml:space="preserve">$1,280</w:t>
            </w:r>
          </w:p>
        </w:tc>
        <w:tc>
          <w:tcPr/>
          <w:p>
            <w:pPr>
              <w:pStyle w:val="Compact"/>
            </w:pPr>
            <w:r>
              <w:t xml:space="preserve">$1,093</w:t>
            </w:r>
          </w:p>
        </w:tc>
        <w:tc>
          <w:tcPr/>
          <w:p>
            <w:pPr>
              <w:pStyle w:val="Compact"/>
            </w:pPr>
            <w:r>
              <w:t xml:space="preserve">$1,284</w:t>
            </w:r>
          </w:p>
        </w:tc>
        <w:tc>
          <w:tcPr/>
          <w:p>
            <w:pPr>
              <w:pStyle w:val="Compact"/>
            </w:pPr>
            <w:r>
              <w:t xml:space="preserve">$1,485</w:t>
            </w:r>
          </w:p>
        </w:tc>
        <w:tc>
          <w:tcPr/>
          <w:p>
            <w:pPr>
              <w:pStyle w:val="Compact"/>
            </w:pPr>
            <w:r>
              <w:t xml:space="preserve">$1,606</w:t>
            </w:r>
          </w:p>
        </w:tc>
        <w:tc>
          <w:tcPr/>
          <w:p>
            <w:pPr>
              <w:pStyle w:val="Compact"/>
            </w:pPr>
            <w:r>
              <w:t xml:space="preserve">$6,749</w:t>
            </w:r>
          </w:p>
        </w:tc>
      </w:tr>
      <w:tr>
        <w:tc>
          <w:tcPr/>
          <w:p>
            <w:pPr>
              <w:pStyle w:val="Compact"/>
            </w:pPr>
            <w:r>
              <w:t xml:space="preserve">Venta terreno bruto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$10,132</w:t>
            </w:r>
          </w:p>
        </w:tc>
        <w:tc>
          <w:tcPr/>
          <w:p>
            <w:pPr>
              <w:pStyle w:val="Compact"/>
            </w:pPr>
            <w:r>
              <w:t xml:space="preserve">$10,132</w:t>
            </w:r>
          </w:p>
        </w:tc>
      </w:tr>
      <w:tr>
        <w:tc>
          <w:tcPr/>
          <w:p>
            <w:pPr>
              <w:pStyle w:val="Compact"/>
            </w:pPr>
            <w:r>
              <w:t xml:space="preserve">Imp. + costos venta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($1,980)</w:t>
            </w:r>
          </w:p>
        </w:tc>
        <w:tc>
          <w:tcPr/>
          <w:p>
            <w:pPr>
              <w:pStyle w:val="Compact"/>
            </w:pPr>
            <w:r>
              <w:t xml:space="preserve">($1,980)</w:t>
            </w:r>
          </w:p>
        </w:tc>
      </w:tr>
      <w:tr>
        <w:tc>
          <w:tcPr/>
          <w:p>
            <w:pPr>
              <w:pStyle w:val="Compact"/>
            </w:pPr>
            <w:r>
              <w:t xml:space="preserve">Distribución a tokens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$8,152</w:t>
            </w:r>
          </w:p>
        </w:tc>
        <w:tc>
          <w:tcPr/>
          <w:p>
            <w:pPr>
              <w:pStyle w:val="Compact"/>
            </w:pPr>
            <w:r>
              <w:t xml:space="preserve">$8,152</w:t>
            </w:r>
          </w:p>
        </w:tc>
      </w:tr>
    </w:tbl>
    <w:p>
      <w:pPr>
        <w:pStyle w:val="BodyText"/>
      </w:pPr>
      <w:r>
        <w:t xml:space="preserve">De estas tablas se desprende la distribución neta final ya mencionada:</w:t>
      </w:r>
      <w:r>
        <w:t xml:space="preserve"> </w:t>
      </w:r>
      <w:r>
        <w:t xml:space="preserve">- Conservador: ~$5.9MM neto a inversionistas.</w:t>
      </w:r>
      <w:r>
        <w:t xml:space="preserve"> </w:t>
      </w:r>
      <w:r>
        <w:t xml:space="preserve">- Base: ~$7.1MM neto.</w:t>
      </w:r>
      <w:r>
        <w:t xml:space="preserve"> </w:t>
      </w:r>
      <w:r>
        <w:t xml:space="preserve">- Agresivo: ~$8.15MM neto.</w:t>
      </w:r>
    </w:p>
    <w:p>
      <w:pPr>
        <w:pStyle w:val="BodyText"/>
      </w:pPr>
      <w:r>
        <w:rPr>
          <w:b/>
          <w:bCs/>
        </w:rPr>
        <w:t xml:space="preserve">B.3 Indicadores de Rentabilidad y Break-even:</w:t>
      </w:r>
    </w:p>
    <w:p>
      <w:pPr>
        <w:pStyle w:val="Compact"/>
        <w:numPr>
          <w:ilvl w:val="0"/>
          <w:numId w:val="1016"/>
        </w:numPr>
      </w:pPr>
      <w:r>
        <w:rPr>
          <w:b/>
          <w:bCs/>
        </w:rPr>
        <w:t xml:space="preserve">TIR del Proyecto (promotores):</w:t>
      </w:r>
      <w:r>
        <w:t xml:space="preserve"> </w:t>
      </w:r>
      <w:r>
        <w:t xml:space="preserve">Calculada suponiendo desembolso inicial = costo terreno + gastos, y flujos entrantes = sumatoria de ventas tokens + residual venta terreno (lo que en la práctica, promotor retiene lo no distribuido en tokens).</w:t>
      </w:r>
    </w:p>
    <w:p>
      <w:pPr>
        <w:pStyle w:val="Compact"/>
        <w:numPr>
          <w:ilvl w:val="0"/>
          <w:numId w:val="1016"/>
        </w:numPr>
      </w:pPr>
      <w:r>
        <w:t xml:space="preserve">Escenario cons.: ~11.9% anual.</w:t>
      </w:r>
    </w:p>
    <w:p>
      <w:pPr>
        <w:pStyle w:val="Compact"/>
        <w:numPr>
          <w:ilvl w:val="0"/>
          <w:numId w:val="1016"/>
        </w:numPr>
      </w:pPr>
      <w:r>
        <w:t xml:space="preserve">Base: ~16.3% anual.</w:t>
      </w:r>
    </w:p>
    <w:p>
      <w:pPr>
        <w:pStyle w:val="Compact"/>
        <w:numPr>
          <w:ilvl w:val="0"/>
          <w:numId w:val="1016"/>
        </w:numPr>
      </w:pPr>
      <w:r>
        <w:t xml:space="preserve">Agresivo: ~19.3% anual.</w:t>
      </w:r>
      <w:r>
        <w:t xml:space="preserve"> </w:t>
      </w:r>
      <w:r>
        <w:t xml:space="preserve">Estos valores reflejan atractivo para promotores (que asumen el riesgo inicial del activo).</w:t>
      </w:r>
    </w:p>
    <w:p>
      <w:pPr>
        <w:pStyle w:val="Compact"/>
        <w:numPr>
          <w:ilvl w:val="0"/>
          <w:numId w:val="1016"/>
        </w:numPr>
      </w:pPr>
      <w:r>
        <w:rPr>
          <w:b/>
          <w:bCs/>
        </w:rPr>
        <w:t xml:space="preserve">TIR Inversionista Token Pre-venta:</w:t>
      </w:r>
      <w:r>
        <w:t xml:space="preserve"> </w:t>
      </w:r>
      <w:r>
        <w:t xml:space="preserve">(Compra a 0.84, recibe neto final)</w:t>
      </w:r>
    </w:p>
    <w:p>
      <w:pPr>
        <w:pStyle w:val="Compact"/>
        <w:numPr>
          <w:ilvl w:val="0"/>
          <w:numId w:val="1016"/>
        </w:numPr>
      </w:pPr>
      <w:r>
        <w:t xml:space="preserve">Cons.: ~8.0% anual.</w:t>
      </w:r>
    </w:p>
    <w:p>
      <w:pPr>
        <w:pStyle w:val="Compact"/>
        <w:numPr>
          <w:ilvl w:val="0"/>
          <w:numId w:val="1016"/>
        </w:numPr>
      </w:pPr>
      <w:r>
        <w:t xml:space="preserve">Base: ~11.4% anual.</w:t>
      </w:r>
    </w:p>
    <w:p>
      <w:pPr>
        <w:pStyle w:val="Compact"/>
        <w:numPr>
          <w:ilvl w:val="0"/>
          <w:numId w:val="1016"/>
        </w:numPr>
      </w:pPr>
      <w:r>
        <w:t xml:space="preserve">Agresivo: ~15.1% anual.</w:t>
      </w:r>
    </w:p>
    <w:p>
      <w:pPr>
        <w:pStyle w:val="Compact"/>
        <w:numPr>
          <w:ilvl w:val="0"/>
          <w:numId w:val="1016"/>
        </w:numPr>
      </w:pPr>
      <w:r>
        <w:rPr>
          <w:b/>
          <w:bCs/>
        </w:rPr>
        <w:t xml:space="preserve">TIR Inversionista Token Lanzamiento:</w:t>
      </w:r>
      <w:r>
        <w:t xml:space="preserve"> </w:t>
      </w:r>
      <w:r>
        <w:t xml:space="preserve">(Compra a 1.20, recibe neto final)</w:t>
      </w:r>
    </w:p>
    <w:p>
      <w:pPr>
        <w:pStyle w:val="Compact"/>
        <w:numPr>
          <w:ilvl w:val="0"/>
          <w:numId w:val="1016"/>
        </w:numPr>
      </w:pPr>
      <w:r>
        <w:t xml:space="preserve">Cons.: ~0.6% anual (prácticamente breakeven).</w:t>
      </w:r>
    </w:p>
    <w:p>
      <w:pPr>
        <w:pStyle w:val="Compact"/>
        <w:numPr>
          <w:ilvl w:val="0"/>
          <w:numId w:val="1016"/>
        </w:numPr>
      </w:pPr>
      <w:r>
        <w:t xml:space="preserve">Base: ~4.4% anual.</w:t>
      </w:r>
    </w:p>
    <w:p>
      <w:pPr>
        <w:pStyle w:val="Compact"/>
        <w:numPr>
          <w:ilvl w:val="0"/>
          <w:numId w:val="1016"/>
        </w:numPr>
      </w:pPr>
      <w:r>
        <w:t xml:space="preserve">Agresivo: ~7.3% anual.</w:t>
      </w:r>
    </w:p>
    <w:p>
      <w:pPr>
        <w:pStyle w:val="Compact"/>
        <w:numPr>
          <w:ilvl w:val="0"/>
          <w:numId w:val="1016"/>
        </w:numPr>
      </w:pPr>
      <w:r>
        <w:rPr>
          <w:b/>
          <w:bCs/>
        </w:rPr>
        <w:t xml:space="preserve">Payback para inversionistas:</w:t>
      </w:r>
      <w:r>
        <w:t xml:space="preserve"> </w:t>
      </w:r>
      <w:r>
        <w:t xml:space="preserve">No aplica pago intermedio, recuperan capital al final. Sin embargo, si cuentan valor de reventa de token, un inversionista base que entró en 2026 vería su token revaluado por encima del costo ya desde 2028 (cuando precio &gt; $13.44, su neto eventual &gt;$12).</w:t>
      </w:r>
    </w:p>
    <w:p>
      <w:pPr>
        <w:pStyle w:val="Compact"/>
        <w:numPr>
          <w:ilvl w:val="0"/>
          <w:numId w:val="1016"/>
        </w:numPr>
      </w:pPr>
      <w:r>
        <w:rPr>
          <w:b/>
          <w:bCs/>
        </w:rPr>
        <w:t xml:space="preserve">Valor Presente Neto (VPN):</w:t>
      </w:r>
      <w:r>
        <w:t xml:space="preserve"> </w:t>
      </w:r>
      <w:r>
        <w:t xml:space="preserve">Asumiendo tasa de descuento requerida del inversionista ~10% (en USD):</w:t>
      </w:r>
    </w:p>
    <w:p>
      <w:pPr>
        <w:pStyle w:val="Compact"/>
        <w:numPr>
          <w:ilvl w:val="0"/>
          <w:numId w:val="1016"/>
        </w:numPr>
      </w:pPr>
      <w:r>
        <w:t xml:space="preserve">Para inversionista preventa: VPN positivo en todos escenarios (cons: leve +$50k por cada $1MM invertido; base: +$200k; aggr: +$400k).</w:t>
      </w:r>
    </w:p>
    <w:p>
      <w:pPr>
        <w:pStyle w:val="Compact"/>
        <w:numPr>
          <w:ilvl w:val="0"/>
          <w:numId w:val="1016"/>
        </w:numPr>
      </w:pPr>
      <w:r>
        <w:t xml:space="preserve">Para inversionista lanzamiento: VPN negativo en cons (-$150k), ligeramente negativo en base (-$30k), positivo en aggr (+$100k). Esto sugiere que al 10% costo capital, solo el escenario alto generaría valor fuerte a quien entra en base. Por tanto, tal vez su expectativa de retorno deberá ser menor (lo cual es plausible si es perfil conservador; 10% quizás muy alto para compararse, se puede argumentar que 6-8% es más realista para equivalentes a bonos/hibridos).</w:t>
      </w:r>
    </w:p>
    <w:p>
      <w:pPr>
        <w:pStyle w:val="Compact"/>
        <w:numPr>
          <w:ilvl w:val="0"/>
          <w:numId w:val="1016"/>
        </w:numPr>
      </w:pPr>
      <w:r>
        <w:rPr>
          <w:b/>
          <w:bCs/>
        </w:rPr>
        <w:t xml:space="preserve">Breakeven scenario:</w:t>
      </w:r>
      <w:r>
        <w:t xml:space="preserve"> </w:t>
      </w:r>
      <w:r>
        <w:t xml:space="preserve">Calculamos aproximadamente que si el precio final llegara a $130/m² (apenas +~3.5% CAGR, bien por debajo del conservador), el inversionista lanzamiento recuperaría su inversión neta sin pérdida. Ese sería el punto de equilibrio. Es decir, incluso con plusvalía muy baja, no habría pérdida nominal (aunque sí pérdida de oportunidad vs inflación).</w:t>
      </w:r>
    </w:p>
    <w:p>
      <w:pPr>
        <w:pStyle w:val="Compact"/>
        <w:numPr>
          <w:ilvl w:val="0"/>
          <w:numId w:val="1016"/>
        </w:numPr>
      </w:pPr>
      <w:r>
        <w:rPr>
          <w:b/>
          <w:bCs/>
        </w:rPr>
        <w:t xml:space="preserve">Apalancamiento:</w:t>
      </w:r>
      <w:r>
        <w:t xml:space="preserve"> </w:t>
      </w:r>
      <w:r>
        <w:t xml:space="preserve">No se usó deuda, por lo que no hay ratio D/E ni coberturas de interés que analizar. Esto elimina riesgo financiero pero a la vez modera retornos.</w:t>
      </w:r>
    </w:p>
    <w:p>
      <w:pPr>
        <w:pStyle w:val="FirstParagraph"/>
      </w:pPr>
      <w:r>
        <w:rPr>
          <w:b/>
          <w:bCs/>
        </w:rPr>
        <w:t xml:space="preserve">B.4 Metodología de Valuación del Terreno:</w:t>
      </w:r>
    </w:p>
    <w:p>
      <w:pPr>
        <w:pStyle w:val="BodyText"/>
      </w:pPr>
      <w:r>
        <w:t xml:space="preserve">Para garantizar objetividad en la valorización anual del activo subyacente, se definió el siguiente método:</w:t>
      </w:r>
      <w:r>
        <w:t xml:space="preserve"> </w:t>
      </w:r>
      <w:r>
        <w:t xml:space="preserve">- Se contratará una</w:t>
      </w:r>
      <w:r>
        <w:t xml:space="preserve"> </w:t>
      </w:r>
      <w:r>
        <w:rPr>
          <w:b/>
          <w:bCs/>
        </w:rPr>
        <w:t xml:space="preserve">empresa tasadora independiente</w:t>
      </w:r>
      <w:r>
        <w:t xml:space="preserve"> </w:t>
      </w:r>
      <w:r>
        <w:t xml:space="preserve">registrada en el Registro de Tasadores de la SMV y con experiencia en valorización de terrenos grandes. Esta emitirá un informe anual cada Q3 (de 2026 a 2030).</w:t>
      </w:r>
      <w:r>
        <w:t xml:space="preserve"> </w:t>
      </w:r>
      <w:r>
        <w:t xml:space="preserve">- El método de valuación principal será el</w:t>
      </w:r>
      <w:r>
        <w:t xml:space="preserve"> </w:t>
      </w:r>
      <w:r>
        <w:rPr>
          <w:b/>
          <w:bCs/>
        </w:rPr>
        <w:t xml:space="preserve">método residual estático</w:t>
      </w:r>
      <w:r>
        <w:t xml:space="preserve">, complementado con</w:t>
      </w:r>
      <w:r>
        <w:t xml:space="preserve"> </w:t>
      </w:r>
      <w:r>
        <w:rPr>
          <w:b/>
          <w:bCs/>
        </w:rPr>
        <w:t xml:space="preserve">método comparativo de mercado</w:t>
      </w:r>
      <w:r>
        <w:t xml:space="preserve">:</w:t>
      </w:r>
      <w:r>
        <w:t xml:space="preserve"> </w:t>
      </w:r>
      <w:r>
        <w:t xml:space="preserve">-</w:t>
      </w:r>
      <w:r>
        <w:t xml:space="preserve"> </w:t>
      </w:r>
      <w:r>
        <w:rPr>
          <w:i/>
          <w:iCs/>
        </w:rPr>
        <w:t xml:space="preserve">Residual:</w:t>
      </w:r>
      <w:r>
        <w:t xml:space="preserve"> </w:t>
      </w:r>
      <w:r>
        <w:t xml:space="preserve">proyectando un posible desarrollo futuro del terreno según el uso más probable (por ejemplo, si zonificación es habilitable residencial, considerar cuántos lotes o departamentos podrían caber, a qué precio de venta, menos costos de urbanización, etc., y traer a valor presente). Esto captura la plusvalía potencial intrínseca.</w:t>
      </w:r>
      <w:r>
        <w:t xml:space="preserve"> </w:t>
      </w:r>
      <w:r>
        <w:t xml:space="preserve">-</w:t>
      </w:r>
      <w:r>
        <w:t xml:space="preserve"> </w:t>
      </w:r>
      <w:r>
        <w:rPr>
          <w:i/>
          <w:iCs/>
        </w:rPr>
        <w:t xml:space="preserve">Comparativo:</w:t>
      </w:r>
      <w:r>
        <w:t xml:space="preserve"> </w:t>
      </w:r>
      <w:r>
        <w:t xml:space="preserve">tomando referencias de ventas recientes de terrenos de características similares en la zona sur (ajustando por ubicación, tamaño, habilitación). A falta de muchas transacciones en la zona exacta, se pueden considerar analogías (Lurín industrial, Chillca etc. adaptando).</w:t>
      </w:r>
      <w:r>
        <w:t xml:space="preserve"> </w:t>
      </w:r>
      <w:r>
        <w:t xml:space="preserve">- Adicionalmente, se incluirá un factor de valoración por</w:t>
      </w:r>
      <w:r>
        <w:t xml:space="preserve"> </w:t>
      </w:r>
      <w:r>
        <w:rPr>
          <w:b/>
          <w:bCs/>
        </w:rPr>
        <w:t xml:space="preserve">catalizadores intangibles</w:t>
      </w:r>
      <w:r>
        <w:t xml:space="preserve">: la tasación incorporará en su análisis el estado del proyecto tren al momento (e.g. “50% de avance de obra” = agrega X% de valor probable vs “0%”), y los avances del plan urbano (e.g. “ordenanzas implementadas en distrito, inversion privada Y invirtiendo Z”). Se planea desarrollar junto al tasador una</w:t>
      </w:r>
      <w:r>
        <w:t xml:space="preserve"> </w:t>
      </w:r>
      <w:r>
        <w:rPr>
          <w:b/>
          <w:bCs/>
        </w:rPr>
        <w:t xml:space="preserve">matriz de impacto</w:t>
      </w:r>
      <w:r>
        <w:t xml:space="preserve"> </w:t>
      </w:r>
      <w:r>
        <w:t xml:space="preserve">de estos catalizadores para que su consideración sea consistente año a año. Por ejemplo: se estimó que con tren completado, plusvalía = +50% sobre valor base. Si a 2028 el tren está 25% completado, se podría reflejar +12.5% de valor, etc., modulando con criterio profesional.</w:t>
      </w:r>
      <w:r>
        <w:t xml:space="preserve"> </w:t>
      </w:r>
      <w:r>
        <w:t xml:space="preserve">- La valuación final anual será un rango (valor mínimo – más probable – máximo). Nosotros adoptaremos el</w:t>
      </w:r>
      <w:r>
        <w:t xml:space="preserve"> </w:t>
      </w:r>
      <w:r>
        <w:rPr>
          <w:b/>
          <w:bCs/>
        </w:rPr>
        <w:t xml:space="preserve">valor más probable</w:t>
      </w:r>
      <w:r>
        <w:t xml:space="preserve"> </w:t>
      </w:r>
      <w:r>
        <w:t xml:space="preserve">para determinar el nuevo precio por m². Sin embargo, por prudencia, podríamos optar por fijar precio de emisión en el extremo bajo del rango (si queremos ser conservadores) para dar margen de ganancia a nuevos inversores. Esto se decidirá en comité dependiendo apetito de demanda observada.</w:t>
      </w:r>
      <w:r>
        <w:t xml:space="preserve"> </w:t>
      </w:r>
      <w:r>
        <w:t xml:space="preserve">- Todos los informes de valuación serán compartidos íntegros con los inversionistas para su revisión (transparencia). Además, un</w:t>
      </w:r>
      <w:r>
        <w:t xml:space="preserve"> </w:t>
      </w:r>
      <w:r>
        <w:rPr>
          <w:b/>
          <w:bCs/>
        </w:rPr>
        <w:t xml:space="preserve">Comité de Valuación</w:t>
      </w:r>
      <w:r>
        <w:t xml:space="preserve"> </w:t>
      </w:r>
      <w:r>
        <w:t xml:space="preserve">interno revisará los supuestos claves de cada tasación. Si ese comité (que incluye al tasador, un miembro independiente y la administración) considera necesario, podrá encargar una segunda opinión tasadora en algún año para contraste.</w:t>
      </w:r>
      <w:r>
        <w:t xml:space="preserve"> </w:t>
      </w:r>
      <w:r>
        <w:t xml:space="preserve">- Para la valuación final (2030, usada para venta), primará el método comparativo (qué oferta hay en mercado en ese momento) ya que es venta real. El precio de venta lo definirá el mercado (comprador). No obstante, el tasador nos orientará en un “valor de mercado de salida” para saber qué precio mínimo aceptar.</w:t>
      </w:r>
    </w:p>
    <w:p>
      <w:pPr>
        <w:pStyle w:val="BodyText"/>
      </w:pPr>
      <w:r>
        <w:t xml:space="preserve">Esta metodología garantiza que no seremos arbitrarios ni excesivamente optimistas en las valuaciones. Estaremos respaldados por peritajes técnicos. Al inversionista se le explicará que el precio de su token está ligado a estos avalúos, disminuyendo subjetividad.</w:t>
      </w:r>
    </w:p>
    <w:p>
      <w:pPr>
        <w:pStyle w:val="BodyText"/>
      </w:pPr>
      <w:r>
        <w:rPr>
          <w:b/>
          <w:bCs/>
        </w:rPr>
        <w:t xml:space="preserve">B.5 Metodología de Cálculo de IRR y KPI:</w:t>
      </w:r>
    </w:p>
    <w:p>
      <w:pPr>
        <w:pStyle w:val="Compact"/>
        <w:numPr>
          <w:ilvl w:val="0"/>
          <w:numId w:val="1017"/>
        </w:numPr>
      </w:pPr>
      <w:r>
        <w:t xml:space="preserve">La IRR del proyecto se calculó con la función estándar TIR en Excel sobre flujo de caja de promotores: (–CostoTerreno, –GastosIniciales, +Ingresos1... + Ingresos5 + 0 al final porque vendiendo terreno se cierra).</w:t>
      </w:r>
    </w:p>
    <w:p>
      <w:pPr>
        <w:pStyle w:val="Compact"/>
        <w:numPr>
          <w:ilvl w:val="0"/>
          <w:numId w:val="1017"/>
        </w:numPr>
      </w:pPr>
      <w:r>
        <w:t xml:space="preserve">La IRR del inversionista pre-venta: consideramos desembolso –$8.40 en t=0 y recupera +$X en t=5 (siendo X = distribución final/50k tokens en ese escenario).</w:t>
      </w:r>
    </w:p>
    <w:p>
      <w:pPr>
        <w:pStyle w:val="Compact"/>
        <w:numPr>
          <w:ilvl w:val="0"/>
          <w:numId w:val="1017"/>
        </w:numPr>
      </w:pPr>
      <w:r>
        <w:t xml:space="preserve">Para inversionista lanzamiento: –$12 en t=0, +$Y en t=5 (Y distribución final/450k tokens, asumiendo de 500k tokens totales, 50k eran de preventa y 450k comprados a lanzamiento en promedio, lo cual es simplificación; en realidad precio escaló, pero este IRR es aproximado).</w:t>
      </w:r>
    </w:p>
    <w:p>
      <w:pPr>
        <w:pStyle w:val="Compact"/>
        <w:numPr>
          <w:ilvl w:val="0"/>
          <w:numId w:val="1017"/>
        </w:numPr>
      </w:pPr>
      <w:r>
        <w:t xml:space="preserve">Los NPVs se calcularon con tasa 10%. 10% se tomó como costo de oportunidad de un inversor de perfil moderado en Perú en USD (podría usar 8% también; con 8% obviamente NPVs salen más altos).</w:t>
      </w:r>
    </w:p>
    <w:p>
      <w:pPr>
        <w:pStyle w:val="Compact"/>
        <w:numPr>
          <w:ilvl w:val="0"/>
          <w:numId w:val="1017"/>
        </w:numPr>
      </w:pPr>
      <w:r>
        <w:t xml:space="preserve">Punto de equilibrio se dedujo iterativamente: hallamos escalador ~2% anual generaba token value net = cost inicial para el de lanzamiento.</w:t>
      </w:r>
    </w:p>
    <w:p>
      <w:pPr>
        <w:pStyle w:val="Compact"/>
        <w:numPr>
          <w:ilvl w:val="0"/>
          <w:numId w:val="1017"/>
        </w:numPr>
      </w:pPr>
      <w:r>
        <w:t xml:space="preserve">Se hicieron</w:t>
      </w:r>
      <w:r>
        <w:t xml:space="preserve"> </w:t>
      </w:r>
      <w:r>
        <w:rPr>
          <w:b/>
          <w:bCs/>
        </w:rPr>
        <w:t xml:space="preserve">pruebas de estrés</w:t>
      </w:r>
      <w:r>
        <w:t xml:space="preserve"> </w:t>
      </w:r>
      <w:r>
        <w:t xml:space="preserve">adicionales: ej. ¿qué si hay devaluación de USD vs Sol? – irrelevante, todo en USD. ¿Y si inflación US inesperada sube 5%+? – los activos reales normalmente suben con inflación, así que podría incluso aumentar plusvalía nominal. Si escaladores dados eran reales, tocaría sumarle inflación. Hemos tratado escaladores como nominales ya incluyendo expectativa de infla baja.</w:t>
      </w:r>
    </w:p>
    <w:p>
      <w:pPr>
        <w:pStyle w:val="Compact"/>
        <w:numPr>
          <w:ilvl w:val="0"/>
          <w:numId w:val="1017"/>
        </w:numPr>
      </w:pPr>
      <w:r>
        <w:t xml:space="preserve">Se consideró un caso con 50% tokens vendidos (fracaso parcial): resultó no sostenible por caja, se descartó proseguir. Ese es el “no-go” scenario que si vislumbramos, preferiríamos liquidar antes.</w:t>
      </w:r>
    </w:p>
    <w:p>
      <w:pPr>
        <w:pStyle w:val="Compact"/>
        <w:numPr>
          <w:ilvl w:val="0"/>
          <w:numId w:val="1017"/>
        </w:numPr>
      </w:pPr>
      <w:r>
        <w:t xml:space="preserve">No se modeló apalancamiento pero se evaluó la posibilidad: si hubiésemos tomado un préstamo, supongamos $1M en 2026 para no vender tokens baratos, y devolverlo tras venta final, eso incrementa returns a inversionistas tardíos pero conlleva riesgo. Se descartó por naturaleza del proyecto (prefinanciar con tokens es el core).</w:t>
      </w:r>
    </w:p>
    <w:p>
      <w:pPr>
        <w:pStyle w:val="Compact"/>
        <w:numPr>
          <w:ilvl w:val="0"/>
          <w:numId w:val="1017"/>
        </w:numPr>
      </w:pPr>
      <w:r>
        <w:t xml:space="preserve">Los</w:t>
      </w:r>
      <w:r>
        <w:t xml:space="preserve"> </w:t>
      </w:r>
      <w:r>
        <w:rPr>
          <w:i/>
          <w:iCs/>
        </w:rPr>
        <w:t xml:space="preserve">fees</w:t>
      </w:r>
      <w:r>
        <w:t xml:space="preserve"> </w:t>
      </w:r>
      <w:r>
        <w:t xml:space="preserve">a promotores (comisiones) se modelaron modestos. En la realidad, los promotores podrían retener ~10% de tokens sin vender para sí mismos; en modelos presentados equivaldría a que de los $7MM distribuidos, ellos reciben 10%. Eso no afecta a inversionistas externos, es distribución de propiedad. De hecho se espera que fundadores retengan parte (skin in the game). Aquí se omite para simplificar, asumimos 100% tokens van a externos, pero en implementación final, fundadores comprarán/reservarán X tokens en preventa (alineados con todos).</w:t>
      </w:r>
    </w:p>
    <w:p>
      <w:pPr>
        <w:pStyle w:val="FirstParagraph"/>
      </w:pPr>
      <w:r>
        <w:rPr>
          <w:b/>
          <w:bCs/>
        </w:rPr>
        <w:t xml:space="preserve">B.6 Modelo Excel (referencia):</w:t>
      </w:r>
      <w:r>
        <w:t xml:space="preserve"> </w:t>
      </w:r>
      <w:r>
        <w:t xml:space="preserve">Se adjunta en data room un archivo “PachaNova_ModeloFinanciero_vF.xlsx” que contiene:</w:t>
      </w:r>
      <w:r>
        <w:t xml:space="preserve"> </w:t>
      </w:r>
      <w:r>
        <w:t xml:space="preserve">- Hoja “Resumen” con tablas como las mostradas.</w:t>
      </w:r>
      <w:r>
        <w:t xml:space="preserve"> </w:t>
      </w:r>
      <w:r>
        <w:t xml:space="preserve">- Hoja “Supuestos” con variables que se pueden modificar (precio base, escaladores, costos).</w:t>
      </w:r>
      <w:r>
        <w:t xml:space="preserve"> </w:t>
      </w:r>
      <w:r>
        <w:t xml:space="preserve">- Hoja “Flujo” con cálculos anuales de ingresos, egresos y saldos.</w:t>
      </w:r>
      <w:r>
        <w:t xml:space="preserve"> </w:t>
      </w:r>
      <w:r>
        <w:t xml:space="preserve">- Hoja “Analisis” con gráficas de sensibilidad (ej. gráfico Tornado de impacto de variables en NPV).</w:t>
      </w:r>
      <w:r>
        <w:t xml:space="preserve"> </w:t>
      </w:r>
      <w:r>
        <w:t xml:space="preserve">- Hoja “IRR” calculando las IRRs mencionadas para distintos participantes.</w:t>
      </w:r>
      <w:r>
        <w:t xml:space="preserve"> </w:t>
      </w:r>
      <w:r>
        <w:t xml:space="preserve">- Hoja “RetornosComparados” que compara este proyecto vs invertir en bono soberano Peru USD 5yr (~yield 3%) vs en ETF Real Estate global (~5-6%). Muestra que PachaNova tiene mayor retorno potencial pero con mayor desvío (lo cual es lógico).</w:t>
      </w:r>
      <w:r>
        <w:t xml:space="preserve"> </w:t>
      </w:r>
      <w:r>
        <w:t xml:space="preserve">Este modelo se puede compartir bajo NDA a inversionistas interesados que quieran auditar las cifras por su cuenta.</w:t>
      </w:r>
    </w:p>
    <w:p>
      <w:pPr>
        <w:pStyle w:val="BodyText"/>
      </w:pPr>
      <w:r>
        <w:rPr>
          <w:b/>
          <w:bCs/>
        </w:rPr>
        <w:t xml:space="preserve">B.7 Metodología de Monitoreo y Actualización del Modelo:</w:t>
      </w:r>
    </w:p>
    <w:p>
      <w:pPr>
        <w:pStyle w:val="BodyText"/>
      </w:pPr>
      <w:r>
        <w:t xml:space="preserve">El modelo financiero no es estático; se ha implementado un protocolo para actualizarlo:</w:t>
      </w:r>
      <w:r>
        <w:t xml:space="preserve"> </w:t>
      </w:r>
      <w:r>
        <w:t xml:space="preserve">- Cada cierre anual, una vez obtenida la auditoría de valuación, se ingresará el nuevo precio real en supuestos. Se ajustará la proyección restante con base en ello (se recalcula escaladores siguientes desde ese nuevo valor).</w:t>
      </w:r>
      <w:r>
        <w:t xml:space="preserve"> </w:t>
      </w:r>
      <w:r>
        <w:t xml:space="preserve">- Cada trimestre se verificará el avance de ventas de tokens vs plan. Si hay desvíos grandes, se puede recalibrar la meta de años siguientes en el modelo y evaluar impacto (así se decide si aplicar medidas correctivas).</w:t>
      </w:r>
      <w:r>
        <w:t xml:space="preserve"> </w:t>
      </w:r>
      <w:r>
        <w:t xml:space="preserve">- Si se materializa algún riesgo mayor (ej. gastos legales extra por disputa), se agrega al modelo en la línea correspondiente para ver efecto en distribución final, y se comunica a stakeholders.</w:t>
      </w:r>
      <w:r>
        <w:t xml:space="preserve"> </w:t>
      </w:r>
      <w:r>
        <w:t xml:space="preserve">- Cualquier cambio en marco tributario (por decir, bajan IR empresas al 25% o quitan exoneración, etc.) se incorporará en supuestos de impuesto inmediatamente.</w:t>
      </w:r>
      <w:r>
        <w:t xml:space="preserve"> </w:t>
      </w:r>
      <w:r>
        <w:t xml:space="preserve">- El modelo servirá de</w:t>
      </w:r>
      <w:r>
        <w:t xml:space="preserve"> </w:t>
      </w:r>
      <w:r>
        <w:rPr>
          <w:i/>
          <w:iCs/>
        </w:rPr>
        <w:t xml:space="preserve">tool</w:t>
      </w:r>
      <w:r>
        <w:t xml:space="preserve"> </w:t>
      </w:r>
      <w:r>
        <w:t xml:space="preserve">de gestión, no solo de presentación. Será mantenido por la Dirección de Finanzas y presentado en Comité de Inversionistas en sus reuniones con actualizaciones.</w:t>
      </w:r>
    </w:p>
    <w:p>
      <w:pPr>
        <w:pStyle w:val="BodyText"/>
      </w:pPr>
      <w:r>
        <w:t xml:space="preserve">Con lo anterior, concluimos los Anexos Técnicos, proporcionando la profundidad de información financiera y metodológica que sustenta el plan principal. A continuación, se listan las fuentes utilizadas en la elaboración de este documento, todas disponibles públicamente o en registros oficiales, para verificación independiente.</w:t>
      </w:r>
    </w:p>
    <w:bookmarkEnd w:id="92"/>
    <w:bookmarkStart w:id="107" w:name="bloque-c-anexo-de-fuentes-y-referencias"/>
    <w:p>
      <w:pPr>
        <w:pStyle w:val="Heading2"/>
      </w:pPr>
      <w:r>
        <w:t xml:space="preserve">Bloque C: Anexo de Fuentes y Referencias</w:t>
      </w:r>
    </w:p>
    <w:p>
      <w:pPr>
        <w:pStyle w:val="FirstParagraph"/>
      </w:pPr>
      <w:r>
        <w:rPr>
          <w:i/>
          <w:iCs/>
        </w:rPr>
        <w:t xml:space="preserve">(Esta sección enumera todas las fuentes externas y documentos base que sustentan los datos, afirmaciones y supuestos claves utilizados en el Business Plan. Cada referencia es trazable para permitir verificación adicional por parte del lector. Se han mantenido, cuando corresponde, las citas en el formato usado a lo largo del texto.)</w:t>
      </w:r>
    </w:p>
    <w:p>
      <w:pPr>
        <w:pStyle w:val="Compact"/>
        <w:numPr>
          <w:ilvl w:val="0"/>
          <w:numId w:val="1018"/>
        </w:numPr>
      </w:pPr>
      <w:r>
        <w:rPr>
          <w:b/>
          <w:bCs/>
        </w:rPr>
        <w:t xml:space="preserve">INEI – Nota de Prensa Migrantes (2024):</w:t>
      </w:r>
      <w:r>
        <w:t xml:space="preserve"> </w:t>
      </w:r>
      <w:r>
        <w:t xml:space="preserve">Estadísticas oficiales sobre peruanos residentes en el extranjero.</w:t>
      </w:r>
      <w:r>
        <w:t xml:space="preserve"> </w:t>
      </w:r>
      <w:r>
        <w:rPr>
          <w:i/>
          <w:iCs/>
        </w:rPr>
        <w:t xml:space="preserve">Fuente:</w:t>
      </w:r>
      <w:r>
        <w:t xml:space="preserve"> </w:t>
      </w:r>
      <w:r>
        <w:t xml:space="preserve">Instituto Nacional de Estadística e Informática (INEI), Nota de Prensa por Día del Migrante 18/12/2024 – indica</w:t>
      </w:r>
      <w:r>
        <w:t xml:space="preserve"> </w:t>
      </w:r>
      <w:r>
        <w:rPr>
          <w:b/>
          <w:bCs/>
        </w:rPr>
        <w:t xml:space="preserve">3 millones 505 mil peruanos viviendo en el exterior (10.3% de la población)</w:t>
      </w:r>
      <w:hyperlink r:id="rId42">
        <w:r>
          <w:rPr>
            <w:rStyle w:val="Hyperlink"/>
          </w:rPr>
          <w:t xml:space="preserve">[57]</w:t>
        </w:r>
      </w:hyperlink>
      <w:r>
        <w:t xml:space="preserve">. Proporciona desglose por país y otros datos demográficos relevantes.</w:t>
      </w:r>
    </w:p>
    <w:p>
      <w:pPr>
        <w:pStyle w:val="Compact"/>
        <w:numPr>
          <w:ilvl w:val="0"/>
          <w:numId w:val="1018"/>
        </w:numPr>
      </w:pPr>
      <w:r>
        <w:rPr>
          <w:b/>
          <w:bCs/>
        </w:rPr>
        <w:t xml:space="preserve">MTC – Proyecto Ferrocarril Lima–Ica Viabilidad (2024):</w:t>
      </w:r>
      <w:r>
        <w:t xml:space="preserve"> </w:t>
      </w:r>
      <w:r>
        <w:t xml:space="preserve">Comunicado del Ministerio de Transportes y Comunicaciones del Perú anunciando la viabilidad del tren Lima–Ica.</w:t>
      </w:r>
      <w:r>
        <w:t xml:space="preserve"> </w:t>
      </w:r>
      <w:r>
        <w:rPr>
          <w:i/>
          <w:iCs/>
        </w:rPr>
        <w:t xml:space="preserve">Fuente:</w:t>
      </w:r>
      <w:r>
        <w:t xml:space="preserve"> </w:t>
      </w:r>
      <w:r>
        <w:t xml:space="preserve">Agencia EFE / SWI Swissinfo (04/11/2024) – confirma costo estimado</w:t>
      </w:r>
      <w:r>
        <w:t xml:space="preserve"> </w:t>
      </w:r>
      <w:r>
        <w:rPr>
          <w:b/>
          <w:bCs/>
        </w:rPr>
        <w:t xml:space="preserve">US$6,500 millones</w:t>
      </w:r>
      <w:r>
        <w:t xml:space="preserve">, tramo de</w:t>
      </w:r>
      <w:r>
        <w:t xml:space="preserve"> </w:t>
      </w:r>
      <w:r>
        <w:rPr>
          <w:b/>
          <w:bCs/>
        </w:rPr>
        <w:t xml:space="preserve">280 km</w:t>
      </w:r>
      <w:r>
        <w:t xml:space="preserve">, reducción a</w:t>
      </w:r>
      <w:r>
        <w:t xml:space="preserve"> </w:t>
      </w:r>
      <w:r>
        <w:rPr>
          <w:b/>
          <w:bCs/>
        </w:rPr>
        <w:t xml:space="preserve">2.5 horas de viaje</w:t>
      </w:r>
      <w:r>
        <w:t xml:space="preserve">, y beneficiarios</w:t>
      </w:r>
      <w:r>
        <w:t xml:space="preserve"> </w:t>
      </w:r>
      <w:r>
        <w:rPr>
          <w:b/>
          <w:bCs/>
        </w:rPr>
        <w:t xml:space="preserve">directos 5.8MM, indirectos 6.5MM</w:t>
      </w:r>
      <w:r>
        <w:t xml:space="preserve"> </w:t>
      </w:r>
      <w:r>
        <w:t xml:space="preserve">(total ~12.3MM personas)</w:t>
      </w:r>
      <w:hyperlink r:id="rId22">
        <w:r>
          <w:rPr>
            <w:rStyle w:val="Hyperlink"/>
          </w:rPr>
          <w:t xml:space="preserve">[1]</w:t>
        </w:r>
      </w:hyperlink>
      <w:hyperlink r:id="rId48">
        <w:r>
          <w:rPr>
            <w:rStyle w:val="Hyperlink"/>
          </w:rPr>
          <w:t xml:space="preserve">[25]</w:t>
        </w:r>
      </w:hyperlink>
      <w:r>
        <w:t xml:space="preserve">.</w:t>
      </w:r>
    </w:p>
    <w:p>
      <w:pPr>
        <w:pStyle w:val="Compact"/>
        <w:numPr>
          <w:ilvl w:val="0"/>
          <w:numId w:val="1018"/>
        </w:numPr>
      </w:pPr>
      <w:r>
        <w:rPr>
          <w:b/>
          <w:bCs/>
        </w:rPr>
        <w:t xml:space="preserve">Portal IMP – Plan Lima Balnearios del Sur (2023):</w:t>
      </w:r>
      <w:r>
        <w:t xml:space="preserve"> </w:t>
      </w:r>
      <w:r>
        <w:t xml:space="preserve">Descripción oficial del PDULBS por el Instituto Metropolitano de Planificación.</w:t>
      </w:r>
      <w:r>
        <w:t xml:space="preserve"> </w:t>
      </w:r>
      <w:r>
        <w:rPr>
          <w:i/>
          <w:iCs/>
        </w:rPr>
        <w:t xml:space="preserve">Fuente:</w:t>
      </w:r>
      <w:r>
        <w:t xml:space="preserve"> </w:t>
      </w:r>
      <w:r>
        <w:t xml:space="preserve">portal web IMP (imp.gob.pe) – destaca</w:t>
      </w:r>
      <w:r>
        <w:t xml:space="preserve"> </w:t>
      </w:r>
      <w:r>
        <w:rPr>
          <w:b/>
          <w:bCs/>
        </w:rPr>
        <w:t xml:space="preserve">aprobación por Ordenanza N° 2767</w:t>
      </w:r>
      <w:r>
        <w:t xml:space="preserve"> </w:t>
      </w:r>
      <w:r>
        <w:t xml:space="preserve">y objetivos:</w:t>
      </w:r>
      <w:r>
        <w:t xml:space="preserve"> </w:t>
      </w:r>
      <w:r>
        <w:rPr>
          <w:b/>
          <w:bCs/>
        </w:rPr>
        <w:t xml:space="preserve">870 mil hab al 2034</w:t>
      </w:r>
      <w:r>
        <w:t xml:space="preserve">,</w:t>
      </w:r>
      <w:r>
        <w:t xml:space="preserve"> </w:t>
      </w:r>
      <w:r>
        <w:rPr>
          <w:b/>
          <w:bCs/>
        </w:rPr>
        <w:t xml:space="preserve">36,127 ha</w:t>
      </w:r>
      <w:r>
        <w:t xml:space="preserve"> </w:t>
      </w:r>
      <w:r>
        <w:t xml:space="preserve">de área, consolidación de San Bartolo como</w:t>
      </w:r>
      <w:r>
        <w:t xml:space="preserve"> </w:t>
      </w:r>
      <w:r>
        <w:rPr>
          <w:b/>
          <w:bCs/>
        </w:rPr>
        <w:t xml:space="preserve">centralidad interregional</w:t>
      </w:r>
      <w:r>
        <w:t xml:space="preserve"> </w:t>
      </w:r>
      <w:r>
        <w:t xml:space="preserve">conectada multimodalmente</w:t>
      </w:r>
      <w:hyperlink r:id="rId24">
        <w:r>
          <w:rPr>
            <w:rStyle w:val="Hyperlink"/>
          </w:rPr>
          <w:t xml:space="preserve">[3]</w:t>
        </w:r>
      </w:hyperlink>
      <w:hyperlink r:id="rId35">
        <w:r>
          <w:rPr>
            <w:rStyle w:val="Hyperlink"/>
          </w:rPr>
          <w:t xml:space="preserve">[13]</w:t>
        </w:r>
      </w:hyperlink>
      <w:r>
        <w:t xml:space="preserve">, además de ejes de ordenamiento territorial, gestión de riesgos, atracción de inversión privada y desarrollo turístico</w:t>
      </w:r>
      <w:hyperlink r:id="rId49">
        <w:r>
          <w:rPr>
            <w:rStyle w:val="Hyperlink"/>
          </w:rPr>
          <w:t xml:space="preserve">[26]</w:t>
        </w:r>
      </w:hyperlink>
      <w:hyperlink r:id="rId50">
        <w:r>
          <w:rPr>
            <w:rStyle w:val="Hyperlink"/>
          </w:rPr>
          <w:t xml:space="preserve">[27]</w:t>
        </w:r>
      </w:hyperlink>
      <w:r>
        <w:t xml:space="preserve">.</w:t>
      </w:r>
    </w:p>
    <w:p>
      <w:pPr>
        <w:pStyle w:val="Compact"/>
        <w:numPr>
          <w:ilvl w:val="0"/>
          <w:numId w:val="1018"/>
        </w:numPr>
      </w:pPr>
      <w:r>
        <w:rPr>
          <w:b/>
          <w:bCs/>
        </w:rPr>
        <w:t xml:space="preserve">Decreto Supremo N° 006-2023-JUS (UIF-PSAV):</w:t>
      </w:r>
      <w:r>
        <w:t xml:space="preserve"> </w:t>
      </w:r>
      <w:r>
        <w:t xml:space="preserve">Norma que incorpora a los Proveedores de Servicios de Activos Virtuales como sujetos obligados al sistema PLAFT peruano.</w:t>
      </w:r>
      <w:r>
        <w:t xml:space="preserve"> </w:t>
      </w:r>
      <w:r>
        <w:rPr>
          <w:i/>
          <w:iCs/>
        </w:rPr>
        <w:t xml:space="preserve">Fuente:</w:t>
      </w:r>
      <w:r>
        <w:t xml:space="preserve"> </w:t>
      </w:r>
      <w:r>
        <w:t xml:space="preserve">Publicación de TYTL Abogados (artículo 2023) – confirma que desde</w:t>
      </w:r>
      <w:r>
        <w:t xml:space="preserve"> </w:t>
      </w:r>
      <w:r>
        <w:rPr>
          <w:b/>
          <w:bCs/>
        </w:rPr>
        <w:t xml:space="preserve">27/07/2023</w:t>
      </w:r>
      <w:r>
        <w:t xml:space="preserve"> </w:t>
      </w:r>
      <w:r>
        <w:t xml:space="preserve">los PSAV deben contar con un sistema de prevención de lavado de activos y están bajo supervisión de la UIF-Perú</w:t>
      </w:r>
      <w:hyperlink r:id="rId93">
        <w:r>
          <w:rPr>
            <w:rStyle w:val="Hyperlink"/>
          </w:rPr>
          <w:t xml:space="preserve">[58]</w:t>
        </w:r>
      </w:hyperlink>
      <w:hyperlink r:id="rId31">
        <w:r>
          <w:rPr>
            <w:rStyle w:val="Hyperlink"/>
          </w:rPr>
          <w:t xml:space="preserve">[10]</w:t>
        </w:r>
      </w:hyperlink>
      <w:r>
        <w:t xml:space="preserve">, incluyendo obligaciones de KYC, reporte de operaciones, oficial de cumplimiento, etc.</w:t>
      </w:r>
      <w:hyperlink r:id="rId54">
        <w:r>
          <w:rPr>
            <w:rStyle w:val="Hyperlink"/>
          </w:rPr>
          <w:t xml:space="preserve">[31]</w:t>
        </w:r>
      </w:hyperlink>
      <w:r>
        <w:t xml:space="preserve">.</w:t>
      </w:r>
    </w:p>
    <w:p>
      <w:pPr>
        <w:pStyle w:val="Compact"/>
        <w:numPr>
          <w:ilvl w:val="0"/>
          <w:numId w:val="1018"/>
        </w:numPr>
      </w:pPr>
      <w:r>
        <w:rPr>
          <w:b/>
          <w:bCs/>
        </w:rPr>
        <w:t xml:space="preserve">Resolución SBS N° 02648-2024 (Norma PLAFT para PSAV):</w:t>
      </w:r>
      <w:r>
        <w:t xml:space="preserve"> </w:t>
      </w:r>
      <w:r>
        <w:t xml:space="preserve">Reglamento específico de SBS para PSAV.</w:t>
      </w:r>
      <w:r>
        <w:t xml:space="preserve"> </w:t>
      </w:r>
      <w:r>
        <w:rPr>
          <w:i/>
          <w:iCs/>
        </w:rPr>
        <w:t xml:space="preserve">Fuente:</w:t>
      </w:r>
      <w:r>
        <w:t xml:space="preserve"> </w:t>
      </w:r>
      <w:r>
        <w:t xml:space="preserve">Blog Payet Abogados (08/2024) – detalla la publicación de la resolución el</w:t>
      </w:r>
      <w:r>
        <w:t xml:space="preserve"> </w:t>
      </w:r>
      <w:r>
        <w:rPr>
          <w:b/>
          <w:bCs/>
        </w:rPr>
        <w:t xml:space="preserve">1 de agosto de 2024</w:t>
      </w:r>
      <w:r>
        <w:t xml:space="preserve">, con requisitos como implementar un</w:t>
      </w:r>
      <w:r>
        <w:t xml:space="preserve"> </w:t>
      </w:r>
      <w:r>
        <w:rPr>
          <w:b/>
          <w:bCs/>
        </w:rPr>
        <w:t xml:space="preserve">SPLAFT</w:t>
      </w:r>
      <w:r>
        <w:t xml:space="preserve">, designar oficial de cumplimiento, políticas KYC, “regla de viaje” para transferencias, etc.</w:t>
      </w:r>
      <w:hyperlink r:id="rId32">
        <w:r>
          <w:rPr>
            <w:rStyle w:val="Hyperlink"/>
          </w:rPr>
          <w:t xml:space="preserve">[59]</w:t>
        </w:r>
      </w:hyperlink>
      <w:hyperlink r:id="rId55">
        <w:r>
          <w:rPr>
            <w:rStyle w:val="Hyperlink"/>
          </w:rPr>
          <w:t xml:space="preserve">[32]</w:t>
        </w:r>
      </w:hyperlink>
      <w:r>
        <w:t xml:space="preserve">. Esta norma obliga a PachaNova a cumplir con estándares similares a los del sistema financiero formal desde su inicio</w:t>
      </w:r>
      <w:hyperlink r:id="rId71">
        <w:r>
          <w:rPr>
            <w:rStyle w:val="Hyperlink"/>
          </w:rPr>
          <w:t xml:space="preserve">[41]</w:t>
        </w:r>
      </w:hyperlink>
      <w:r>
        <w:t xml:space="preserve">.</w:t>
      </w:r>
    </w:p>
    <w:p>
      <w:pPr>
        <w:pStyle w:val="Compact"/>
        <w:numPr>
          <w:ilvl w:val="0"/>
          <w:numId w:val="1018"/>
        </w:numPr>
      </w:pPr>
      <w:r>
        <w:rPr>
          <w:b/>
          <w:bCs/>
        </w:rPr>
        <w:t xml:space="preserve">ERC-3643 Token Standard (Permisionado):</w:t>
      </w:r>
      <w:r>
        <w:t xml:space="preserve"> </w:t>
      </w:r>
      <w:r>
        <w:t xml:space="preserve">Especificación técnica para tokens con control de identidad.</w:t>
      </w:r>
      <w:r>
        <w:t xml:space="preserve"> </w:t>
      </w:r>
      <w:r>
        <w:rPr>
          <w:i/>
          <w:iCs/>
        </w:rPr>
        <w:t xml:space="preserve">Fuente:</w:t>
      </w:r>
      <w:r>
        <w:t xml:space="preserve"> </w:t>
      </w:r>
      <w:r>
        <w:t xml:space="preserve">Descripción en Plan de Negocios PachaNova</w:t>
      </w:r>
      <w:hyperlink r:id="rId94">
        <w:r>
          <w:rPr>
            <w:rStyle w:val="Hyperlink"/>
          </w:rPr>
          <w:t xml:space="preserve">[60]</w:t>
        </w:r>
      </w:hyperlink>
      <w:hyperlink r:id="rId95">
        <w:r>
          <w:rPr>
            <w:rStyle w:val="Hyperlink"/>
          </w:rPr>
          <w:t xml:space="preserve">[61]</w:t>
        </w:r>
      </w:hyperlink>
      <w:r>
        <w:t xml:space="preserve"> </w:t>
      </w:r>
      <w:r>
        <w:t xml:space="preserve">– “ERC-3643 se describe como un conjunto de contratos para emisión/gestión/transferencia de tokens permisionados con identidad y reglas de cumplimiento embebidas.” Esto sustenta la elección de tecnología para asegurar whitelisting y compliance-by-design en la plataforma.</w:t>
      </w:r>
    </w:p>
    <w:p>
      <w:pPr>
        <w:pStyle w:val="Compact"/>
        <w:numPr>
          <w:ilvl w:val="0"/>
          <w:numId w:val="1018"/>
        </w:numPr>
      </w:pPr>
      <w:r>
        <w:rPr>
          <w:b/>
          <w:bCs/>
        </w:rPr>
        <w:t xml:space="preserve">Standard Chartered – Proyecciones Tokenización (2025):</w:t>
      </w:r>
      <w:r>
        <w:t xml:space="preserve"> </w:t>
      </w:r>
      <w:r>
        <w:t xml:space="preserve">Reporte citado por Funds Society (13/11/2025) sobre el potencial de crecimiento del mercado de activos tokenizados.</w:t>
      </w:r>
      <w:r>
        <w:t xml:space="preserve"> </w:t>
      </w:r>
      <w:r>
        <w:rPr>
          <w:i/>
          <w:iCs/>
        </w:rPr>
        <w:t xml:space="preserve">Fuente:</w:t>
      </w:r>
      <w:r>
        <w:t xml:space="preserve"> </w:t>
      </w:r>
      <w:r>
        <w:t xml:space="preserve">Funds Society – se indica que Standard Chartered estima</w:t>
      </w:r>
      <w:r>
        <w:t xml:space="preserve"> </w:t>
      </w:r>
      <w:r>
        <w:rPr>
          <w:b/>
          <w:bCs/>
        </w:rPr>
        <w:t xml:space="preserve">2 billones de USD</w:t>
      </w:r>
      <w:r>
        <w:t xml:space="preserve"> </w:t>
      </w:r>
      <w:r>
        <w:t xml:space="preserve">en activos tokenizados para 2028 (56 veces el nivel de 2021/22)</w:t>
      </w:r>
      <w:hyperlink r:id="rId29">
        <w:r>
          <w:rPr>
            <w:rStyle w:val="Hyperlink"/>
          </w:rPr>
          <w:t xml:space="preserve">[8]</w:t>
        </w:r>
      </w:hyperlink>
      <w:r>
        <w:t xml:space="preserve">, con</w:t>
      </w:r>
      <w:r>
        <w:t xml:space="preserve"> </w:t>
      </w:r>
      <w:r>
        <w:rPr>
          <w:b/>
          <w:bCs/>
        </w:rPr>
        <w:t xml:space="preserve">&gt;400 mil MM USD en real estate tokenizado</w:t>
      </w:r>
      <w:r>
        <w:t xml:space="preserve"> </w:t>
      </w:r>
      <w:r>
        <w:t xml:space="preserve">para ese año</w:t>
      </w:r>
      <w:hyperlink r:id="rId30">
        <w:r>
          <w:rPr>
            <w:rStyle w:val="Hyperlink"/>
          </w:rPr>
          <w:t xml:space="preserve">[9]</w:t>
        </w:r>
      </w:hyperlink>
      <w:r>
        <w:t xml:space="preserve">. Esto se usó para dimensionar la tendencia global y el interés en tokenización inmobiliaria.</w:t>
      </w:r>
    </w:p>
    <w:p>
      <w:pPr>
        <w:pStyle w:val="Compact"/>
        <w:numPr>
          <w:ilvl w:val="0"/>
          <w:numId w:val="1018"/>
        </w:numPr>
      </w:pPr>
      <w:r>
        <w:rPr>
          <w:b/>
          <w:bCs/>
        </w:rPr>
        <w:t xml:space="preserve">SWI Swissinfo – Detalles operativos Tren Lima–Ica (2024):</w:t>
      </w:r>
      <w:r>
        <w:t xml:space="preserve"> </w:t>
      </w:r>
      <w:r>
        <w:t xml:space="preserve">Nota ya referida de EFE/Swissinfo que, además de viabilidad y beneficiarios, brinda detalles: ejecución vía</w:t>
      </w:r>
      <w:r>
        <w:t xml:space="preserve"> </w:t>
      </w:r>
      <w:r>
        <w:rPr>
          <w:i/>
          <w:iCs/>
        </w:rPr>
        <w:t xml:space="preserve">Gobierno a Gobierno</w:t>
      </w:r>
      <w:r>
        <w:t xml:space="preserve">,</w:t>
      </w:r>
      <w:r>
        <w:t xml:space="preserve"> </w:t>
      </w:r>
      <w:r>
        <w:rPr>
          <w:b/>
          <w:bCs/>
        </w:rPr>
        <w:t xml:space="preserve">G2G para asegurar calidad y celeridad</w:t>
      </w:r>
      <w:r>
        <w:t xml:space="preserve">, 15 estaciones, obras significativas (47 km puentes, 32 km túneles), trenes eléctricos hasta 200 km/h</w:t>
      </w:r>
      <w:hyperlink r:id="rId45">
        <w:r>
          <w:rPr>
            <w:rStyle w:val="Hyperlink"/>
          </w:rPr>
          <w:t xml:space="preserve">[62]</w:t>
        </w:r>
      </w:hyperlink>
      <w:hyperlink r:id="rId23">
        <w:r>
          <w:rPr>
            <w:rStyle w:val="Hyperlink"/>
          </w:rPr>
          <w:t xml:space="preserve">[2]</w:t>
        </w:r>
      </w:hyperlink>
      <w:r>
        <w:t xml:space="preserve">. Esto apoya la seriedad del proyecto férreo como catalizador.</w:t>
      </w:r>
    </w:p>
    <w:p>
      <w:pPr>
        <w:pStyle w:val="Compact"/>
        <w:numPr>
          <w:ilvl w:val="0"/>
          <w:numId w:val="1018"/>
        </w:numPr>
      </w:pPr>
      <w:r>
        <w:rPr>
          <w:b/>
          <w:bCs/>
        </w:rPr>
        <w:t xml:space="preserve">El Peruano – Cartera de Proyectos Ferroviarios MTC (2025):</w:t>
      </w:r>
      <w:r>
        <w:t xml:space="preserve"> </w:t>
      </w:r>
      <w:r>
        <w:t xml:space="preserve">Documento PDF del MTC (investinperu) listado en fuentes clave</w:t>
      </w:r>
      <w:hyperlink r:id="rId96">
        <w:r>
          <w:rPr>
            <w:rStyle w:val="Hyperlink"/>
          </w:rPr>
          <w:t xml:space="preserve">[63]</w:t>
        </w:r>
      </w:hyperlink>
      <w:hyperlink r:id="rId97">
        <w:r>
          <w:rPr>
            <w:rStyle w:val="Hyperlink"/>
          </w:rPr>
          <w:t xml:space="preserve">[64]</w:t>
        </w:r>
      </w:hyperlink>
      <w:r>
        <w:t xml:space="preserve">. Se refiere a la cartera de proyectos ferroviarios &gt; $40,000MM incluyendo Lima–Ica. No se citó textual en cuerpo pero confirma la priorización gubernamental.</w:t>
      </w:r>
    </w:p>
    <w:p>
      <w:pPr>
        <w:pStyle w:val="Compact"/>
        <w:numPr>
          <w:ilvl w:val="0"/>
          <w:numId w:val="1018"/>
        </w:numPr>
      </w:pPr>
      <w:r>
        <w:rPr>
          <w:b/>
          <w:bCs/>
        </w:rPr>
        <w:t xml:space="preserve">BID – Captura de Plusvalías en LatAm (2020):</w:t>
      </w:r>
      <w:r>
        <w:t xml:space="preserve"> </w:t>
      </w:r>
      <w:r>
        <w:t xml:space="preserve">Publicación del BID (“Expandiendo el uso de la valorización del suelo...”) citada en referencias del plan</w:t>
      </w:r>
      <w:hyperlink r:id="rId52">
        <w:r>
          <w:rPr>
            <w:rStyle w:val="Hyperlink"/>
          </w:rPr>
          <w:t xml:space="preserve">[30]</w:t>
        </w:r>
      </w:hyperlink>
      <w:r>
        <w:t xml:space="preserve">. Aporta marco conceptual: “la valorización del suelo está íntimamente ligada a decisiones públicas”</w:t>
      </w:r>
      <w:hyperlink r:id="rId98">
        <w:r>
          <w:rPr>
            <w:rStyle w:val="Hyperlink"/>
          </w:rPr>
          <w:t xml:space="preserve">[65]</w:t>
        </w:r>
      </w:hyperlink>
      <w:hyperlink r:id="rId99">
        <w:r>
          <w:rPr>
            <w:rStyle w:val="Hyperlink"/>
          </w:rPr>
          <w:t xml:space="preserve">[66]</w:t>
        </w:r>
      </w:hyperlink>
      <w:r>
        <w:t xml:space="preserve"> </w:t>
      </w:r>
      <w:r>
        <w:t xml:space="preserve">y discute casos de recuperación de plusvalías. Fundamenta la tesis de PachaNova sobre monetizar incrementos de valor por infraestructura.</w:t>
      </w:r>
    </w:p>
    <w:p>
      <w:pPr>
        <w:pStyle w:val="Compact"/>
        <w:numPr>
          <w:ilvl w:val="0"/>
          <w:numId w:val="1018"/>
        </w:numPr>
      </w:pPr>
      <w:r>
        <w:rPr>
          <w:b/>
          <w:bCs/>
        </w:rPr>
        <w:t xml:space="preserve">Huachos.com – Peruanos en el Extranjero (2020):</w:t>
      </w:r>
      <w:r>
        <w:t xml:space="preserve"> </w:t>
      </w:r>
      <w:r>
        <w:t xml:space="preserve">Portal que replicó cifras de Cancillería/INEI: “Más de 3.5 millones de peruanos viven en el extranjero…”. Dato redundante con [1], no citado directamente.</w:t>
      </w:r>
    </w:p>
    <w:p>
      <w:pPr>
        <w:pStyle w:val="Compact"/>
        <w:numPr>
          <w:ilvl w:val="0"/>
          <w:numId w:val="1018"/>
        </w:numPr>
      </w:pPr>
      <w:r>
        <w:rPr>
          <w:b/>
          <w:bCs/>
        </w:rPr>
        <w:t xml:space="preserve">Lincoln Institute – Movilización de la valorización de la tierra (2019):</w:t>
      </w:r>
      <w:r>
        <w:t xml:space="preserve"> </w:t>
      </w:r>
      <w:r>
        <w:t xml:space="preserve">Artículo en Lincoln Institute (en español) analizando cómo políticas públicas promueven plusvalía del suelo. Referencia conceptual de respaldo (no citada directamente pero consultada).</w:t>
      </w:r>
    </w:p>
    <w:p>
      <w:pPr>
        <w:pStyle w:val="Compact"/>
        <w:numPr>
          <w:ilvl w:val="0"/>
          <w:numId w:val="1018"/>
        </w:numPr>
      </w:pPr>
      <w:r>
        <w:rPr>
          <w:b/>
          <w:bCs/>
        </w:rPr>
        <w:t xml:space="preserve">Artículo Gestión – Ferrocarril Lima–Ica (2023):</w:t>
      </w:r>
      <w:r>
        <w:t xml:space="preserve"> </w:t>
      </w:r>
      <w:r>
        <w:t xml:space="preserve">Diario Gestión (09/2023) resaltó que hay</w:t>
      </w:r>
      <w:r>
        <w:t xml:space="preserve"> </w:t>
      </w:r>
      <w:r>
        <w:rPr>
          <w:b/>
          <w:bCs/>
        </w:rPr>
        <w:t xml:space="preserve">10 países interesados en ejecutar el tren</w:t>
      </w:r>
      <w:r>
        <w:t xml:space="preserve"> </w:t>
      </w:r>
      <w:r>
        <w:t xml:space="preserve">y reitera inversión ~$6.5B, 280 km, etc. Apoya viabilidad percibida del proyecto (no citada textual pero en research).</w:t>
      </w:r>
    </w:p>
    <w:p>
      <w:pPr>
        <w:pStyle w:val="Compact"/>
        <w:numPr>
          <w:ilvl w:val="0"/>
          <w:numId w:val="1018"/>
        </w:numPr>
      </w:pPr>
      <w:r>
        <w:rPr>
          <w:b/>
          <w:bCs/>
        </w:rPr>
        <w:t xml:space="preserve">La República – Tren Lima–Ica entrega 2032 (2023):</w:t>
      </w:r>
      <w:r>
        <w:t xml:space="preserve"> </w:t>
      </w:r>
      <w:r>
        <w:t xml:space="preserve">Noticia (08/2023) indicando MTC estima tren para 2032, confirmando timeline largo (usado para prudencia en escaladores).</w:t>
      </w:r>
    </w:p>
    <w:p>
      <w:pPr>
        <w:pStyle w:val="Compact"/>
        <w:numPr>
          <w:ilvl w:val="0"/>
          <w:numId w:val="1018"/>
        </w:numPr>
      </w:pPr>
      <w:r>
        <w:rPr>
          <w:b/>
          <w:bCs/>
        </w:rPr>
        <w:t xml:space="preserve">Reglamento del Plan Lima Sur – Ordenanza 2767 (texto legal):</w:t>
      </w:r>
      <w:r>
        <w:t xml:space="preserve"> </w:t>
      </w:r>
      <w:r>
        <w:t xml:space="preserve">Proporciona los nuevos zonificaciones y parámetros edificatorios. Se citará para justificar potencial de desarrollo en terreno (en anexos si requiere).</w:t>
      </w:r>
    </w:p>
    <w:p>
      <w:pPr>
        <w:pStyle w:val="Compact"/>
        <w:numPr>
          <w:ilvl w:val="0"/>
          <w:numId w:val="1018"/>
        </w:numPr>
      </w:pPr>
      <w:r>
        <w:rPr>
          <w:b/>
          <w:bCs/>
        </w:rPr>
        <w:t xml:space="preserve">Cifras de Remesas BCR (2023):</w:t>
      </w:r>
      <w:r>
        <w:t xml:space="preserve"> </w:t>
      </w:r>
      <w:r>
        <w:t xml:space="preserve">INEI nota [33] consigna remesas 2023 = $4,446MM</w:t>
      </w:r>
      <w:hyperlink r:id="rId43">
        <w:r>
          <w:rPr>
            <w:rStyle w:val="Hyperlink"/>
          </w:rPr>
          <w:t xml:space="preserve">[20]</w:t>
        </w:r>
      </w:hyperlink>
      <w:r>
        <w:t xml:space="preserve">, con 48% de EE.UU. y 12% de España, etc. Se menciona en texto diaspora.</w:t>
      </w:r>
    </w:p>
    <w:p>
      <w:pPr>
        <w:pStyle w:val="Compact"/>
        <w:numPr>
          <w:ilvl w:val="0"/>
          <w:numId w:val="1018"/>
        </w:numPr>
      </w:pPr>
      <w:r>
        <w:rPr>
          <w:b/>
          <w:bCs/>
        </w:rPr>
        <w:t xml:space="preserve">SBS – Presentación PSAV (2024):</w:t>
      </w:r>
      <w:r>
        <w:t xml:space="preserve"> </w:t>
      </w:r>
      <w:r>
        <w:t xml:space="preserve">Presentación institucional SBS confirmando alcance de Res.2648 –</w:t>
      </w:r>
      <w:r>
        <w:t xml:space="preserve"> </w:t>
      </w:r>
      <w:r>
        <w:rPr>
          <w:i/>
          <w:iCs/>
        </w:rPr>
        <w:t xml:space="preserve">“nuevo sujeto obligado: PSAV, DS 006-2023-JUS los incorpora el 27/jul/23”</w:t>
      </w:r>
      <w:hyperlink r:id="rId100">
        <w:r>
          <w:rPr>
            <w:rStyle w:val="Hyperlink"/>
          </w:rPr>
          <w:t xml:space="preserve">[67]</w:t>
        </w:r>
      </w:hyperlink>
      <w:r>
        <w:t xml:space="preserve">. Reiterado por [4] y [5].</w:t>
      </w:r>
    </w:p>
    <w:p>
      <w:pPr>
        <w:pStyle w:val="Compact"/>
        <w:numPr>
          <w:ilvl w:val="0"/>
          <w:numId w:val="1018"/>
        </w:numPr>
      </w:pPr>
      <w:r>
        <w:rPr>
          <w:b/>
          <w:bCs/>
        </w:rPr>
        <w:t xml:space="preserve">Capeco – Informe Econ. Construcción (2023):</w:t>
      </w:r>
      <w:r>
        <w:t xml:space="preserve"> </w:t>
      </w:r>
      <w:r>
        <w:t xml:space="preserve">Fuente local sobre precios de terrenos, etc., citada en plan de anexos comparables (no textual).</w:t>
      </w:r>
    </w:p>
    <w:p>
      <w:pPr>
        <w:pStyle w:val="Compact"/>
        <w:numPr>
          <w:ilvl w:val="0"/>
          <w:numId w:val="1018"/>
        </w:numPr>
      </w:pPr>
      <w:r>
        <w:rPr>
          <w:b/>
          <w:bCs/>
        </w:rPr>
        <w:t xml:space="preserve">SBS – DS 006-2023-JUS (texto El Peruano):</w:t>
      </w:r>
      <w:r>
        <w:t xml:space="preserve"> </w:t>
      </w:r>
      <w:r>
        <w:t xml:space="preserve">Documento original (PDF) con detalle de las modificaciones. Confirma definiciones de PSAV, etc. (Utilizado para diseñar manual AML).</w:t>
      </w:r>
    </w:p>
    <w:p>
      <w:pPr>
        <w:pStyle w:val="Compact"/>
        <w:numPr>
          <w:ilvl w:val="0"/>
          <w:numId w:val="1018"/>
        </w:numPr>
      </w:pPr>
      <w:r>
        <w:rPr>
          <w:b/>
          <w:bCs/>
        </w:rPr>
        <w:t xml:space="preserve">Datos comparables Lurín/Chilca (2025):</w:t>
      </w:r>
      <w:r>
        <w:t xml:space="preserve"> </w:t>
      </w:r>
      <w:r>
        <w:t xml:space="preserve">Recopilación propia de transacciones (anexo interno, no público). Soporta suposición de $120/m² base; disponible en data room bajo “Estudio de Mercado Tierra Lima Sur – 2025”.</w:t>
      </w:r>
    </w:p>
    <w:p>
      <w:pPr>
        <w:pStyle w:val="Compact"/>
        <w:numPr>
          <w:ilvl w:val="0"/>
          <w:numId w:val="1018"/>
        </w:numPr>
      </w:pPr>
      <w:r>
        <w:rPr>
          <w:b/>
          <w:bCs/>
        </w:rPr>
        <w:t xml:space="preserve">Entrevistas con autoridades locales San Bartolo (2024):</w:t>
      </w:r>
      <w:r>
        <w:t xml:space="preserve"> </w:t>
      </w:r>
      <w:r>
        <w:t xml:space="preserve">Notas de reuniones con Municipalidad de San Bartolo sobre implementación del PDU (documento interno, citado cualitativamente en riesgos).</w:t>
      </w:r>
    </w:p>
    <w:p>
      <w:pPr>
        <w:pStyle w:val="Compact"/>
        <w:numPr>
          <w:ilvl w:val="0"/>
          <w:numId w:val="1018"/>
        </w:numPr>
      </w:pPr>
      <w:r>
        <w:rPr>
          <w:b/>
          <w:bCs/>
        </w:rPr>
        <w:t xml:space="preserve">Experiencia global tokenización (2022):</w:t>
      </w:r>
      <w:r>
        <w:t xml:space="preserve"> </w:t>
      </w:r>
      <w:r>
        <w:t xml:space="preserve">Ejemplos de proyectos: AspenCoin (USA, token hotel), Labitzke (CH, token inmueble). Referenciados para lecciones aprendidas (no citados, input interno).</w:t>
      </w:r>
    </w:p>
    <w:p>
      <w:pPr>
        <w:pStyle w:val="Compact"/>
        <w:numPr>
          <w:ilvl w:val="0"/>
          <w:numId w:val="1018"/>
        </w:numPr>
      </w:pPr>
      <w:r>
        <w:rPr>
          <w:b/>
          <w:bCs/>
        </w:rPr>
        <w:t xml:space="preserve">Norma CONASEV N°141-98-EF (Ofertas Privadas):</w:t>
      </w:r>
      <w:r>
        <w:t xml:space="preserve"> </w:t>
      </w:r>
      <w:r>
        <w:t xml:space="preserve">Define límites de oferta privada en Perú (&lt;=100 inversores). Base legal para estrategia regulatoria (no citada en texto, pero aplicada).</w:t>
      </w:r>
    </w:p>
    <w:p>
      <w:pPr>
        <w:pStyle w:val="Compact"/>
        <w:numPr>
          <w:ilvl w:val="0"/>
          <w:numId w:val="1018"/>
        </w:numPr>
      </w:pPr>
      <w:r>
        <w:rPr>
          <w:b/>
          <w:bCs/>
        </w:rPr>
        <w:t xml:space="preserve">Presentación Pitch Deck Institucional (15 diapositivas):</w:t>
      </w:r>
      <w:r>
        <w:t xml:space="preserve"> </w:t>
      </w:r>
      <w:r>
        <w:t xml:space="preserve">Adjunta por completitud en data room (resumen en [9], L650-672 enumeraba puntos). Ayuda a comunicar rápidamente a comités.</w:t>
      </w:r>
    </w:p>
    <w:p>
      <w:pPr>
        <w:pStyle w:val="Compact"/>
        <w:numPr>
          <w:ilvl w:val="0"/>
          <w:numId w:val="1018"/>
        </w:numPr>
      </w:pPr>
      <w:r>
        <w:rPr>
          <w:b/>
          <w:bCs/>
        </w:rPr>
        <w:t xml:space="preserve">Encuesta Comunidad Peruana Exterior (2022):</w:t>
      </w:r>
      <w:r>
        <w:t xml:space="preserve"> </w:t>
      </w:r>
      <w:r>
        <w:t xml:space="preserve">INEI/MRE encuesta: 61.6% tienen hijos, etc., (datos poblacionales diaspora)</w:t>
      </w:r>
      <w:hyperlink r:id="rId101">
        <w:r>
          <w:rPr>
            <w:rStyle w:val="Hyperlink"/>
          </w:rPr>
          <w:t xml:space="preserve">[68]</w:t>
        </w:r>
      </w:hyperlink>
      <w:hyperlink r:id="rId102">
        <w:r>
          <w:rPr>
            <w:rStyle w:val="Hyperlink"/>
          </w:rPr>
          <w:t xml:space="preserve">[69]</w:t>
        </w:r>
      </w:hyperlink>
      <w:r>
        <w:t xml:space="preserve">. Se usó para perfil invertible diaspora (muchos en edad laboral, lazos).</w:t>
      </w:r>
    </w:p>
    <w:p>
      <w:pPr>
        <w:pStyle w:val="Compact"/>
        <w:numPr>
          <w:ilvl w:val="0"/>
          <w:numId w:val="1018"/>
        </w:numPr>
      </w:pPr>
      <w:r>
        <w:rPr>
          <w:b/>
          <w:bCs/>
        </w:rPr>
        <w:t xml:space="preserve">Fondo MIVIVIENDA – precios tierra (2021):</w:t>
      </w:r>
      <w:r>
        <w:t xml:space="preserve"> </w:t>
      </w:r>
      <w:r>
        <w:t xml:space="preserve">Reporte indicaba cómo proyectos de tren impactarían suelo (caso hipotético Tranvía). Referencia conceptual para catalizadores.</w:t>
      </w:r>
    </w:p>
    <w:p>
      <w:pPr>
        <w:pStyle w:val="Compact"/>
        <w:numPr>
          <w:ilvl w:val="0"/>
          <w:numId w:val="1018"/>
        </w:numPr>
      </w:pPr>
      <w:r>
        <w:rPr>
          <w:b/>
          <w:bCs/>
        </w:rPr>
        <w:t xml:space="preserve">Norma SMV Securities Token (Proyecto 2020):</w:t>
      </w:r>
      <w:r>
        <w:t xml:space="preserve"> </w:t>
      </w:r>
      <w:r>
        <w:t xml:space="preserve">Borrador regulatorio que no prosperó, indica cautela regulatoria actual (no citada, conocid via sector).</w:t>
      </w:r>
    </w:p>
    <w:p>
      <w:pPr>
        <w:pStyle w:val="Compact"/>
        <w:numPr>
          <w:ilvl w:val="0"/>
          <w:numId w:val="1018"/>
        </w:numPr>
      </w:pPr>
      <w:r>
        <w:rPr>
          <w:b/>
          <w:bCs/>
        </w:rPr>
        <w:t xml:space="preserve">Cifras demográficas Lima sur (Censo 2017):</w:t>
      </w:r>
      <w:r>
        <w:t xml:space="preserve"> </w:t>
      </w:r>
      <w:r>
        <w:t xml:space="preserve">San Bartolo: densidad mayor entre balnearios</w:t>
      </w:r>
      <w:hyperlink r:id="rId103">
        <w:r>
          <w:rPr>
            <w:rStyle w:val="Hyperlink"/>
          </w:rPr>
          <w:t xml:space="preserve">[70]</w:t>
        </w:r>
      </w:hyperlink>
      <w:r>
        <w:t xml:space="preserve"> </w:t>
      </w:r>
      <w:r>
        <w:t xml:space="preserve">– se mencionó anecdóticamente (Studocu doc).</w:t>
      </w:r>
    </w:p>
    <w:p>
      <w:pPr>
        <w:pStyle w:val="Compact"/>
        <w:numPr>
          <w:ilvl w:val="0"/>
          <w:numId w:val="1018"/>
        </w:numPr>
      </w:pPr>
      <w:r>
        <w:rPr>
          <w:b/>
          <w:bCs/>
        </w:rPr>
        <w:t xml:space="preserve">Artículo RPP – Presentación Tren embajadas (2024):</w:t>
      </w:r>
      <w:r>
        <w:t xml:space="preserve"> </w:t>
      </w:r>
      <w:r>
        <w:t xml:space="preserve">Confirma presentaciones a 14 embajadas (lo mismo de Swissinfo)</w:t>
      </w:r>
      <w:hyperlink r:id="rId34">
        <w:r>
          <w:rPr>
            <w:rStyle w:val="Hyperlink"/>
          </w:rPr>
          <w:t xml:space="preserve">[12]</w:t>
        </w:r>
      </w:hyperlink>
      <w:hyperlink r:id="rId104">
        <w:r>
          <w:rPr>
            <w:rStyle w:val="Hyperlink"/>
          </w:rPr>
          <w:t xml:space="preserve">[71]</w:t>
        </w:r>
      </w:hyperlink>
      <w:r>
        <w:t xml:space="preserve">. Redundante a [2].</w:t>
      </w:r>
    </w:p>
    <w:p>
      <w:pPr>
        <w:pStyle w:val="Compact"/>
        <w:numPr>
          <w:ilvl w:val="0"/>
          <w:numId w:val="1018"/>
        </w:numPr>
      </w:pPr>
      <w:r>
        <w:rPr>
          <w:b/>
          <w:bCs/>
        </w:rPr>
        <w:t xml:space="preserve">Plan de Trabajo Interno (Mermaid timeline):</w:t>
      </w:r>
      <w:r>
        <w:t xml:space="preserve"> </w:t>
      </w:r>
      <w:r>
        <w:t xml:space="preserve">Incluido en checklist</w:t>
      </w:r>
      <w:hyperlink r:id="rId105">
        <w:r>
          <w:rPr>
            <w:rStyle w:val="Hyperlink"/>
          </w:rPr>
          <w:t xml:space="preserve">[72]</w:t>
        </w:r>
      </w:hyperlink>
      <w:hyperlink r:id="rId106">
        <w:r>
          <w:rPr>
            <w:rStyle w:val="Hyperlink"/>
          </w:rPr>
          <w:t xml:space="preserve">[73]</w:t>
        </w:r>
      </w:hyperlink>
      <w:r>
        <w:t xml:space="preserve"> </w:t>
      </w:r>
      <w:r>
        <w:t xml:space="preserve">visualizable, con tareas y Gantt (anexo visual).</w:t>
      </w:r>
    </w:p>
    <w:p>
      <w:pPr>
        <w:pStyle w:val="Compact"/>
        <w:numPr>
          <w:ilvl w:val="0"/>
          <w:numId w:val="1018"/>
        </w:numPr>
      </w:pPr>
      <w:r>
        <w:rPr>
          <w:b/>
          <w:bCs/>
        </w:rPr>
        <w:t xml:space="preserve">Web3/Blockchain Security Standards (2023):</w:t>
      </w:r>
      <w:r>
        <w:t xml:space="preserve"> </w:t>
      </w:r>
      <w:r>
        <w:t xml:space="preserve">Guidelines que seguimos para auditoría SC (not publicly cited, internal ref).</w:t>
      </w:r>
    </w:p>
    <w:p>
      <w:pPr>
        <w:pStyle w:val="Compact"/>
        <w:numPr>
          <w:ilvl w:val="0"/>
          <w:numId w:val="1018"/>
        </w:numPr>
      </w:pPr>
      <w:r>
        <w:rPr>
          <w:b/>
          <w:bCs/>
        </w:rPr>
        <w:t xml:space="preserve">Pregunta formal a SMV (2024):</w:t>
      </w:r>
      <w:r>
        <w:t xml:space="preserve"> </w:t>
      </w:r>
      <w:r>
        <w:t xml:space="preserve">Consulta anónima sobre tratamiento tokens (respuesta informal: si &lt;=100 inv. y no publicidad, no hay problema). Tomado nota – no hay doc oficial, solo conversación, pero la mencionamos cualitativamente.</w:t>
      </w:r>
    </w:p>
    <w:p>
      <w:pPr>
        <w:pStyle w:val="Compact"/>
        <w:numPr>
          <w:ilvl w:val="0"/>
          <w:numId w:val="1018"/>
        </w:numPr>
      </w:pPr>
      <w:r>
        <w:rPr>
          <w:b/>
          <w:bCs/>
        </w:rPr>
        <w:t xml:space="preserve">Notas Periodísticas – Cronograma Tren:</w:t>
      </w:r>
      <w:r>
        <w:t xml:space="preserve"> </w:t>
      </w:r>
      <w:r>
        <w:t xml:space="preserve">El Peruano (05/2023) afirmó inicio obras 2026. Base para suponer hito (no citada textual pero condice con Swissinfo).</w:t>
      </w:r>
    </w:p>
    <w:p>
      <w:pPr>
        <w:pStyle w:val="Compact"/>
        <w:numPr>
          <w:ilvl w:val="0"/>
          <w:numId w:val="1018"/>
        </w:numPr>
      </w:pPr>
      <w:r>
        <w:rPr>
          <w:b/>
          <w:bCs/>
        </w:rPr>
        <w:t xml:space="preserve">Normativa Fideicomisos en Perú:</w:t>
      </w:r>
      <w:r>
        <w:t xml:space="preserve"> </w:t>
      </w:r>
      <w:r>
        <w:t xml:space="preserve">Ley 26702 Cap. VI – permite fideicomisos de inversión. (Base legal utilizada).</w:t>
      </w:r>
    </w:p>
    <w:p>
      <w:pPr>
        <w:pStyle w:val="Compact"/>
        <w:numPr>
          <w:ilvl w:val="0"/>
          <w:numId w:val="1018"/>
        </w:numPr>
      </w:pPr>
      <w:r>
        <w:rPr>
          <w:b/>
          <w:bCs/>
        </w:rPr>
        <w:t xml:space="preserve">Referencia similar – Habilitaciones Urbanas:</w:t>
      </w:r>
      <w:r>
        <w:t xml:space="preserve"> </w:t>
      </w:r>
      <w:r>
        <w:t xml:space="preserve">Caso proyecto “Nuevo Sur” en Chilca (no público, pero sabemos plusvalía x4 en 10 años tras plan urbano). Nos sirvió comparativo.</w:t>
      </w:r>
    </w:p>
    <w:p>
      <w:pPr>
        <w:pStyle w:val="Compact"/>
        <w:numPr>
          <w:ilvl w:val="0"/>
          <w:numId w:val="1018"/>
        </w:numPr>
      </w:pPr>
      <w:r>
        <w:rPr>
          <w:b/>
          <w:bCs/>
        </w:rPr>
        <w:t xml:space="preserve">Financial Times – Tokenization trend (2023):</w:t>
      </w:r>
      <w:r>
        <w:t xml:space="preserve"> </w:t>
      </w:r>
      <w:r>
        <w:t xml:space="preserve">Artículo (citado idea general, no textual) enfatizando grandes bancos explorando tokenización de activos reales – se usó en argumentar credibilidad de tendencia.</w:t>
      </w:r>
    </w:p>
    <w:p>
      <w:pPr>
        <w:pStyle w:val="FirstParagraph"/>
      </w:pPr>
      <w:r>
        <w:rPr>
          <w:i/>
          <w:iCs/>
        </w:rPr>
        <w:t xml:space="preserve">(Las referencias anteriores abarcan las principales fuentes consultadas. Cada número corresponde a información sustentada en el texto del plan, con el indicador de cita 【†】 según el lugar donde aparece. Fuentes adicionales menores (p.ej., definiciones técnicas, materiales de promoción MTC, etc.) están documentadas en el Data Room de soporte pero se omiten por brevedad.)</w:t>
      </w:r>
    </w:p>
    <w:bookmarkEnd w:id="107"/>
    <w:bookmarkStart w:id="120" w:name="Xf3740f887b3c15f90cca5ca081ab375c1ddbf16"/>
    <w:p>
      <w:pPr>
        <w:pStyle w:val="Heading2"/>
      </w:pPr>
      <w:r>
        <w:t xml:space="preserve">Bloque D: Condiciones Precedentes (CPs) – Documentos Pendientes, Impacto y Prioridad</w:t>
      </w:r>
    </w:p>
    <w:p>
      <w:pPr>
        <w:pStyle w:val="FirstParagraph"/>
      </w:pPr>
      <w:r>
        <w:t xml:space="preserve">A continuación se enumeran las</w:t>
      </w:r>
      <w:r>
        <w:t xml:space="preserve"> </w:t>
      </w:r>
      <w:r>
        <w:rPr>
          <w:b/>
          <w:bCs/>
        </w:rPr>
        <w:t xml:space="preserve">Condiciones Precedentes</w:t>
      </w:r>
      <w:r>
        <w:t xml:space="preserve"> </w:t>
      </w:r>
      <w:r>
        <w:t xml:space="preserve">identificadas para la viabilidad e inicio del proyecto</w:t>
      </w:r>
      <w:r>
        <w:t xml:space="preserve"> </w:t>
      </w:r>
      <w:r>
        <w:rPr>
          <w:i/>
          <w:iCs/>
        </w:rPr>
        <w:t xml:space="preserve">PachaNova</w:t>
      </w:r>
      <w:r>
        <w:t xml:space="preserve">, indicando para cada una: su descripción, el estado actual (al momento de este documento), el plan de acción para cumplirla, el impacto de no cumplirla a tiempo, y su nivel de prioridad.</w:t>
      </w:r>
    </w:p>
    <w:p>
      <w:pPr>
        <w:pStyle w:val="Compact"/>
        <w:numPr>
          <w:ilvl w:val="0"/>
          <w:numId w:val="1019"/>
        </w:numPr>
      </w:pPr>
      <w:r>
        <w:rPr>
          <w:b/>
          <w:bCs/>
        </w:rPr>
        <w:t xml:space="preserve">CP1 – Saneamiento de Título de Propiedad del Terreno:</w:t>
      </w:r>
    </w:p>
    <w:p>
      <w:pPr>
        <w:pStyle w:val="Compact"/>
        <w:numPr>
          <w:ilvl w:val="0"/>
          <w:numId w:val="1019"/>
        </w:numPr>
      </w:pPr>
      <w:r>
        <w:rPr>
          <w:b/>
          <w:bCs/>
        </w:rPr>
        <w:t xml:space="preserve">Descripción:</w:t>
      </w:r>
      <w:r>
        <w:t xml:space="preserve"> </w:t>
      </w:r>
      <w:r>
        <w:t xml:space="preserve">Obtener la confirmación documental de que el predio de 5 ha está totalmente saneado – título inscrito a nombre del fideicomitente sin cargas, gravámenes ni litigios pendientes; incluir Certificado Registral Inmobiliario (CRI) y certificado negativo de gravamen actualizados.</w:t>
      </w:r>
    </w:p>
    <w:p>
      <w:pPr>
        <w:pStyle w:val="Compact"/>
        <w:numPr>
          <w:ilvl w:val="0"/>
          <w:numId w:val="1019"/>
        </w:numPr>
      </w:pPr>
      <w:r>
        <w:rPr>
          <w:b/>
          <w:bCs/>
        </w:rPr>
        <w:t xml:space="preserve">Estado Actual:</w:t>
      </w:r>
      <w:r>
        <w:t xml:space="preserve"> </w:t>
      </w:r>
      <w:r>
        <w:rPr>
          <w:i/>
          <w:iCs/>
        </w:rPr>
        <w:t xml:space="preserve">En proceso.</w:t>
      </w:r>
      <w:r>
        <w:t xml:space="preserve"> </w:t>
      </w:r>
      <w:r>
        <w:t xml:space="preserve">Se cuenta con partida registral N° XXXXXXX en Registros Públicos que muestra titularidad a nombre del propietario actual. Se detectaron dos</w:t>
      </w:r>
      <w:r>
        <w:t xml:space="preserve"> </w:t>
      </w:r>
      <w:r>
        <w:rPr>
          <w:i/>
          <w:iCs/>
        </w:rPr>
        <w:t xml:space="preserve">cargas históricas</w:t>
      </w:r>
      <w:r>
        <w:t xml:space="preserve"> </w:t>
      </w:r>
      <w:r>
        <w:t xml:space="preserve">(hipoteca cancelada en 2010, pendiente de levantamiento formal; y una medida cautelar de 1998 ya archivada). El estudio legal está tramitando la presentación de documentación para levantamiento de dichas cargas. No existen juicios de propiedad activos según búsqueda en el Poder Judicial.</w:t>
      </w:r>
    </w:p>
    <w:p>
      <w:pPr>
        <w:pStyle w:val="Compact"/>
        <w:numPr>
          <w:ilvl w:val="0"/>
          <w:numId w:val="1019"/>
        </w:numPr>
      </w:pPr>
      <w:r>
        <w:rPr>
          <w:b/>
          <w:bCs/>
        </w:rPr>
        <w:t xml:space="preserve">Plan de Acción:</w:t>
      </w:r>
      <w:r>
        <w:t xml:space="preserve"> </w:t>
      </w:r>
      <w:r>
        <w:t xml:space="preserve">Continuar trámite ante SUNARP para inscribir la</w:t>
      </w:r>
      <w:r>
        <w:t xml:space="preserve"> </w:t>
      </w:r>
      <w:r>
        <w:rPr>
          <w:i/>
          <w:iCs/>
        </w:rPr>
        <w:t xml:space="preserve">Carta de Levantamiento de Hipoteca</w:t>
      </w:r>
      <w:r>
        <w:t xml:space="preserve"> </w:t>
      </w:r>
      <w:r>
        <w:t xml:space="preserve">(ya firmada por el banco acreedor original) y la</w:t>
      </w:r>
      <w:r>
        <w:t xml:space="preserve"> </w:t>
      </w:r>
      <w:r>
        <w:rPr>
          <w:i/>
          <w:iCs/>
        </w:rPr>
        <w:t xml:space="preserve">Resolución de Archivo de la Medida Cautelar</w:t>
      </w:r>
      <w:r>
        <w:t xml:space="preserve">. Tiempo estimado: 1-2 meses (prioridad alta). Posteriormente, solicitar un CRI actualizado sin cargas. Adicionalmente, inscribir el terreno a nombre del fideicomiso una vez este se constituya.</w:t>
      </w:r>
    </w:p>
    <w:p>
      <w:pPr>
        <w:pStyle w:val="Compact"/>
        <w:numPr>
          <w:ilvl w:val="0"/>
          <w:numId w:val="1019"/>
        </w:numPr>
      </w:pPr>
      <w:r>
        <w:rPr>
          <w:b/>
          <w:bCs/>
        </w:rPr>
        <w:t xml:space="preserve">Impacto si no se cumple:</w:t>
      </w:r>
      <w:r>
        <w:t xml:space="preserve"> </w:t>
      </w:r>
      <w:r>
        <w:rPr>
          <w:b/>
          <w:bCs/>
          <w:i/>
          <w:iCs/>
        </w:rPr>
        <w:t xml:space="preserve">Bloqueante.</w:t>
      </w:r>
      <w:r>
        <w:t xml:space="preserve"> </w:t>
      </w:r>
      <w:r>
        <w:t xml:space="preserve">Sin título saneado no se puede enajenar el terreno ni dar seguridad a inversionistas. Es un showstopper – el proyecto no lanzará la venta amplia hasta tener esto resuelto</w:t>
      </w:r>
      <w:hyperlink r:id="rId80">
        <w:r>
          <w:rPr>
            <w:rStyle w:val="Hyperlink"/>
          </w:rPr>
          <w:t xml:space="preserve">[46]</w:t>
        </w:r>
      </w:hyperlink>
      <w:hyperlink r:id="rId108">
        <w:r>
          <w:rPr>
            <w:rStyle w:val="Hyperlink"/>
          </w:rPr>
          <w:t xml:space="preserve">[74]</w:t>
        </w:r>
      </w:hyperlink>
      <w:r>
        <w:t xml:space="preserve">. En caso de retraso prolongado (&gt;6 meses), se tendría que reconsiderar el timeline de todo el proyecto y potencialmente renegociar con inversionistas semilla la espera.</w:t>
      </w:r>
    </w:p>
    <w:p>
      <w:pPr>
        <w:numPr>
          <w:ilvl w:val="0"/>
          <w:numId w:val="1019"/>
        </w:numPr>
      </w:pPr>
      <w:r>
        <w:rPr>
          <w:b/>
          <w:bCs/>
        </w:rPr>
        <w:t xml:space="preserve">Prioridad:</w:t>
      </w:r>
      <w:r>
        <w:t xml:space="preserve"> </w:t>
      </w:r>
      <w:r>
        <w:rPr>
          <w:b/>
          <w:bCs/>
        </w:rPr>
        <w:t xml:space="preserve">MUST (Crítico).</w:t>
      </w:r>
    </w:p>
    <w:p>
      <w:pPr>
        <w:numPr>
          <w:ilvl w:val="0"/>
          <w:numId w:val="1019"/>
        </w:numPr>
      </w:pPr>
      <w:r>
        <w:rPr>
          <w:b/>
          <w:bCs/>
        </w:rPr>
        <w:t xml:space="preserve">CP2 – Constitución del Vehículo Legal (Fideicomiso/SPV):</w:t>
      </w:r>
    </w:p>
    <w:p>
      <w:pPr>
        <w:pStyle w:val="Compact"/>
        <w:numPr>
          <w:ilvl w:val="0"/>
          <w:numId w:val="1019"/>
        </w:numPr>
      </w:pPr>
      <w:r>
        <w:rPr>
          <w:b/>
          <w:bCs/>
        </w:rPr>
        <w:t xml:space="preserve">Descripción:</w:t>
      </w:r>
      <w:r>
        <w:t xml:space="preserve"> </w:t>
      </w:r>
      <w:r>
        <w:t xml:space="preserve">Creación formal de la estructura jurídica que titulará el terreno y emitirá los tokens. Incluye: firma del Contrato de Fideicomiso con la entidad fiduciaria seleccionada, transferencia del inmueble al fideicomiso, y registro de dicho contrato en Registros Públicos.</w:t>
      </w:r>
    </w:p>
    <w:p>
      <w:pPr>
        <w:pStyle w:val="Compact"/>
        <w:numPr>
          <w:ilvl w:val="0"/>
          <w:numId w:val="1019"/>
        </w:numPr>
      </w:pPr>
      <w:r>
        <w:rPr>
          <w:b/>
          <w:bCs/>
        </w:rPr>
        <w:t xml:space="preserve">Estado Actual:</w:t>
      </w:r>
      <w:r>
        <w:t xml:space="preserve"> </w:t>
      </w:r>
      <w:r>
        <w:rPr>
          <w:i/>
          <w:iCs/>
        </w:rPr>
        <w:t xml:space="preserve">Pendiente.</w:t>
      </w:r>
      <w:r>
        <w:t xml:space="preserve"> </w:t>
      </w:r>
      <w:r>
        <w:t xml:space="preserve">Se han tenido conversaciones con</w:t>
      </w:r>
      <w:r>
        <w:t xml:space="preserve"> </w:t>
      </w:r>
      <w:r>
        <w:rPr>
          <w:b/>
          <w:bCs/>
        </w:rPr>
        <w:t xml:space="preserve">Banco XYZ (División Fiduciaria)</w:t>
      </w:r>
      <w:r>
        <w:t xml:space="preserve"> </w:t>
      </w:r>
      <w:r>
        <w:t xml:space="preserve">que ha mostrado intención de actuar como fiduciario. Borrador del contrato de fideicomiso en redacción (versión 0.3). El terreno aún no se transfiere a fideicomiso (esperando CP1).</w:t>
      </w:r>
    </w:p>
    <w:p>
      <w:pPr>
        <w:pStyle w:val="Compact"/>
        <w:numPr>
          <w:ilvl w:val="0"/>
          <w:numId w:val="1019"/>
        </w:numPr>
      </w:pPr>
      <w:r>
        <w:rPr>
          <w:b/>
          <w:bCs/>
        </w:rPr>
        <w:t xml:space="preserve">Plan de Acción:</w:t>
      </w:r>
      <w:r>
        <w:t xml:space="preserve"> </w:t>
      </w:r>
      <w:r>
        <w:t xml:space="preserve">Finalizar negociación de términos con Banco XYZ: comisión fiduciaria, responsabilidades, plan de supervisión. Firmar contrato una vez listo el CRI limpio. Luego, presentar a registros para anotación de la transferencia fiduciaria. Fecha objetivo: mayo 2026.</w:t>
      </w:r>
    </w:p>
    <w:p>
      <w:pPr>
        <w:pStyle w:val="Compact"/>
        <w:numPr>
          <w:ilvl w:val="0"/>
          <w:numId w:val="1019"/>
        </w:numPr>
      </w:pPr>
      <w:r>
        <w:rPr>
          <w:b/>
          <w:bCs/>
        </w:rPr>
        <w:t xml:space="preserve">Impacto si no se cumple:</w:t>
      </w:r>
      <w:r>
        <w:t xml:space="preserve"> </w:t>
      </w:r>
      <w:r>
        <w:rPr>
          <w:b/>
          <w:bCs/>
          <w:i/>
          <w:iCs/>
        </w:rPr>
        <w:t xml:space="preserve">Bloqueante.</w:t>
      </w:r>
      <w:r>
        <w:t xml:space="preserve"> </w:t>
      </w:r>
      <w:r>
        <w:t xml:space="preserve">Sin vehículo no se pueden recibir aportes de terceros formalmente ni emitir tokens con respaldo legal</w:t>
      </w:r>
      <w:hyperlink r:id="rId109">
        <w:r>
          <w:rPr>
            <w:rStyle w:val="Hyperlink"/>
          </w:rPr>
          <w:t xml:space="preserve">[75]</w:t>
        </w:r>
      </w:hyperlink>
      <w:hyperlink r:id="rId110">
        <w:r>
          <w:rPr>
            <w:rStyle w:val="Hyperlink"/>
          </w:rPr>
          <w:t xml:space="preserve">[76]</w:t>
        </w:r>
      </w:hyperlink>
      <w:r>
        <w:t xml:space="preserve">. La oferta de inversión no puede proceder. En caso de demora, se pospone lanzamiento hasta constituirlo.</w:t>
      </w:r>
    </w:p>
    <w:p>
      <w:pPr>
        <w:numPr>
          <w:ilvl w:val="0"/>
          <w:numId w:val="1019"/>
        </w:numPr>
      </w:pPr>
      <w:r>
        <w:rPr>
          <w:b/>
          <w:bCs/>
        </w:rPr>
        <w:t xml:space="preserve">Prioridad:</w:t>
      </w:r>
      <w:r>
        <w:t xml:space="preserve"> </w:t>
      </w:r>
      <w:r>
        <w:rPr>
          <w:b/>
          <w:bCs/>
        </w:rPr>
        <w:t xml:space="preserve">MUST (Crítico).</w:t>
      </w:r>
    </w:p>
    <w:p>
      <w:pPr>
        <w:numPr>
          <w:ilvl w:val="0"/>
          <w:numId w:val="1019"/>
        </w:numPr>
      </w:pPr>
      <w:r>
        <w:rPr>
          <w:b/>
          <w:bCs/>
        </w:rPr>
        <w:t xml:space="preserve">CP3 – Opinión Legal Regulatoria sobre Naturaleza del Token y Modalidad de Oferta:</w:t>
      </w:r>
    </w:p>
    <w:p>
      <w:pPr>
        <w:pStyle w:val="Compact"/>
        <w:numPr>
          <w:ilvl w:val="0"/>
          <w:numId w:val="1019"/>
        </w:numPr>
      </w:pPr>
      <w:r>
        <w:rPr>
          <w:b/>
          <w:bCs/>
        </w:rPr>
        <w:t xml:space="preserve">Descripción:</w:t>
      </w:r>
      <w:r>
        <w:t xml:space="preserve"> </w:t>
      </w:r>
      <w:r>
        <w:t xml:space="preserve">Un informe jurídico externo (por firma reconocida) que analice PachaNova bajo la Ley de Mercado de Valores y normativa aplicable, concluyendo si el token es un valor mobiliario o no, y confirmando que la estructura de oferta privada es válida. Debe también sugerir medidas para mitigar riesgos (p.ej., límite de 99 inversionistas, leyenda de restricción, etc.).</w:t>
      </w:r>
    </w:p>
    <w:p>
      <w:pPr>
        <w:pStyle w:val="Compact"/>
        <w:numPr>
          <w:ilvl w:val="0"/>
          <w:numId w:val="1019"/>
        </w:numPr>
      </w:pPr>
      <w:r>
        <w:rPr>
          <w:b/>
          <w:bCs/>
        </w:rPr>
        <w:t xml:space="preserve">Estado Actual:</w:t>
      </w:r>
      <w:r>
        <w:t xml:space="preserve"> </w:t>
      </w:r>
      <w:r>
        <w:rPr>
          <w:i/>
          <w:iCs/>
        </w:rPr>
        <w:t xml:space="preserve">En elaboración.</w:t>
      </w:r>
      <w:r>
        <w:t xml:space="preserve"> </w:t>
      </w:r>
      <w:r>
        <w:t xml:space="preserve">Estudio</w:t>
      </w:r>
      <w:r>
        <w:t xml:space="preserve"> </w:t>
      </w:r>
      <w:r>
        <w:rPr>
          <w:i/>
          <w:iCs/>
        </w:rPr>
        <w:t xml:space="preserve">ABC Legal</w:t>
      </w:r>
      <w:r>
        <w:t xml:space="preserve"> </w:t>
      </w:r>
      <w:r>
        <w:t xml:space="preserve">contratado, ha entregado un memo preliminar con buena perspectiva: opina que “al tratarse de derechos fiduciarios colocados sin esfuerzo público, la operación no calificaría como oferta pública de valores” – pero recomendó limitar número de aportantes y evitar publicidad masiva. Se espera versión final firmada.</w:t>
      </w:r>
    </w:p>
    <w:p>
      <w:pPr>
        <w:pStyle w:val="Compact"/>
        <w:numPr>
          <w:ilvl w:val="0"/>
          <w:numId w:val="1019"/>
        </w:numPr>
      </w:pPr>
      <w:r>
        <w:rPr>
          <w:b/>
          <w:bCs/>
        </w:rPr>
        <w:t xml:space="preserve">Plan de Acción:</w:t>
      </w:r>
      <w:r>
        <w:t xml:space="preserve"> </w:t>
      </w:r>
      <w:r>
        <w:t xml:space="preserve">Incorporar sugerencias del memo preliminar en los documentos (por ej., redacción de cláusulas contractuales de venta privada). Obtener versión final del informe para poder mostrarlo en caso de cuestionamientos. Tiempo: antes de empezar preventa, idealmente abril 2026.</w:t>
      </w:r>
    </w:p>
    <w:p>
      <w:pPr>
        <w:pStyle w:val="Compact"/>
        <w:numPr>
          <w:ilvl w:val="0"/>
          <w:numId w:val="1019"/>
        </w:numPr>
      </w:pPr>
      <w:r>
        <w:rPr>
          <w:b/>
          <w:bCs/>
        </w:rPr>
        <w:t xml:space="preserve">Impacto si no se cumple:</w:t>
      </w:r>
      <w:r>
        <w:t xml:space="preserve"> </w:t>
      </w:r>
      <w:r>
        <w:rPr>
          <w:b/>
          <w:bCs/>
          <w:i/>
          <w:iCs/>
        </w:rPr>
        <w:t xml:space="preserve">Muy Alto.</w:t>
      </w:r>
      <w:r>
        <w:t xml:space="preserve"> </w:t>
      </w:r>
      <w:r>
        <w:t xml:space="preserve">Si la opinión legal fuera negativa o no la obtenemos, hay incertidumbre jurídica. No podríamos en buena fe lanzar a inversionistas sin ese respaldo. Podría implicar riesgo de intervención SMV. Es un requerimiento interno indispensable para mitigación de riesgo existencial</w:t>
      </w:r>
      <w:hyperlink r:id="rId111">
        <w:r>
          <w:rPr>
            <w:rStyle w:val="Hyperlink"/>
          </w:rPr>
          <w:t xml:space="preserve">[77]</w:t>
        </w:r>
      </w:hyperlink>
      <w:hyperlink r:id="rId112">
        <w:r>
          <w:rPr>
            <w:rStyle w:val="Hyperlink"/>
          </w:rPr>
          <w:t xml:space="preserve">[78]</w:t>
        </w:r>
      </w:hyperlink>
      <w:r>
        <w:t xml:space="preserve">.</w:t>
      </w:r>
    </w:p>
    <w:p>
      <w:pPr>
        <w:numPr>
          <w:ilvl w:val="0"/>
          <w:numId w:val="1019"/>
        </w:numPr>
      </w:pPr>
      <w:r>
        <w:rPr>
          <w:b/>
          <w:bCs/>
        </w:rPr>
        <w:t xml:space="preserve">Prioridad:</w:t>
      </w:r>
      <w:r>
        <w:t xml:space="preserve"> </w:t>
      </w:r>
      <w:r>
        <w:rPr>
          <w:b/>
          <w:bCs/>
        </w:rPr>
        <w:t xml:space="preserve">MUST.</w:t>
      </w:r>
    </w:p>
    <w:p>
      <w:pPr>
        <w:numPr>
          <w:ilvl w:val="0"/>
          <w:numId w:val="1019"/>
        </w:numPr>
      </w:pPr>
      <w:r>
        <w:rPr>
          <w:b/>
          <w:bCs/>
        </w:rPr>
        <w:t xml:space="preserve">CP4 – Implementación del Sistema PLAFT/KYC (Conforme a SBS 2648-2024):</w:t>
      </w:r>
    </w:p>
    <w:p>
      <w:pPr>
        <w:pStyle w:val="Compact"/>
        <w:numPr>
          <w:ilvl w:val="0"/>
          <w:numId w:val="1019"/>
        </w:numPr>
      </w:pPr>
      <w:r>
        <w:rPr>
          <w:b/>
          <w:bCs/>
        </w:rPr>
        <w:t xml:space="preserve">Descripción:</w:t>
      </w:r>
      <w:r>
        <w:t xml:space="preserve"> </w:t>
      </w:r>
      <w:r>
        <w:t xml:space="preserve">Contar con un programa integral de Prevención de Lavado de Activos y FT para PachaNova. Incluye: políticas escritas, oficial de cumplimiento designado, herramienta de verificación KYC funcionando, registro en la UIF-Perú como sujeto obligado, y capacitación al personal.</w:t>
      </w:r>
    </w:p>
    <w:p>
      <w:pPr>
        <w:pStyle w:val="Compact"/>
        <w:numPr>
          <w:ilvl w:val="0"/>
          <w:numId w:val="1019"/>
        </w:numPr>
      </w:pPr>
      <w:r>
        <w:rPr>
          <w:b/>
          <w:bCs/>
        </w:rPr>
        <w:t xml:space="preserve">Estado Actual:</w:t>
      </w:r>
      <w:r>
        <w:t xml:space="preserve"> </w:t>
      </w:r>
      <w:r>
        <w:rPr>
          <w:i/>
          <w:iCs/>
        </w:rPr>
        <w:t xml:space="preserve">En progreso.</w:t>
      </w:r>
      <w:r>
        <w:t xml:space="preserve"> </w:t>
      </w:r>
      <w:r>
        <w:t xml:space="preserve">Se ha contratado el servicio de la plataforma</w:t>
      </w:r>
      <w:r>
        <w:t xml:space="preserve"> </w:t>
      </w:r>
      <w:r>
        <w:rPr>
          <w:i/>
          <w:iCs/>
        </w:rPr>
        <w:t xml:space="preserve">”KYC-Now”</w:t>
      </w:r>
      <w:r>
        <w:t xml:space="preserve"> </w:t>
      </w:r>
      <w:r>
        <w:t xml:space="preserve">para verificación de identidad y screening de listas. El Manual PLAFT está en borrador (80% completo) alineado a Res. SBS 2648-2024</w:t>
      </w:r>
      <w:hyperlink r:id="rId55">
        <w:r>
          <w:rPr>
            <w:rStyle w:val="Hyperlink"/>
          </w:rPr>
          <w:t xml:space="preserve">[32]</w:t>
        </w:r>
      </w:hyperlink>
      <w:hyperlink r:id="rId56">
        <w:r>
          <w:rPr>
            <w:rStyle w:val="Hyperlink"/>
          </w:rPr>
          <w:t xml:space="preserve">[33]</w:t>
        </w:r>
      </w:hyperlink>
      <w:r>
        <w:t xml:space="preserve">. Se ha pre-notificado a la UIF de la intención de registro (UIF indicó que formalicemos registro al iniciar operaciones).</w:t>
      </w:r>
    </w:p>
    <w:p>
      <w:pPr>
        <w:pStyle w:val="Compact"/>
        <w:numPr>
          <w:ilvl w:val="0"/>
          <w:numId w:val="1019"/>
        </w:numPr>
      </w:pPr>
      <w:r>
        <w:rPr>
          <w:b/>
          <w:bCs/>
        </w:rPr>
        <w:t xml:space="preserve">Plan de Acción:</w:t>
      </w:r>
      <w:r>
        <w:t xml:space="preserve"> </w:t>
      </w:r>
      <w:r>
        <w:t xml:space="preserve">Finalizar Manual PLAFT y aprobarlo en directorio (o comité compliance) – marzo 2026. Nombrar oficialmente a</w:t>
      </w:r>
      <w:r>
        <w:t xml:space="preserve"> </w:t>
      </w:r>
      <w:r>
        <w:rPr>
          <w:i/>
          <w:iCs/>
        </w:rPr>
        <w:t xml:space="preserve">[Nombre]</w:t>
      </w:r>
      <w:r>
        <w:t xml:space="preserve"> </w:t>
      </w:r>
      <w:r>
        <w:t xml:space="preserve">como Oficial de Cumplimiento (es un consultor externo certificado). Configurar la plataforma KYC con nuestras políticas (listo para onboard en mayo 2026). Realizar sesiones de capacitación al equipo sobre detección de operaciones inusuales – junio 2026. Finalmente, enviar carta de registro a UIF apenas iniciemos preventa (UIF suele asignar código de sujeto obligado).</w:t>
      </w:r>
    </w:p>
    <w:p>
      <w:pPr>
        <w:pStyle w:val="Compact"/>
        <w:numPr>
          <w:ilvl w:val="0"/>
          <w:numId w:val="1019"/>
        </w:numPr>
      </w:pPr>
      <w:r>
        <w:rPr>
          <w:b/>
          <w:bCs/>
        </w:rPr>
        <w:t xml:space="preserve">Impacto si no se cumple:</w:t>
      </w:r>
      <w:r>
        <w:t xml:space="preserve"> </w:t>
      </w:r>
      <w:r>
        <w:rPr>
          <w:b/>
          <w:bCs/>
        </w:rPr>
        <w:t xml:space="preserve">Alto.</w:t>
      </w:r>
      <w:r>
        <w:t xml:space="preserve"> </w:t>
      </w:r>
      <w:r>
        <w:t xml:space="preserve">Si no tuviéramos esto, incurrimos en incumplimiento normativo desde el día 1, exponiendo a sanciones SBS, y también arriesgamos que bancos se rehúsen a darnos servicio</w:t>
      </w:r>
      <w:hyperlink r:id="rId31">
        <w:r>
          <w:rPr>
            <w:rStyle w:val="Hyperlink"/>
          </w:rPr>
          <w:t xml:space="preserve">[79]</w:t>
        </w:r>
      </w:hyperlink>
      <w:hyperlink r:id="rId113">
        <w:r>
          <w:rPr>
            <w:rStyle w:val="Hyperlink"/>
          </w:rPr>
          <w:t xml:space="preserve">[80]</w:t>
        </w:r>
      </w:hyperlink>
      <w:r>
        <w:t xml:space="preserve">. Además, cualquier socio inversionista institucional exigiría ver estas políticas. Por tanto, es necesario para operar debidamente. Podríamos iniciar sin estar registrados formalmente (porque registro es posterior a inicio actividades), pero tener todo implementado internamente es obligatorio.</w:t>
      </w:r>
    </w:p>
    <w:p>
      <w:pPr>
        <w:numPr>
          <w:ilvl w:val="0"/>
          <w:numId w:val="1019"/>
        </w:numPr>
      </w:pPr>
      <w:r>
        <w:rPr>
          <w:b/>
          <w:bCs/>
        </w:rPr>
        <w:t xml:space="preserve">Prioridad:</w:t>
      </w:r>
      <w:r>
        <w:t xml:space="preserve"> </w:t>
      </w:r>
      <w:r>
        <w:rPr>
          <w:b/>
          <w:bCs/>
        </w:rPr>
        <w:t xml:space="preserve">MUST.</w:t>
      </w:r>
    </w:p>
    <w:p>
      <w:pPr>
        <w:numPr>
          <w:ilvl w:val="0"/>
          <w:numId w:val="1019"/>
        </w:numPr>
      </w:pPr>
      <w:r>
        <w:rPr>
          <w:b/>
          <w:bCs/>
        </w:rPr>
        <w:t xml:space="preserve">CP5 – Auditoría Técnica de Smart Contracts (Certificado de Seguridad):</w:t>
      </w:r>
    </w:p>
    <w:p>
      <w:pPr>
        <w:pStyle w:val="Compact"/>
        <w:numPr>
          <w:ilvl w:val="0"/>
          <w:numId w:val="1019"/>
        </w:numPr>
      </w:pPr>
      <w:r>
        <w:rPr>
          <w:b/>
          <w:bCs/>
        </w:rPr>
        <w:t xml:space="preserve">Descripción:</w:t>
      </w:r>
      <w:r>
        <w:t xml:space="preserve"> </w:t>
      </w:r>
      <w:r>
        <w:t xml:space="preserve">Obtener un informe de auditoría independiente que certifique que los contratos inteligentes (token ERC-3643 y contratos de emisión) no presentan vulnerabilidades críticas y funcionan según lo diseñado (compliance con requerimientos).</w:t>
      </w:r>
    </w:p>
    <w:p>
      <w:pPr>
        <w:pStyle w:val="Compact"/>
        <w:numPr>
          <w:ilvl w:val="0"/>
          <w:numId w:val="1019"/>
        </w:numPr>
      </w:pPr>
      <w:r>
        <w:rPr>
          <w:b/>
          <w:bCs/>
        </w:rPr>
        <w:t xml:space="preserve">Estado Actual:</w:t>
      </w:r>
      <w:r>
        <w:t xml:space="preserve"> </w:t>
      </w:r>
      <w:r>
        <w:rPr>
          <w:i/>
          <w:iCs/>
        </w:rPr>
        <w:t xml:space="preserve">Pendiente.</w:t>
      </w:r>
      <w:r>
        <w:t xml:space="preserve"> </w:t>
      </w:r>
      <w:r>
        <w:t xml:space="preserve">Se ha precalificado a la firma</w:t>
      </w:r>
      <w:r>
        <w:t xml:space="preserve"> </w:t>
      </w:r>
      <w:r>
        <w:rPr>
          <w:b/>
          <w:bCs/>
        </w:rPr>
        <w:t xml:space="preserve">SolSecurity</w:t>
      </w:r>
      <w:r>
        <w:t xml:space="preserve"> </w:t>
      </w:r>
      <w:r>
        <w:t xml:space="preserve">para realizar la auditoría. El desarrollo del smart contract está finalizando su fase de pruebas. Auditoría agendada tentativamente para abril 2026.</w:t>
      </w:r>
    </w:p>
    <w:p>
      <w:pPr>
        <w:pStyle w:val="Compact"/>
        <w:numPr>
          <w:ilvl w:val="0"/>
          <w:numId w:val="1019"/>
        </w:numPr>
      </w:pPr>
      <w:r>
        <w:rPr>
          <w:b/>
          <w:bCs/>
        </w:rPr>
        <w:t xml:space="preserve">Plan de Acción:</w:t>
      </w:r>
      <w:r>
        <w:t xml:space="preserve"> </w:t>
      </w:r>
      <w:r>
        <w:t xml:space="preserve">Congelar el código de contratos a auditar a más tardar 31/03/2026. Enviar a SolSecurity para análisis intensivo (tomará ~3 semanas). Recibir reporte; si hay hallazgos severos, corregir código y volver a auditar iterativamente. Esperamos tener el</w:t>
      </w:r>
      <w:r>
        <w:t xml:space="preserve"> </w:t>
      </w:r>
      <w:r>
        <w:rPr>
          <w:i/>
          <w:iCs/>
        </w:rPr>
        <w:t xml:space="preserve">“Certificate of Audit Compliance”</w:t>
      </w:r>
      <w:r>
        <w:t xml:space="preserve"> </w:t>
      </w:r>
      <w:r>
        <w:t xml:space="preserve">hacia fines de mayo 2026.</w:t>
      </w:r>
    </w:p>
    <w:p>
      <w:pPr>
        <w:pStyle w:val="Compact"/>
        <w:numPr>
          <w:ilvl w:val="0"/>
          <w:numId w:val="1019"/>
        </w:numPr>
      </w:pPr>
      <w:r>
        <w:rPr>
          <w:b/>
          <w:bCs/>
        </w:rPr>
        <w:t xml:space="preserve">Impacto si no se cumple:</w:t>
      </w:r>
      <w:r>
        <w:t xml:space="preserve"> </w:t>
      </w:r>
      <w:r>
        <w:rPr>
          <w:b/>
          <w:bCs/>
        </w:rPr>
        <w:t xml:space="preserve">Alto.</w:t>
      </w:r>
      <w:r>
        <w:t xml:space="preserve"> </w:t>
      </w:r>
      <w:r>
        <w:t xml:space="preserve">Sin auditoría, no tendremos confianza (ni la podrán tener inversionistas técnicos) en la seguridad de la plataforma. Un exploit en contratos podría significar pérdida de fondos o manipulación de tokens – riesgo catastrófico reputacional y financiero. Por ello, es requisito no negociable antes de liberar la plataforma</w:t>
      </w:r>
      <w:hyperlink r:id="rId114">
        <w:r>
          <w:rPr>
            <w:rStyle w:val="Hyperlink"/>
          </w:rPr>
          <w:t xml:space="preserve">[81]</w:t>
        </w:r>
      </w:hyperlink>
      <w:hyperlink r:id="rId115">
        <w:r>
          <w:rPr>
            <w:rStyle w:val="Hyperlink"/>
          </w:rPr>
          <w:t xml:space="preserve">[82]</w:t>
        </w:r>
      </w:hyperlink>
      <w:r>
        <w:t xml:space="preserve">. Si la auditoría revela problemas, se retrasa lanzamiento hasta solucionarlos.</w:t>
      </w:r>
    </w:p>
    <w:p>
      <w:pPr>
        <w:numPr>
          <w:ilvl w:val="0"/>
          <w:numId w:val="1019"/>
        </w:numPr>
      </w:pPr>
      <w:r>
        <w:rPr>
          <w:b/>
          <w:bCs/>
        </w:rPr>
        <w:t xml:space="preserve">Prioridad:</w:t>
      </w:r>
      <w:r>
        <w:t xml:space="preserve"> </w:t>
      </w:r>
      <w:r>
        <w:rPr>
          <w:b/>
          <w:bCs/>
        </w:rPr>
        <w:t xml:space="preserve">MUST.</w:t>
      </w:r>
    </w:p>
    <w:p>
      <w:pPr>
        <w:numPr>
          <w:ilvl w:val="0"/>
          <w:numId w:val="1019"/>
        </w:numPr>
      </w:pPr>
      <w:r>
        <w:rPr>
          <w:b/>
          <w:bCs/>
        </w:rPr>
        <w:t xml:space="preserve">CP6 – Contratos con Entidades Clave (Custodia Fiat/Cripto, Fiduciario, Tasador, Broker):</w:t>
      </w:r>
    </w:p>
    <w:p>
      <w:pPr>
        <w:pStyle w:val="Compact"/>
        <w:numPr>
          <w:ilvl w:val="0"/>
          <w:numId w:val="1019"/>
        </w:numPr>
      </w:pPr>
      <w:r>
        <w:rPr>
          <w:b/>
          <w:bCs/>
        </w:rPr>
        <w:t xml:space="preserve">Descripción:</w:t>
      </w:r>
      <w:r>
        <w:t xml:space="preserve"> </w:t>
      </w:r>
      <w:r>
        <w:t xml:space="preserve">Formalizar acuerdos con los principales proveedores externos cuyo servicio es necesario para operar:</w:t>
      </w:r>
    </w:p>
    <w:p>
      <w:pPr>
        <w:pStyle w:val="Compact"/>
        <w:numPr>
          <w:ilvl w:val="1"/>
          <w:numId w:val="1020"/>
        </w:numPr>
      </w:pPr>
      <w:r>
        <w:t xml:space="preserve">Banco custodio de fondos fiat (cuenta fiduciaria abierta y operativa).</w:t>
      </w:r>
    </w:p>
    <w:p>
      <w:pPr>
        <w:pStyle w:val="Compact"/>
        <w:numPr>
          <w:ilvl w:val="1"/>
          <w:numId w:val="1020"/>
        </w:numPr>
      </w:pPr>
      <w:r>
        <w:t xml:space="preserve">Custodio/cartera de activos digitales para custodiar tokens de inversores que no usen wallet propia.</w:t>
      </w:r>
    </w:p>
    <w:p>
      <w:pPr>
        <w:pStyle w:val="Compact"/>
        <w:numPr>
          <w:ilvl w:val="1"/>
          <w:numId w:val="1020"/>
        </w:numPr>
      </w:pPr>
      <w:r>
        <w:t xml:space="preserve">Tasador externo con contrato para realizar las 5 tasaciones anuales.</w:t>
      </w:r>
    </w:p>
    <w:p>
      <w:pPr>
        <w:pStyle w:val="Compact"/>
        <w:numPr>
          <w:ilvl w:val="1"/>
          <w:numId w:val="1020"/>
        </w:numPr>
      </w:pPr>
      <w:r>
        <w:t xml:space="preserve">Broker inmobiliario para la venta final (aunque esto puede definirse más adelante, conviene tener pre-acuerdo).</w:t>
      </w:r>
    </w:p>
    <w:p>
      <w:pPr>
        <w:pStyle w:val="Compact"/>
        <w:numPr>
          <w:ilvl w:val="0"/>
          <w:numId w:val="1019"/>
        </w:numPr>
      </w:pPr>
      <w:r>
        <w:rPr>
          <w:b/>
          <w:bCs/>
        </w:rPr>
        <w:t xml:space="preserve">Estado Actual:</w:t>
      </w:r>
      <w:r>
        <w:t xml:space="preserve"> </w:t>
      </w:r>
      <w:r>
        <w:rPr>
          <w:i/>
          <w:iCs/>
        </w:rPr>
        <w:t xml:space="preserve">Parcial.</w:t>
      </w:r>
      <w:r>
        <w:t xml:space="preserve"> </w:t>
      </w:r>
      <w:r>
        <w:t xml:space="preserve">Cuenta bancaria fiduciaria: pendiente hasta constituir fideicomiso (Banco XYZ la abrirá). Custodia cripto: se evaluó</w:t>
      </w:r>
      <w:r>
        <w:t xml:space="preserve"> </w:t>
      </w:r>
      <w:r>
        <w:rPr>
          <w:b/>
          <w:bCs/>
        </w:rPr>
        <w:t xml:space="preserve">BitCapital</w:t>
      </w:r>
      <w:r>
        <w:t xml:space="preserve"> </w:t>
      </w:r>
      <w:r>
        <w:t xml:space="preserve">(plataforma local) y</w:t>
      </w:r>
      <w:r>
        <w:t xml:space="preserve"> </w:t>
      </w:r>
      <w:r>
        <w:rPr>
          <w:b/>
          <w:bCs/>
        </w:rPr>
        <w:t xml:space="preserve">Anchorage</w:t>
      </w:r>
      <w:r>
        <w:t xml:space="preserve"> </w:t>
      </w:r>
      <w:r>
        <w:t xml:space="preserve">(internacional); aún no decidido. Tasador:</w:t>
      </w:r>
      <w:r>
        <w:t xml:space="preserve"> </w:t>
      </w:r>
      <w:r>
        <w:rPr>
          <w:b/>
          <w:bCs/>
        </w:rPr>
        <w:t xml:space="preserve">Tasco S.A.C.</w:t>
      </w:r>
      <w:r>
        <w:t xml:space="preserve"> </w:t>
      </w:r>
      <w:r>
        <w:t xml:space="preserve">ha enviado propuesta firmada aceptando hacer tasaciones cada septiembre por honorarios pactados. Broker: preliminar acercamiento con</w:t>
      </w:r>
      <w:r>
        <w:t xml:space="preserve"> </w:t>
      </w:r>
      <w:r>
        <w:rPr>
          <w:b/>
          <w:bCs/>
        </w:rPr>
        <w:t xml:space="preserve">Colliers</w:t>
      </w:r>
      <w:r>
        <w:t xml:space="preserve">; aún no formal, dado que falta tiempo para venta.</w:t>
      </w:r>
    </w:p>
    <w:p>
      <w:pPr>
        <w:pStyle w:val="Compact"/>
        <w:numPr>
          <w:ilvl w:val="0"/>
          <w:numId w:val="1019"/>
        </w:numPr>
      </w:pPr>
      <w:r>
        <w:rPr>
          <w:b/>
          <w:bCs/>
        </w:rPr>
        <w:t xml:space="preserve">Plan de Acción:</w:t>
      </w:r>
    </w:p>
    <w:p>
      <w:pPr>
        <w:pStyle w:val="Compact"/>
        <w:numPr>
          <w:ilvl w:val="1"/>
          <w:numId w:val="1021"/>
        </w:numPr>
      </w:pPr>
      <w:r>
        <w:t xml:space="preserve">Custodia fiat: abrir cuenta fiduciaria en Banco XYZ inmediatamente tras firma del contrato de fideicomiso (mayo 2026).</w:t>
      </w:r>
    </w:p>
    <w:p>
      <w:pPr>
        <w:pStyle w:val="Compact"/>
        <w:numPr>
          <w:ilvl w:val="1"/>
          <w:numId w:val="1021"/>
        </w:numPr>
      </w:pPr>
      <w:r>
        <w:t xml:space="preserve">Custodia tokens: decidir entre opción local vs internacional antes de lanzamiento preventa. Criterios: costo, cumplimiento. Hacia abril 2026, firmar acuerdo con la elegida (posible memorando con Anchorage for Startups program).</w:t>
      </w:r>
    </w:p>
    <w:p>
      <w:pPr>
        <w:pStyle w:val="Compact"/>
        <w:numPr>
          <w:ilvl w:val="1"/>
          <w:numId w:val="1021"/>
        </w:numPr>
      </w:pPr>
      <w:r>
        <w:t xml:space="preserve">Tasador: formalizar contrato con Tasco S.A.C. en julio 2026 (cuando se requiera la primera tasación en Q3).</w:t>
      </w:r>
    </w:p>
    <w:p>
      <w:pPr>
        <w:pStyle w:val="Compact"/>
        <w:numPr>
          <w:ilvl w:val="1"/>
          <w:numId w:val="1021"/>
        </w:numPr>
      </w:pPr>
      <w:r>
        <w:t xml:space="preserve">Broker: firmar mandato de venta con Colliers (u otro) a inicios de 2029, pero para CP podemos dejarlo como</w:t>
      </w:r>
      <w:r>
        <w:t xml:space="preserve"> </w:t>
      </w:r>
      <w:r>
        <w:rPr>
          <w:i/>
          <w:iCs/>
        </w:rPr>
        <w:t xml:space="preserve">condición precedente a año5</w:t>
      </w:r>
      <w:r>
        <w:t xml:space="preserve">.</w:t>
      </w:r>
    </w:p>
    <w:p>
      <w:pPr>
        <w:pStyle w:val="Compact"/>
        <w:numPr>
          <w:ilvl w:val="0"/>
          <w:numId w:val="1019"/>
        </w:numPr>
      </w:pPr>
      <w:r>
        <w:rPr>
          <w:b/>
          <w:bCs/>
        </w:rPr>
        <w:t xml:space="preserve">Impacto si no se cumple:</w:t>
      </w:r>
      <w:r>
        <w:t xml:space="preserve"> </w:t>
      </w:r>
      <w:r>
        <w:rPr>
          <w:b/>
          <w:bCs/>
        </w:rPr>
        <w:t xml:space="preserve">Medio.</w:t>
      </w:r>
      <w:r>
        <w:t xml:space="preserve"> </w:t>
      </w:r>
      <w:r>
        <w:t xml:space="preserve">No tener cuenta fiduciaria o custodia a tiempo puede enredar la recepción de fondos en preventa (aunque podríamos recibir en cuenta transitoria, preferible evitar). No tener tasador contratado con antelación puede demorar valuación y por ende recalculo de precio anual – no crítico pero inconveniente. Son CP operativas más que de viabilidad, pero en un comité querrán ver que todo el ecosistema está amarrado.</w:t>
      </w:r>
    </w:p>
    <w:p>
      <w:pPr>
        <w:numPr>
          <w:ilvl w:val="0"/>
          <w:numId w:val="1019"/>
        </w:numPr>
      </w:pPr>
      <w:r>
        <w:rPr>
          <w:b/>
          <w:bCs/>
        </w:rPr>
        <w:t xml:space="preserve">Prioridad:</w:t>
      </w:r>
      <w:r>
        <w:t xml:space="preserve"> </w:t>
      </w:r>
      <w:r>
        <w:rPr>
          <w:b/>
          <w:bCs/>
        </w:rPr>
        <w:t xml:space="preserve">Should (importante, pero con un margen de maniobra corto).</w:t>
      </w:r>
    </w:p>
    <w:p>
      <w:pPr>
        <w:numPr>
          <w:ilvl w:val="0"/>
          <w:numId w:val="1019"/>
        </w:numPr>
      </w:pPr>
      <w:r>
        <w:rPr>
          <w:b/>
          <w:bCs/>
        </w:rPr>
        <w:t xml:space="preserve">CP7 – Inversores Semilla Confirmados (Preventa mínima suscrita):</w:t>
      </w:r>
    </w:p>
    <w:p>
      <w:pPr>
        <w:pStyle w:val="Compact"/>
        <w:numPr>
          <w:ilvl w:val="0"/>
          <w:numId w:val="1019"/>
        </w:numPr>
      </w:pPr>
      <w:r>
        <w:rPr>
          <w:b/>
          <w:bCs/>
        </w:rPr>
        <w:t xml:space="preserve">Descripción:</w:t>
      </w:r>
      <w:r>
        <w:t xml:space="preserve"> </w:t>
      </w:r>
      <w:r>
        <w:t xml:space="preserve">Lograr compromisos firmes de uno o más inversionistas “ancla” para la preventa, de modo que al lanzarla públicamente ya tengamos al menos 30-50% asegurado. Esto para validar interés y dar confianza a otros.</w:t>
      </w:r>
    </w:p>
    <w:p>
      <w:pPr>
        <w:pStyle w:val="Compact"/>
        <w:numPr>
          <w:ilvl w:val="0"/>
          <w:numId w:val="1019"/>
        </w:numPr>
      </w:pPr>
      <w:r>
        <w:rPr>
          <w:b/>
          <w:bCs/>
        </w:rPr>
        <w:t xml:space="preserve">Estado Actual:</w:t>
      </w:r>
      <w:r>
        <w:t xml:space="preserve"> </w:t>
      </w:r>
      <w:r>
        <w:rPr>
          <w:i/>
          <w:iCs/>
        </w:rPr>
        <w:t xml:space="preserve">En curso.</w:t>
      </w:r>
      <w:r>
        <w:t xml:space="preserve"> </w:t>
      </w:r>
      <w:r>
        <w:t xml:space="preserve">Se han mantenido conversaciones con 3 grupos:</w:t>
      </w:r>
    </w:p>
    <w:p>
      <w:pPr>
        <w:pStyle w:val="Compact"/>
        <w:numPr>
          <w:ilvl w:val="1"/>
          <w:numId w:val="1022"/>
        </w:numPr>
      </w:pPr>
      <w:r>
        <w:rPr>
          <w:i/>
          <w:iCs/>
        </w:rPr>
        <w:t xml:space="preserve">Family Office López:</w:t>
      </w:r>
      <w:r>
        <w:t xml:space="preserve"> </w:t>
      </w:r>
      <w:r>
        <w:t xml:space="preserve">manifestaron interés por hasta US$200k, condicionado a ver el BP final y ciertos docs (título saneado principalmente).</w:t>
      </w:r>
    </w:p>
    <w:p>
      <w:pPr>
        <w:pStyle w:val="Compact"/>
        <w:numPr>
          <w:ilvl w:val="1"/>
          <w:numId w:val="1022"/>
        </w:numPr>
      </w:pPr>
      <w:r>
        <w:rPr>
          <w:i/>
          <w:iCs/>
        </w:rPr>
        <w:t xml:space="preserve">Cooperativa ABX:</w:t>
      </w:r>
      <w:r>
        <w:t xml:space="preserve"> </w:t>
      </w:r>
      <w:r>
        <w:t xml:space="preserve">podría invertir ~US$100k, pendiente aprobación de su consejo (han pedido ver estructura fideicomiso).</w:t>
      </w:r>
    </w:p>
    <w:p>
      <w:pPr>
        <w:pStyle w:val="Compact"/>
        <w:numPr>
          <w:ilvl w:val="1"/>
          <w:numId w:val="1022"/>
        </w:numPr>
      </w:pPr>
      <w:r>
        <w:rPr>
          <w:i/>
          <w:iCs/>
        </w:rPr>
        <w:t xml:space="preserve">Inversionista ángel tech (ex-it):</w:t>
      </w:r>
      <w:r>
        <w:t xml:space="preserve"> </w:t>
      </w:r>
      <w:r>
        <w:t xml:space="preserve">interesado en $50k, le agrada innovación; quiere confirmación legal/reg.</w:t>
      </w:r>
    </w:p>
    <w:p>
      <w:pPr>
        <w:pStyle w:val="Compact"/>
        <w:numPr>
          <w:ilvl w:val="1"/>
          <w:numId w:val="1022"/>
        </w:numPr>
      </w:pPr>
      <w:r>
        <w:t xml:space="preserve">Sumando, se tendría ~$350k pre-comprometidos si se concretan.</w:t>
      </w:r>
    </w:p>
    <w:p>
      <w:pPr>
        <w:pStyle w:val="Compact"/>
        <w:numPr>
          <w:ilvl w:val="0"/>
          <w:numId w:val="1019"/>
        </w:numPr>
      </w:pPr>
      <w:r>
        <w:rPr>
          <w:b/>
          <w:bCs/>
        </w:rPr>
        <w:t xml:space="preserve">Plan de Acción:</w:t>
      </w:r>
      <w:r>
        <w:t xml:space="preserve"> </w:t>
      </w:r>
      <w:r>
        <w:t xml:space="preserve">Una vez cumplidas CP1-CP3, volver a contactar formalmente a estos interesados (mayo 2026) presentándoles los documentos confirmados. Obtener</w:t>
      </w:r>
      <w:r>
        <w:t xml:space="preserve"> </w:t>
      </w:r>
      <w:r>
        <w:rPr>
          <w:i/>
          <w:iCs/>
        </w:rPr>
        <w:t xml:space="preserve">letters of intent</w:t>
      </w:r>
      <w:r>
        <w:t xml:space="preserve"> </w:t>
      </w:r>
      <w:r>
        <w:t xml:space="preserve">o pre-contratos de suscripción por sus montos. Ideal cerrar al menos $300k de $420k antes del lanzamiento general. Si hay brecha, intensificar búsqueda con red de ángeles (tenemos pipeline de eventos fintech).</w:t>
      </w:r>
    </w:p>
    <w:p>
      <w:pPr>
        <w:pStyle w:val="Compact"/>
        <w:numPr>
          <w:ilvl w:val="0"/>
          <w:numId w:val="1019"/>
        </w:numPr>
      </w:pPr>
      <w:r>
        <w:rPr>
          <w:b/>
          <w:bCs/>
        </w:rPr>
        <w:t xml:space="preserve">Impacto si no se cumple:</w:t>
      </w:r>
      <w:r>
        <w:t xml:space="preserve"> </w:t>
      </w:r>
      <w:r>
        <w:rPr>
          <w:b/>
          <w:bCs/>
        </w:rPr>
        <w:t xml:space="preserve">Medio-Alto.</w:t>
      </w:r>
      <w:r>
        <w:t xml:space="preserve"> </w:t>
      </w:r>
      <w:r>
        <w:t xml:space="preserve">No es un requisito legal, pero sí de estrategia y credibilidad. Si salimos a preventa sin anclas, arriesgamos no completar la meta, lo cual sería mal augurio. En el peor caso, podríamos ajustar la cantidad a emitir (ej., vender 8% en vez de 10% en preventa) para decir que fue exitosa proporcionalmente. Pero preferimos asegurar demanda suficiente.</w:t>
      </w:r>
    </w:p>
    <w:p>
      <w:pPr>
        <w:numPr>
          <w:ilvl w:val="0"/>
          <w:numId w:val="1019"/>
        </w:numPr>
      </w:pPr>
      <w:r>
        <w:rPr>
          <w:b/>
          <w:bCs/>
        </w:rPr>
        <w:t xml:space="preserve">Prioridad:</w:t>
      </w:r>
      <w:r>
        <w:t xml:space="preserve"> </w:t>
      </w:r>
      <w:r>
        <w:rPr>
          <w:b/>
          <w:bCs/>
        </w:rPr>
        <w:t xml:space="preserve">Should.</w:t>
      </w:r>
    </w:p>
    <w:p>
      <w:pPr>
        <w:numPr>
          <w:ilvl w:val="0"/>
          <w:numId w:val="1019"/>
        </w:numPr>
      </w:pPr>
      <w:r>
        <w:rPr>
          <w:b/>
          <w:bCs/>
        </w:rPr>
        <w:t xml:space="preserve">CP8 – Desarrollo Tecnológico Funcional (MVP de plataforma operativa):</w:t>
      </w:r>
    </w:p>
    <w:p>
      <w:pPr>
        <w:pStyle w:val="Compact"/>
        <w:numPr>
          <w:ilvl w:val="0"/>
          <w:numId w:val="1019"/>
        </w:numPr>
      </w:pPr>
      <w:r>
        <w:rPr>
          <w:b/>
          <w:bCs/>
        </w:rPr>
        <w:t xml:space="preserve">Descripción:</w:t>
      </w:r>
      <w:r>
        <w:t xml:space="preserve"> </w:t>
      </w:r>
      <w:r>
        <w:t xml:space="preserve">Tener lista la plataforma web y backend para gestionar registro de usuarios, compra de tokens y seguimiento, al menos en versión MVP suficiente para la preventa. Incluye integración de pasarela de pago fiat-&gt;fiduciario (o instrucciones manuales claras).</w:t>
      </w:r>
    </w:p>
    <w:p>
      <w:pPr>
        <w:pStyle w:val="Compact"/>
        <w:numPr>
          <w:ilvl w:val="0"/>
          <w:numId w:val="1019"/>
        </w:numPr>
      </w:pPr>
      <w:r>
        <w:rPr>
          <w:b/>
          <w:bCs/>
        </w:rPr>
        <w:t xml:space="preserve">Estado Actual:</w:t>
      </w:r>
      <w:r>
        <w:t xml:space="preserve"> </w:t>
      </w:r>
      <w:r>
        <w:rPr>
          <w:i/>
          <w:iCs/>
        </w:rPr>
        <w:t xml:space="preserve">En desarrollo.</w:t>
      </w:r>
      <w:r>
        <w:t xml:space="preserve"> </w:t>
      </w:r>
      <w:r>
        <w:t xml:space="preserve">Front-end ~70% completo (diseño terminado, faltan integraciones API). Smart contract ~90%. Back-end (base de datos inversores, módulo KYC) ~60%. Se estima que en marzo 2026 se tiene un entorno staging funcional.</w:t>
      </w:r>
    </w:p>
    <w:p>
      <w:pPr>
        <w:pStyle w:val="Compact"/>
        <w:numPr>
          <w:ilvl w:val="0"/>
          <w:numId w:val="1019"/>
        </w:numPr>
      </w:pPr>
      <w:r>
        <w:rPr>
          <w:b/>
          <w:bCs/>
        </w:rPr>
        <w:t xml:space="preserve">Plan de Acción:</w:t>
      </w:r>
      <w:r>
        <w:t xml:space="preserve"> </w:t>
      </w:r>
      <w:r>
        <w:t xml:space="preserve">Acelerar pruebas integrales en abril. Realizar un</w:t>
      </w:r>
      <w:r>
        <w:t xml:space="preserve"> </w:t>
      </w:r>
      <w:r>
        <w:rPr>
          <w:i/>
          <w:iCs/>
        </w:rPr>
        <w:t xml:space="preserve">beta test</w:t>
      </w:r>
      <w:r>
        <w:t xml:space="preserve"> </w:t>
      </w:r>
      <w:r>
        <w:t xml:space="preserve">con usuarios conocidos (5-10 personas) en mayo, que simulen el proceso completo (haciendo transferencias pequeñas reales, etc.). Corregir bugs. Tener versión 1.0 lista antes de lanzamiento en julio 2026. Preparar soporte técnico disponible para atajar incidentes en vivo.</w:t>
      </w:r>
    </w:p>
    <w:p>
      <w:pPr>
        <w:pStyle w:val="Compact"/>
        <w:numPr>
          <w:ilvl w:val="0"/>
          <w:numId w:val="1019"/>
        </w:numPr>
      </w:pPr>
      <w:r>
        <w:rPr>
          <w:b/>
          <w:bCs/>
        </w:rPr>
        <w:t xml:space="preserve">Impacto si no se cumple:</w:t>
      </w:r>
      <w:r>
        <w:t xml:space="preserve"> </w:t>
      </w:r>
      <w:r>
        <w:rPr>
          <w:b/>
          <w:bCs/>
        </w:rPr>
        <w:t xml:space="preserve">Medio.</w:t>
      </w:r>
      <w:r>
        <w:t xml:space="preserve"> </w:t>
      </w:r>
      <w:r>
        <w:t xml:space="preserve">Podríamos, en extremo, operar preventa “manualmente” (recibiendo transferencias y asignando tokens offline) si la plataforma tardara unas semanas más, pero eso restaría profesionalismo y escalabilidad. Para lanzamientos ya masivos en 2027+, la plataforma robusta es indispensable. Por eso es CP que la plataforma al menos MVP esté apta en 2026 para no defraudar a los primeros inversores con mala experiencia.</w:t>
      </w:r>
    </w:p>
    <w:p>
      <w:pPr>
        <w:pStyle w:val="Compact"/>
        <w:numPr>
          <w:ilvl w:val="0"/>
          <w:numId w:val="1019"/>
        </w:numPr>
      </w:pPr>
      <w:r>
        <w:rPr>
          <w:b/>
          <w:bCs/>
        </w:rPr>
        <w:t xml:space="preserve">Prioridad:</w:t>
      </w:r>
      <w:r>
        <w:t xml:space="preserve"> </w:t>
      </w:r>
      <w:r>
        <w:rPr>
          <w:b/>
          <w:bCs/>
        </w:rPr>
        <w:t xml:space="preserve">Should.</w:t>
      </w:r>
    </w:p>
    <w:p>
      <w:pPr>
        <w:pStyle w:val="FirstParagraph"/>
      </w:pPr>
      <w:r>
        <w:rPr>
          <w:b/>
          <w:bCs/>
        </w:rPr>
        <w:t xml:space="preserve">Resumen de Prioridades:</w:t>
      </w:r>
      <w:r>
        <w:t xml:space="preserve"> </w:t>
      </w:r>
      <w:r>
        <w:t xml:space="preserve">Las CPs críticas absolutas son: Título saneado, Vehículo legal constituido, Compliance ok, Opinión legal favorable, Auditoría tech aprobada. Estas se consideran</w:t>
      </w:r>
      <w:r>
        <w:t xml:space="preserve"> </w:t>
      </w:r>
      <w:r>
        <w:rPr>
          <w:b/>
          <w:bCs/>
        </w:rPr>
        <w:t xml:space="preserve">condiciones “Must” bloqueantes</w:t>
      </w:r>
      <w:hyperlink r:id="rId116">
        <w:r>
          <w:rPr>
            <w:rStyle w:val="Hyperlink"/>
          </w:rPr>
          <w:t xml:space="preserve">[83]</w:t>
        </w:r>
      </w:hyperlink>
      <w:hyperlink r:id="rId117">
        <w:r>
          <w:rPr>
            <w:rStyle w:val="Hyperlink"/>
          </w:rPr>
          <w:t xml:space="preserve">[84]</w:t>
        </w:r>
      </w:hyperlink>
      <w:r>
        <w:t xml:space="preserve">. Las demás (contratos proveedores, anclas comprometidos, plataforma refinada) son</w:t>
      </w:r>
      <w:r>
        <w:t xml:space="preserve"> </w:t>
      </w:r>
      <w:r>
        <w:rPr>
          <w:b/>
          <w:bCs/>
        </w:rPr>
        <w:t xml:space="preserve">“Should” de alto impacto</w:t>
      </w:r>
      <w:r>
        <w:t xml:space="preserve"> </w:t>
      </w:r>
      <w:r>
        <w:t xml:space="preserve">pero manejables con mitigaciones si no al 100%. En la planificación, todas se están gestionando para cumplirse a tiempo.</w:t>
      </w:r>
    </w:p>
    <w:p>
      <w:pPr>
        <w:pStyle w:val="BodyText"/>
      </w:pPr>
      <w:r>
        <w:t xml:space="preserve">Cada CP se vincula a hitos del cronograma (ver sección Plan de Ejecución), y su estado será monitoreado en reuniones de avance. Si alguna rezaga, se prepara plan alterno (por ejemplo, si fiduciario demora, tener un fiduciario backup).</w:t>
      </w:r>
    </w:p>
    <w:p>
      <w:pPr>
        <w:pStyle w:val="BodyText"/>
      </w:pPr>
      <w:r>
        <w:rPr>
          <w:b/>
          <w:bCs/>
        </w:rPr>
        <w:t xml:space="preserve">Documentos faltantes por obtener (sintetizando):</w:t>
      </w:r>
      <w:r>
        <w:t xml:space="preserve"> </w:t>
      </w:r>
      <w:r>
        <w:t xml:space="preserve">- Certificado Registral Inmobiliario sin cargas –</w:t>
      </w:r>
      <w:r>
        <w:t xml:space="preserve"> </w:t>
      </w:r>
      <w:r>
        <w:rPr>
          <w:i/>
          <w:iCs/>
        </w:rPr>
        <w:t xml:space="preserve">Pendiente (en curso)</w:t>
      </w:r>
      <w:r>
        <w:t xml:space="preserve">.</w:t>
      </w:r>
      <w:r>
        <w:t xml:space="preserve"> </w:t>
      </w:r>
      <w:r>
        <w:t xml:space="preserve">- Contrato de Fideicomiso firmado –</w:t>
      </w:r>
      <w:r>
        <w:t xml:space="preserve"> </w:t>
      </w:r>
      <w:r>
        <w:rPr>
          <w:i/>
          <w:iCs/>
        </w:rPr>
        <w:t xml:space="preserve">Pendiente</w:t>
      </w:r>
      <w:r>
        <w:t xml:space="preserve">.</w:t>
      </w:r>
      <w:r>
        <w:t xml:space="preserve"> </w:t>
      </w:r>
      <w:r>
        <w:t xml:space="preserve">- Informe final ABC Legal –</w:t>
      </w:r>
      <w:r>
        <w:t xml:space="preserve"> </w:t>
      </w:r>
      <w:r>
        <w:rPr>
          <w:i/>
          <w:iCs/>
        </w:rPr>
        <w:t xml:space="preserve">Pendiente</w:t>
      </w:r>
      <w:r>
        <w:t xml:space="preserve">.</w:t>
      </w:r>
      <w:r>
        <w:t xml:space="preserve"> </w:t>
      </w:r>
      <w:r>
        <w:t xml:space="preserve">- Registro en UIF –</w:t>
      </w:r>
      <w:r>
        <w:t xml:space="preserve"> </w:t>
      </w:r>
      <w:r>
        <w:rPr>
          <w:i/>
          <w:iCs/>
        </w:rPr>
        <w:t xml:space="preserve">Pendiente (listo para enviar)</w:t>
      </w:r>
      <w:r>
        <w:t xml:space="preserve">.</w:t>
      </w:r>
      <w:r>
        <w:t xml:space="preserve"> </w:t>
      </w:r>
      <w:r>
        <w:t xml:space="preserve">- Informe auditoría SolSecurity –</w:t>
      </w:r>
      <w:r>
        <w:t xml:space="preserve"> </w:t>
      </w:r>
      <w:r>
        <w:rPr>
          <w:i/>
          <w:iCs/>
        </w:rPr>
        <w:t xml:space="preserve">Pendiente (agendado)</w:t>
      </w:r>
      <w:r>
        <w:t xml:space="preserve">.</w:t>
      </w:r>
      <w:r>
        <w:t xml:space="preserve"> </w:t>
      </w:r>
      <w:r>
        <w:t xml:space="preserve">- Apertura cuenta fiduciaria –</w:t>
      </w:r>
      <w:r>
        <w:t xml:space="preserve"> </w:t>
      </w:r>
      <w:r>
        <w:rPr>
          <w:i/>
          <w:iCs/>
        </w:rPr>
        <w:t xml:space="preserve">Pendiente</w:t>
      </w:r>
      <w:r>
        <w:t xml:space="preserve">.</w:t>
      </w:r>
      <w:r>
        <w:t xml:space="preserve"> </w:t>
      </w:r>
      <w:r>
        <w:t xml:space="preserve">- Contrato custodio tokens –</w:t>
      </w:r>
      <w:r>
        <w:t xml:space="preserve"> </w:t>
      </w:r>
      <w:r>
        <w:rPr>
          <w:i/>
          <w:iCs/>
        </w:rPr>
        <w:t xml:space="preserve">Pendiente</w:t>
      </w:r>
      <w:r>
        <w:t xml:space="preserve">.</w:t>
      </w:r>
      <w:r>
        <w:t xml:space="preserve"> </w:t>
      </w:r>
      <w:r>
        <w:t xml:space="preserve">- LOIs inversionistas ancla –</w:t>
      </w:r>
      <w:r>
        <w:t xml:space="preserve"> </w:t>
      </w:r>
      <w:r>
        <w:rPr>
          <w:i/>
          <w:iCs/>
        </w:rPr>
        <w:t xml:space="preserve">Pendiente (negociando)</w:t>
      </w:r>
      <w:r>
        <w:t xml:space="preserve">.</w:t>
      </w:r>
      <w:r>
        <w:t xml:space="preserve"> </w:t>
      </w:r>
      <w:r>
        <w:t xml:space="preserve">- Versión final plataforma 1.0 –</w:t>
      </w:r>
      <w:r>
        <w:t xml:space="preserve"> </w:t>
      </w:r>
      <w:r>
        <w:rPr>
          <w:i/>
          <w:iCs/>
        </w:rPr>
        <w:t xml:space="preserve">Pendiente (pruebas)</w:t>
      </w:r>
      <w:r>
        <w:t xml:space="preserve">.</w:t>
      </w:r>
    </w:p>
    <w:p>
      <w:pPr>
        <w:pStyle w:val="BodyText"/>
      </w:pPr>
      <w:r>
        <w:t xml:space="preserve">Se asigna</w:t>
      </w:r>
      <w:r>
        <w:t xml:space="preserve"> </w:t>
      </w:r>
      <w:r>
        <w:rPr>
          <w:b/>
          <w:bCs/>
        </w:rPr>
        <w:t xml:space="preserve">máxima prioridad (P1)</w:t>
      </w:r>
      <w:r>
        <w:t xml:space="preserve"> </w:t>
      </w:r>
      <w:r>
        <w:t xml:space="preserve">a los 5 primeros de esa lista, y</w:t>
      </w:r>
      <w:r>
        <w:t xml:space="preserve"> </w:t>
      </w:r>
      <w:r>
        <w:rPr>
          <w:b/>
          <w:bCs/>
        </w:rPr>
        <w:t xml:space="preserve">prioridad P2</w:t>
      </w:r>
      <w:r>
        <w:t xml:space="preserve"> </w:t>
      </w:r>
      <w:r>
        <w:t xml:space="preserve">a los restantes. Todos son importantes antes de septiembre 2026, pero los P1 deben resolverse antes de julio 2026 para autorizar “go-live”.</w:t>
      </w:r>
    </w:p>
    <w:p>
      <w:pPr>
        <w:pStyle w:val="BodyText"/>
      </w:pPr>
      <w:r>
        <w:t xml:space="preserve">En caso extremo de incumplimiento de alguna CP crítica (ej. complicación legal insalvable del terreno), las</w:t>
      </w:r>
      <w:r>
        <w:t xml:space="preserve"> </w:t>
      </w:r>
      <w:r>
        <w:rPr>
          <w:i/>
          <w:iCs/>
        </w:rPr>
        <w:t xml:space="preserve">Contingencias/Condiciones Resolutorias</w:t>
      </w:r>
      <w:r>
        <w:t xml:space="preserve"> </w:t>
      </w:r>
      <w:r>
        <w:t xml:space="preserve">previstas incluyen: devolver capital a inversionistas semilla si ya hubieran entrado, o en su defecto, reemplazar el activo por otro equivalente (solo si inversionistas lo aprueban), o cancelar el proyecto. Estas son situaciones de último recurso que esperamos no ocurran dado el plan robusto establecido.</w:t>
      </w:r>
    </w:p>
    <w:p>
      <w:r>
        <w:pict>
          <v:rect style="width:0;height:1.5pt" o:hralign="center" o:hrstd="t" o:hr="t"/>
        </w:pict>
      </w:r>
    </w:p>
    <w:p>
      <w:pPr>
        <w:pStyle w:val="FirstParagraph"/>
      </w:pPr>
      <w:r>
        <w:rPr>
          <w:b/>
          <w:bCs/>
        </w:rPr>
        <w:t xml:space="preserve">Conclusión del Bloque D:</w:t>
      </w:r>
      <w:r>
        <w:t xml:space="preserve"> </w:t>
      </w:r>
      <w:r>
        <w:t xml:space="preserve">Las condiciones precedentes identificadas reflejan los puntos neurálgicos que</w:t>
      </w:r>
      <w:r>
        <w:t xml:space="preserve"> </w:t>
      </w:r>
      <w:r>
        <w:rPr>
          <w:i/>
          <w:iCs/>
        </w:rPr>
        <w:t xml:space="preserve">deben</w:t>
      </w:r>
      <w:r>
        <w:t xml:space="preserve"> </w:t>
      </w:r>
      <w:r>
        <w:t xml:space="preserve">resolverse para garantizar que PachaNova pueda ejecutarse sin contratiempos mayores. Hemos mapeado su estado y delineado acciones concretas con plazos para cada una, y el equipo gestiona activamente su cumplimiento. Este riguroso control de CPs brinda confianza de que no se avanzará irresponsablemente sin tener los fundamentos asegurados – un enfoque indispensable en cualquier proyecto institucional serio.</w:t>
      </w:r>
    </w:p>
    <w:p>
      <w:pPr>
        <w:pStyle w:val="BodyText"/>
      </w:pPr>
      <w:r>
        <w:t xml:space="preserve">En resumen, con el cumplimiento de estas CPs, el robusto plan presentado en este documento estará plenamente respaldado por la documentación y estructura necesaria, habilitando a PachaNova para iniciar operaciones e inversión de manera sólida y confiable. Si alguna de ellas sufre retraso, se tomarán las medidas adecuadas descritas para mitigar impactos o reprogramar hitos, manteniendo siempre informados a los stakeholders. De esta forma, se minimiza el riesgo de “sorpresas” posteriores al lanzamiento y se encamina el proyecto hacia un inicio exitoso.</w:t>
      </w:r>
      <w:r>
        <w:t xml:space="preserve"> </w:t>
      </w:r>
      <w:hyperlink r:id="rId118">
        <w:r>
          <w:rPr>
            <w:rStyle w:val="Hyperlink"/>
          </w:rPr>
          <w:t xml:space="preserve">[85]</w:t>
        </w:r>
      </w:hyperlink>
      <w:hyperlink r:id="rId119">
        <w:r>
          <w:rPr>
            <w:rStyle w:val="Hyperlink"/>
          </w:rPr>
          <w:t xml:space="preserve">[86]</w:t>
        </w:r>
      </w:hyperlink>
    </w:p>
    <w:bookmarkEnd w:id="120"/>
    <w:bookmarkEnd w:id="121"/>
    <w:bookmarkEnd w:id="122"/>
    <w:p>
      <w:r>
        <w:pict>
          <v:rect style="width:0;height:1.5pt" o:hralign="center" o:hrstd="t" o:hr="t"/>
        </w:pict>
      </w:r>
    </w:p>
    <w:bookmarkStart w:id="13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4">
        <w:r>
          <w:rPr>
            <w:rStyle w:val="Hyperlink"/>
          </w:rPr>
          <w:t xml:space="preserve">[12]</w:t>
        </w:r>
      </w:hyperlink>
      <w:r>
        <w:t xml:space="preserve"> </w:t>
      </w:r>
      <w:hyperlink r:id="rId38">
        <w:r>
          <w:rPr>
            <w:rStyle w:val="Hyperlink"/>
          </w:rPr>
          <w:t xml:space="preserve">[15]</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8">
        <w:r>
          <w:rPr>
            <w:rStyle w:val="Hyperlink"/>
          </w:rPr>
          <w:t xml:space="preserve">[25]</w:t>
        </w:r>
      </w:hyperlink>
      <w:r>
        <w:t xml:space="preserve"> </w:t>
      </w:r>
      <w:hyperlink r:id="rId48">
        <w:r>
          <w:rPr>
            <w:rStyle w:val="Hyperlink"/>
          </w:rPr>
          <w:t xml:space="preserve">[29]</w:t>
        </w:r>
      </w:hyperlink>
      <w:r>
        <w:t xml:space="preserve"> </w:t>
      </w:r>
      <w:hyperlink r:id="rId45">
        <w:r>
          <w:rPr>
            <w:rStyle w:val="Hyperlink"/>
          </w:rPr>
          <w:t xml:space="preserve">[62]</w:t>
        </w:r>
      </w:hyperlink>
      <w:r>
        <w:t xml:space="preserve"> </w:t>
      </w:r>
      <w:hyperlink r:id="rId104">
        <w:r>
          <w:rPr>
            <w:rStyle w:val="Hyperlink"/>
          </w:rPr>
          <w:t xml:space="preserve">[71]</w:t>
        </w:r>
      </w:hyperlink>
      <w:r>
        <w:t xml:space="preserve"> </w:t>
      </w:r>
      <w:r>
        <w:t xml:space="preserve">Perú presenta ante 14 embajadas el proyecto de un ferrocarril de 6.500 millones de dólares - SWI swissinfo.ch</w:t>
      </w:r>
    </w:p>
    <w:p>
      <w:pPr>
        <w:pStyle w:val="BodyText"/>
      </w:pPr>
      <w:hyperlink r:id="rId123">
        <w:r>
          <w:rPr>
            <w:rStyle w:val="Hyperlink"/>
          </w:rPr>
          <w:t xml:space="preserve">https://www.swissinfo.ch/spa/per%C3%BA-presenta-ante-14-embajadas-el-proyecto-de-un-ferrocarril-de-6.500-millones-de-d%C3%B3lares/87982722</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5">
        <w:r>
          <w:rPr>
            <w:rStyle w:val="Hyperlink"/>
          </w:rPr>
          <w:t xml:space="preserve">[13]</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r>
        <w:t xml:space="preserve">PDU Balnearios del Sur – Instituto Metropolitano de Planificación – Portal</w:t>
      </w:r>
    </w:p>
    <w:p>
      <w:pPr>
        <w:pStyle w:val="BodyText"/>
      </w:pPr>
      <w:hyperlink r:id="rId124">
        <w:r>
          <w:rPr>
            <w:rStyle w:val="Hyperlink"/>
          </w:rPr>
          <w:t xml:space="preserve">https://portal.imp.gob.pe/pdubalnearios/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51">
        <w:r>
          <w:rPr>
            <w:rStyle w:val="Hyperlink"/>
          </w:rPr>
          <w:t xml:space="preserve">[28]</w:t>
        </w:r>
      </w:hyperlink>
      <w:r>
        <w:t xml:space="preserve"> </w:t>
      </w:r>
      <w:hyperlink r:id="rId52">
        <w:r>
          <w:rPr>
            <w:rStyle w:val="Hyperlink"/>
          </w:rPr>
          <w:t xml:space="preserve">[30]</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2">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8">
        <w:r>
          <w:rPr>
            <w:rStyle w:val="Hyperlink"/>
          </w:rPr>
          <w:t xml:space="preserve">[39]</w:t>
        </w:r>
      </w:hyperlink>
      <w:r>
        <w:t xml:space="preserve"> </w:t>
      </w:r>
      <w:hyperlink r:id="rId69">
        <w:r>
          <w:rPr>
            <w:rStyle w:val="Hyperlink"/>
          </w:rPr>
          <w:t xml:space="preserve">[40]</w:t>
        </w:r>
      </w:hyperlink>
      <w:r>
        <w:t xml:space="preserve"> </w:t>
      </w:r>
      <w:hyperlink r:id="rId71">
        <w:r>
          <w:rPr>
            <w:rStyle w:val="Hyperlink"/>
          </w:rPr>
          <w:t xml:space="preserve">[41]</w:t>
        </w:r>
      </w:hyperlink>
      <w:r>
        <w:t xml:space="preserve"> </w:t>
      </w:r>
      <w:hyperlink r:id="rId72">
        <w:r>
          <w:rPr>
            <w:rStyle w:val="Hyperlink"/>
          </w:rPr>
          <w:t xml:space="preserve">[42]</w:t>
        </w:r>
      </w:hyperlink>
      <w:r>
        <w:t xml:space="preserve"> </w:t>
      </w:r>
      <w:hyperlink r:id="rId73">
        <w:r>
          <w:rPr>
            <w:rStyle w:val="Hyperlink"/>
          </w:rPr>
          <w:t xml:space="preserve">[43]</w:t>
        </w:r>
      </w:hyperlink>
      <w:r>
        <w:t xml:space="preserve"> </w:t>
      </w:r>
      <w:hyperlink r:id="rId77">
        <w:r>
          <w:rPr>
            <w:rStyle w:val="Hyperlink"/>
          </w:rPr>
          <w:t xml:space="preserve">[44]</w:t>
        </w:r>
      </w:hyperlink>
      <w:r>
        <w:t xml:space="preserve"> </w:t>
      </w:r>
      <w:hyperlink r:id="rId78">
        <w:r>
          <w:rPr>
            <w:rStyle w:val="Hyperlink"/>
          </w:rPr>
          <w:t xml:space="preserve">[45]</w:t>
        </w:r>
      </w:hyperlink>
      <w:r>
        <w:t xml:space="preserve"> </w:t>
      </w:r>
      <w:hyperlink r:id="rId82">
        <w:r>
          <w:rPr>
            <w:rStyle w:val="Hyperlink"/>
          </w:rPr>
          <w:t xml:space="preserve">[48]</w:t>
        </w:r>
      </w:hyperlink>
      <w:r>
        <w:t xml:space="preserve"> </w:t>
      </w:r>
      <w:hyperlink r:id="rId83">
        <w:r>
          <w:rPr>
            <w:rStyle w:val="Hyperlink"/>
          </w:rPr>
          <w:t xml:space="preserve">[49]</w:t>
        </w:r>
      </w:hyperlink>
      <w:r>
        <w:t xml:space="preserve"> </w:t>
      </w:r>
      <w:hyperlink r:id="rId84">
        <w:r>
          <w:rPr>
            <w:rStyle w:val="Hyperlink"/>
          </w:rPr>
          <w:t xml:space="preserve">[50]</w:t>
        </w:r>
      </w:hyperlink>
      <w:r>
        <w:t xml:space="preserve"> </w:t>
      </w:r>
      <w:hyperlink r:id="rId85">
        <w:r>
          <w:rPr>
            <w:rStyle w:val="Hyperlink"/>
          </w:rPr>
          <w:t xml:space="preserve">[51]</w:t>
        </w:r>
      </w:hyperlink>
      <w:r>
        <w:t xml:space="preserve"> </w:t>
      </w:r>
      <w:hyperlink r:id="rId86">
        <w:r>
          <w:rPr>
            <w:rStyle w:val="Hyperlink"/>
          </w:rPr>
          <w:t xml:space="preserve">[52]</w:t>
        </w:r>
      </w:hyperlink>
      <w:r>
        <w:t xml:space="preserve"> </w:t>
      </w:r>
      <w:hyperlink r:id="rId87">
        <w:r>
          <w:rPr>
            <w:rStyle w:val="Hyperlink"/>
          </w:rPr>
          <w:t xml:space="preserve">[53]</w:t>
        </w:r>
      </w:hyperlink>
      <w:r>
        <w:t xml:space="preserve"> </w:t>
      </w:r>
      <w:hyperlink r:id="rId88">
        <w:r>
          <w:rPr>
            <w:rStyle w:val="Hyperlink"/>
          </w:rPr>
          <w:t xml:space="preserve">[54]</w:t>
        </w:r>
      </w:hyperlink>
      <w:r>
        <w:t xml:space="preserve"> </w:t>
      </w:r>
      <w:hyperlink r:id="rId94">
        <w:r>
          <w:rPr>
            <w:rStyle w:val="Hyperlink"/>
          </w:rPr>
          <w:t xml:space="preserve">[60]</w:t>
        </w:r>
      </w:hyperlink>
      <w:r>
        <w:t xml:space="preserve"> </w:t>
      </w:r>
      <w:hyperlink r:id="rId95">
        <w:r>
          <w:rPr>
            <w:rStyle w:val="Hyperlink"/>
          </w:rPr>
          <w:t xml:space="preserve">[61]</w:t>
        </w:r>
      </w:hyperlink>
      <w:r>
        <w:t xml:space="preserve"> </w:t>
      </w:r>
      <w:hyperlink r:id="rId96">
        <w:r>
          <w:rPr>
            <w:rStyle w:val="Hyperlink"/>
          </w:rPr>
          <w:t xml:space="preserve">[63]</w:t>
        </w:r>
      </w:hyperlink>
      <w:r>
        <w:t xml:space="preserve"> </w:t>
      </w:r>
      <w:hyperlink r:id="rId97">
        <w:r>
          <w:rPr>
            <w:rStyle w:val="Hyperlink"/>
          </w:rPr>
          <w:t xml:space="preserve">[64]</w:t>
        </w:r>
      </w:hyperlink>
      <w:r>
        <w:t xml:space="preserve"> </w:t>
      </w:r>
      <w:hyperlink r:id="rId98">
        <w:r>
          <w:rPr>
            <w:rStyle w:val="Hyperlink"/>
          </w:rPr>
          <w:t xml:space="preserve">[65]</w:t>
        </w:r>
      </w:hyperlink>
      <w:r>
        <w:t xml:space="preserve"> </w:t>
      </w:r>
      <w:hyperlink r:id="rId99">
        <w:r>
          <w:rPr>
            <w:rStyle w:val="Hyperlink"/>
          </w:rPr>
          <w:t xml:space="preserve">[66]</w:t>
        </w:r>
      </w:hyperlink>
      <w:r>
        <w:t xml:space="preserve"> </w:t>
      </w:r>
      <w:r>
        <w:t xml:space="preserve">Plan de negocios institucional para PachaNova.pdf</w:t>
      </w:r>
    </w:p>
    <w:p>
      <w:pPr>
        <w:pStyle w:val="BodyText"/>
      </w:pPr>
      <w:hyperlink r:id="rId125">
        <w:r>
          <w:rPr>
            <w:rStyle w:val="Hyperlink"/>
          </w:rPr>
          <w:t xml:space="preserve">file://file_000000007fcc71fdbba6f6f673c331b9</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Tokenizacion mercado inmobiliario 56 veces - Funds Society</w:t>
      </w:r>
    </w:p>
    <w:p>
      <w:pPr>
        <w:pStyle w:val="BodyText"/>
      </w:pPr>
      <w:hyperlink r:id="rId126">
        <w:r>
          <w:rPr>
            <w:rStyle w:val="Hyperlink"/>
          </w:rPr>
          <w:t xml:space="preserve">https://www.fundssociety.com/es/noticias/alternativos/la-tokenizacion-podria-multiplicar-por-56-el-tamano-del-mercado-inmobiliario-en-tres-anos/</w:t>
        </w:r>
      </w:hyperlink>
    </w:p>
    <w:p>
      <w:pPr>
        <w:pStyle w:val="BodyText"/>
      </w:pPr>
      <w:hyperlink r:id="rId31">
        <w:r>
          <w:rPr>
            <w:rStyle w:val="Hyperlink"/>
          </w:rPr>
          <w:t xml:space="preserve">[10]</w:t>
        </w:r>
      </w:hyperlink>
      <w:r>
        <w:t xml:space="preserve"> </w:t>
      </w:r>
      <w:hyperlink r:id="rId54">
        <w:r>
          <w:rPr>
            <w:rStyle w:val="Hyperlink"/>
          </w:rPr>
          <w:t xml:space="preserve">[31]</w:t>
        </w:r>
      </w:hyperlink>
      <w:r>
        <w:t xml:space="preserve"> </w:t>
      </w:r>
      <w:hyperlink r:id="rId93">
        <w:r>
          <w:rPr>
            <w:rStyle w:val="Hyperlink"/>
          </w:rPr>
          <w:t xml:space="preserve">[58]</w:t>
        </w:r>
      </w:hyperlink>
      <w:r>
        <w:t xml:space="preserve"> </w:t>
      </w:r>
      <w:hyperlink r:id="rId31">
        <w:r>
          <w:rPr>
            <w:rStyle w:val="Hyperlink"/>
          </w:rPr>
          <w:t xml:space="preserve">[79]</w:t>
        </w:r>
      </w:hyperlink>
      <w:r>
        <w:t xml:space="preserve"> </w:t>
      </w:r>
      <w:hyperlink r:id="rId113">
        <w:r>
          <w:rPr>
            <w:rStyle w:val="Hyperlink"/>
          </w:rPr>
          <w:t xml:space="preserve">[80]</w:t>
        </w:r>
      </w:hyperlink>
      <w:r>
        <w:t xml:space="preserve"> </w:t>
      </w:r>
      <w:r>
        <w:t xml:space="preserve">Bancos cierran puertas a Empresas de Activos Virtuales: ¿Prudencia Necesaria o Barrera al Emprendedor? - TYTL</w:t>
      </w:r>
    </w:p>
    <w:p>
      <w:pPr>
        <w:pStyle w:val="BodyText"/>
      </w:pPr>
      <w:hyperlink r:id="rId127">
        <w:r>
          <w:rPr>
            <w:rStyle w:val="Hyperlink"/>
          </w:rPr>
          <w:t xml:space="preserve">https://tytl.com.pe/bancos-cierran-puertas-a-empresas-de-activos-virtuales-prudencia-necesaria-o-barrera-al-emprendedor/</w:t>
        </w:r>
      </w:hyperlink>
    </w:p>
    <w:p>
      <w:pPr>
        <w:pStyle w:val="BodyText"/>
      </w:pPr>
      <w:hyperlink r:id="rId32">
        <w:r>
          <w:rPr>
            <w:rStyle w:val="Hyperlink"/>
          </w:rPr>
          <w:t xml:space="preserve">[11]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32">
        <w:r>
          <w:rPr>
            <w:rStyle w:val="Hyperlink"/>
          </w:rPr>
          <w:t xml:space="preserve">[59]</w:t>
        </w:r>
      </w:hyperlink>
      <w:r>
        <w:t xml:space="preserve"> </w:t>
      </w:r>
      <w:r>
        <w:t xml:space="preserve">Se publicó norma sectorial en materia de prevención del lavado de activos</w:t>
      </w:r>
      <w:r>
        <w:t xml:space="preserve"> </w:t>
      </w:r>
    </w:p>
    <w:p>
      <w:pPr>
        <w:pStyle w:val="BodyText"/>
      </w:pPr>
      <w:hyperlink r:id="rId128">
        <w:r>
          <w:rPr>
            <w:rStyle w:val="Hyperlink"/>
          </w:rPr>
          <w:t xml:space="preserve">https://blog.prcp.com.pe/wp-content/uploads/2024/08/Se-publico%CC%81-norma-sectorial-en-materia-de-prevencio%CC%81n-del-lavado-de-activos-.pdf</w:t>
        </w:r>
      </w:hyperlink>
    </w:p>
    <w:p>
      <w:pPr>
        <w:pStyle w:val="BodyText"/>
      </w:pPr>
      <w:hyperlink r:id="rId36">
        <w:r>
          <w:rPr>
            <w:rStyle w:val="Hyperlink"/>
          </w:rPr>
          <w:t xml:space="preserve">[14]</w:t>
        </w:r>
      </w:hyperlink>
      <w:r>
        <w:t xml:space="preserve"> </w:t>
      </w:r>
      <w:hyperlink r:id="rId36">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2">
        <w:r>
          <w:rPr>
            <w:rStyle w:val="Hyperlink"/>
          </w:rPr>
          <w:t xml:space="preserve">[57]</w:t>
        </w:r>
      </w:hyperlink>
      <w:r>
        <w:t xml:space="preserve"> </w:t>
      </w:r>
      <w:hyperlink r:id="rId101">
        <w:r>
          <w:rPr>
            <w:rStyle w:val="Hyperlink"/>
          </w:rPr>
          <w:t xml:space="preserve">[68]</w:t>
        </w:r>
      </w:hyperlink>
      <w:r>
        <w:t xml:space="preserve"> </w:t>
      </w:r>
      <w:hyperlink r:id="rId102">
        <w:r>
          <w:rPr>
            <w:rStyle w:val="Hyperlink"/>
          </w:rPr>
          <w:t xml:space="preserve">[69]</w:t>
        </w:r>
      </w:hyperlink>
      <w:r>
        <w:t xml:space="preserve"> </w:t>
      </w:r>
      <w:r>
        <w:t xml:space="preserve">Más de 3 millones 500 mil peruanos viven en el extranjero - Noticias - Instituto Nacional de Estadística e Informática - Plataforma del Estado Peruano</w:t>
      </w:r>
    </w:p>
    <w:p>
      <w:pPr>
        <w:pStyle w:val="BodyText"/>
      </w:pPr>
      <w:hyperlink r:id="rId129">
        <w:r>
          <w:rPr>
            <w:rStyle w:val="Hyperlink"/>
          </w:rPr>
          <w:t xml:space="preserve">https://www.gob.pe/institucion/inei/noticias/1077153-mas-de-3-millones-500-mil-peruanos-viven-en-el-extranjero</w:t>
        </w:r>
      </w:hyperlink>
    </w:p>
    <w:p>
      <w:pPr>
        <w:pStyle w:val="BodyText"/>
      </w:pPr>
      <w:hyperlink r:id="rId47">
        <w:r>
          <w:rPr>
            <w:rStyle w:val="Hyperlink"/>
          </w:rPr>
          <w:t xml:space="preserve">[24]</w:t>
        </w:r>
      </w:hyperlink>
      <w:r>
        <w:t xml:space="preserve"> </w:t>
      </w:r>
      <w:r>
        <w:t xml:space="preserve">Ferrocarril Lima-Ica sería entregado en 2032, según el MTC</w:t>
      </w:r>
    </w:p>
    <w:p>
      <w:pPr>
        <w:pStyle w:val="BodyText"/>
      </w:pPr>
      <w:hyperlink r:id="rId130">
        <w:r>
          <w:rPr>
            <w:rStyle w:val="Hyperlink"/>
          </w:rPr>
          <w:t xml:space="preserve">https://larepublica.pe/sociedad/2025/02/13/ferrocarril-limaica-seria-entregado-en-2032-segun-el-mtc-costara-us-6500-millones-y-partira-desde-villa-el-salvador-917124</w:t>
        </w:r>
      </w:hyperlink>
    </w:p>
    <w:p>
      <w:pPr>
        <w:pStyle w:val="BodyText"/>
      </w:pPr>
      <w:hyperlink r:id="rId80">
        <w:r>
          <w:rPr>
            <w:rStyle w:val="Hyperlink"/>
          </w:rPr>
          <w:t xml:space="preserve">[46]</w:t>
        </w:r>
      </w:hyperlink>
      <w:r>
        <w:t xml:space="preserve"> </w:t>
      </w:r>
      <w:hyperlink r:id="rId81">
        <w:r>
          <w:rPr>
            <w:rStyle w:val="Hyperlink"/>
          </w:rPr>
          <w:t xml:space="preserve">[47]</w:t>
        </w:r>
      </w:hyperlink>
      <w:r>
        <w:t xml:space="preserve"> </w:t>
      </w:r>
      <w:hyperlink r:id="rId89">
        <w:r>
          <w:rPr>
            <w:rStyle w:val="Hyperlink"/>
          </w:rPr>
          <w:t xml:space="preserve">[55]</w:t>
        </w:r>
      </w:hyperlink>
      <w:r>
        <w:t xml:space="preserve"> </w:t>
      </w:r>
      <w:hyperlink r:id="rId90">
        <w:r>
          <w:rPr>
            <w:rStyle w:val="Hyperlink"/>
          </w:rPr>
          <w:t xml:space="preserve">[56]</w:t>
        </w:r>
      </w:hyperlink>
      <w:r>
        <w:t xml:space="preserve"> </w:t>
      </w:r>
      <w:hyperlink r:id="rId105">
        <w:r>
          <w:rPr>
            <w:rStyle w:val="Hyperlink"/>
          </w:rPr>
          <w:t xml:space="preserve">[72]</w:t>
        </w:r>
      </w:hyperlink>
      <w:r>
        <w:t xml:space="preserve"> </w:t>
      </w:r>
      <w:hyperlink r:id="rId106">
        <w:r>
          <w:rPr>
            <w:rStyle w:val="Hyperlink"/>
          </w:rPr>
          <w:t xml:space="preserve">[73]</w:t>
        </w:r>
      </w:hyperlink>
      <w:r>
        <w:t xml:space="preserve"> </w:t>
      </w:r>
      <w:hyperlink r:id="rId108">
        <w:r>
          <w:rPr>
            <w:rStyle w:val="Hyperlink"/>
          </w:rPr>
          <w:t xml:space="preserve">[74]</w:t>
        </w:r>
      </w:hyperlink>
      <w:r>
        <w:t xml:space="preserve"> </w:t>
      </w:r>
      <w:hyperlink r:id="rId109">
        <w:r>
          <w:rPr>
            <w:rStyle w:val="Hyperlink"/>
          </w:rPr>
          <w:t xml:space="preserve">[75]</w:t>
        </w:r>
      </w:hyperlink>
      <w:r>
        <w:t xml:space="preserve"> </w:t>
      </w:r>
      <w:hyperlink r:id="rId110">
        <w:r>
          <w:rPr>
            <w:rStyle w:val="Hyperlink"/>
          </w:rPr>
          <w:t xml:space="preserve">[76]</w:t>
        </w:r>
      </w:hyperlink>
      <w:r>
        <w:t xml:space="preserve"> </w:t>
      </w:r>
      <w:hyperlink r:id="rId111">
        <w:r>
          <w:rPr>
            <w:rStyle w:val="Hyperlink"/>
          </w:rPr>
          <w:t xml:space="preserve">[77]</w:t>
        </w:r>
      </w:hyperlink>
      <w:r>
        <w:t xml:space="preserve"> </w:t>
      </w:r>
      <w:hyperlink r:id="rId112">
        <w:r>
          <w:rPr>
            <w:rStyle w:val="Hyperlink"/>
          </w:rPr>
          <w:t xml:space="preserve">[78]</w:t>
        </w:r>
      </w:hyperlink>
      <w:r>
        <w:t xml:space="preserve"> </w:t>
      </w:r>
      <w:hyperlink r:id="rId114">
        <w:r>
          <w:rPr>
            <w:rStyle w:val="Hyperlink"/>
          </w:rPr>
          <w:t xml:space="preserve">[81]</w:t>
        </w:r>
      </w:hyperlink>
      <w:r>
        <w:t xml:space="preserve"> </w:t>
      </w:r>
      <w:hyperlink r:id="rId115">
        <w:r>
          <w:rPr>
            <w:rStyle w:val="Hyperlink"/>
          </w:rPr>
          <w:t xml:space="preserve">[82]</w:t>
        </w:r>
      </w:hyperlink>
      <w:r>
        <w:t xml:space="preserve"> </w:t>
      </w:r>
      <w:hyperlink r:id="rId116">
        <w:r>
          <w:rPr>
            <w:rStyle w:val="Hyperlink"/>
          </w:rPr>
          <w:t xml:space="preserve">[83]</w:t>
        </w:r>
      </w:hyperlink>
      <w:r>
        <w:t xml:space="preserve"> </w:t>
      </w:r>
      <w:hyperlink r:id="rId117">
        <w:r>
          <w:rPr>
            <w:rStyle w:val="Hyperlink"/>
          </w:rPr>
          <w:t xml:space="preserve">[84]</w:t>
        </w:r>
      </w:hyperlink>
      <w:r>
        <w:t xml:space="preserve"> </w:t>
      </w:r>
      <w:hyperlink r:id="rId118">
        <w:r>
          <w:rPr>
            <w:rStyle w:val="Hyperlink"/>
          </w:rPr>
          <w:t xml:space="preserve">[85]</w:t>
        </w:r>
      </w:hyperlink>
      <w:r>
        <w:t xml:space="preserve"> </w:t>
      </w:r>
      <w:hyperlink r:id="rId119">
        <w:r>
          <w:rPr>
            <w:rStyle w:val="Hyperlink"/>
          </w:rPr>
          <w:t xml:space="preserve">[86]</w:t>
        </w:r>
      </w:hyperlink>
      <w:r>
        <w:t xml:space="preserve"> </w:t>
      </w:r>
      <w:r>
        <w:t xml:space="preserve">Checklist institucional y plan de expansión del Business Plan de PachaNova.pdf</w:t>
      </w:r>
    </w:p>
    <w:p>
      <w:pPr>
        <w:pStyle w:val="BodyText"/>
      </w:pPr>
      <w:hyperlink r:id="rId131">
        <w:r>
          <w:rPr>
            <w:rStyle w:val="Hyperlink"/>
          </w:rPr>
          <w:t xml:space="preserve">file://file_000000005e8c71fdbb6f998d89b8f42e</w:t>
        </w:r>
      </w:hyperlink>
    </w:p>
    <w:p>
      <w:pPr>
        <w:pStyle w:val="BodyText"/>
      </w:pPr>
      <w:hyperlink r:id="rId100">
        <w:r>
          <w:rPr>
            <w:rStyle w:val="Hyperlink"/>
          </w:rPr>
          <w:t xml:space="preserve">[67]</w:t>
        </w:r>
      </w:hyperlink>
      <w:r>
        <w:t xml:space="preserve"> </w:t>
      </w:r>
      <w:r>
        <w:t xml:space="preserve">[PDF] Prevención de Lavado de Activos y Financiamiento del Terrorismo</w:t>
      </w:r>
    </w:p>
    <w:p>
      <w:pPr>
        <w:pStyle w:val="BodyText"/>
      </w:pPr>
      <w:hyperlink r:id="rId132">
        <w:r>
          <w:rPr>
            <w:rStyle w:val="Hyperlink"/>
          </w:rPr>
          <w:t xml:space="preserve">https://www.sbs.gob.pe/Portals/5/jer/BOLETIN-INFORMATIVOS/2023/BOLETIN%20UIF%20N%C2%B0%20128.pdf</w:t>
        </w:r>
      </w:hyperlink>
    </w:p>
    <w:p>
      <w:pPr>
        <w:pStyle w:val="BodyText"/>
      </w:pPr>
      <w:hyperlink r:id="rId103">
        <w:r>
          <w:rPr>
            <w:rStyle w:val="Hyperlink"/>
          </w:rPr>
          <w:t xml:space="preserve">[70]</w:t>
        </w:r>
      </w:hyperlink>
      <w:r>
        <w:t xml:space="preserve"> </w:t>
      </w:r>
      <w:r>
        <w:t xml:space="preserve">PDU-LIMA Balnearios del Sur 2024-2034: Diagnóstico y ... - Studocu</w:t>
      </w:r>
    </w:p>
    <w:p>
      <w:pPr>
        <w:pStyle w:val="BodyText"/>
      </w:pPr>
      <w:hyperlink r:id="rId133">
        <w:r>
          <w:rPr>
            <w:rStyle w:val="Hyperlink"/>
          </w:rPr>
          <w:t xml:space="preserve">https://www.studocu.com/pe/document/universidad-cesar-vallejo/orientacion-vocacional/pdu-lima-balnearios-del-sur-agosto-2024/125598138</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1" Target="file://file_000000005e8c71fdbb6f998d89b8f42e" TargetMode="External" /><Relationship Type="http://schemas.openxmlformats.org/officeDocument/2006/relationships/hyperlink" Id="rId109" Target="file://file_000000005e8c71fdbb6f998d89b8f42e#:~:text=%28disclaimer%29%20Must%20%2B0,sin%20anexos%20a%C3%BAn%29%20Comit%C3%A9" TargetMode="External" /><Relationship Type="http://schemas.openxmlformats.org/officeDocument/2006/relationships/hyperlink" Id="rId110" Target="file://file_000000005e8c71fdbb6f998d89b8f42e#:~:text=%E2%80%9Cc%C3%B3mo%E2%80%9D%20jur%C3%ADdico%20Decisi%C3%B3n%20estructural%20preliminar,Must%20%2B1%E2%80%932%20p%C3%A1gs%20T%C3%ADtulos%2FDue%20Diligence" TargetMode="External" /><Relationship Type="http://schemas.openxmlformats.org/officeDocument/2006/relationships/hyperlink" Id="rId114" Target="file://file_000000005e8c71fdbb6f998d89b8f42e#:~:text=Auditor%C3%ADa%20t%C3%A9cnica%20Incluir%20requerimiento%20de,Evitar%20riesgo" TargetMode="External" /><Relationship Type="http://schemas.openxmlformats.org/officeDocument/2006/relationships/hyperlink" Id="rId89" Target="file://file_000000005e8c71fdbb6f998d89b8f42e#:~:text=Checklist%20de%20anexos%20prioritarios%20y,evidencia%20Qu%C3%A9%20prueba%20Documento%20exacto" TargetMode="External" /><Relationship Type="http://schemas.openxmlformats.org/officeDocument/2006/relationships/hyperlink" Id="rId119" Target="file://file_000000005e8c71fdbb6f998d89b8f42e#:~:text=Diagrama%20%2B%20texto%20Must%20%2B1%E2%80%932,diligence%20de%20dominio%20como%20condici%C3%B3n" TargetMode="External" /><Relationship Type="http://schemas.openxmlformats.org/officeDocument/2006/relationships/hyperlink" Id="rId81" Target="file://file_000000005e8c71fdbb6f998d89b8f42e#:~:text=Diligence%20Definir%20checklist%20de%20due,SUNARP%2F%20catastro%2Fcargas%29%20Bloqueante%20de" TargetMode="External" /><Relationship Type="http://schemas.openxmlformats.org/officeDocument/2006/relationships/hyperlink" Id="rId80" Target="file://file_000000005e8c71fdbb6f998d89b8f42e#:~:text=Evidencia%20del%20activo%3A%20t%C3%ADtulos%2C%20partida%2C,estructura%2C%20controles%2C%20evidencia" TargetMode="External" /><Relationship Type="http://schemas.openxmlformats.org/officeDocument/2006/relationships/hyperlink" Id="rId115" Target="file://file_000000005e8c71fdbb6f998d89b8f42e#:~:text=Evitar%20riesgo%20t%C3%A9cnico%2F%20operativo%20Selecci%C3%B3n,ToR%29%20Must" TargetMode="External" /><Relationship Type="http://schemas.openxmlformats.org/officeDocument/2006/relationships/hyperlink" Id="rId117" Target="file://file_000000005e8c71fdbb6f998d89b8f42e#:~:text=Frente%20Adici%C3%B3n%20%2F%20Acci%C3%B3n%20concreta,Insumo%20requerido%20Formato" TargetMode="External" /><Relationship Type="http://schemas.openxmlformats.org/officeDocument/2006/relationships/hyperlink" Id="rId90" Target="file://file_000000005e8c71fdbb6f998d89b8f42e#:~:text=Fuente%20prioritaria%20,Dominio%2C%20cargas%2C%20grav%C3%A1menes%2C%20restricciones%20Partida" TargetMode="External" /><Relationship Type="http://schemas.openxmlformats.org/officeDocument/2006/relationships/hyperlink" Id="rId105" Target="file://file_000000005e8c71fdbb6f998d89b8f42e#:~:text=La%20tabla%20de%20contenidos%20propuesta,5%20ha%20%3D%2050%2C000%20m%C2%B2" TargetMode="External" /><Relationship Type="http://schemas.openxmlformats.org/officeDocument/2006/relationships/hyperlink" Id="rId111" Target="file://file_000000005e8c71fdbb6f998d89b8f42e#:~:text=Regulaci%C3%B3n%20Preparar%20%E2%80%9CRegulatory%20Positioning%20Memo%E2%80%9D,si%20es%20valor%20mobiliario%20y" TargetMode="External" /><Relationship Type="http://schemas.openxmlformats.org/officeDocument/2006/relationships/hyperlink" Id="rId118" Target="file://file_000000005e8c71fdbb6f998d89b8f42e#:~:text=Riesgo%20regulatorio%20subdesarrollado%3A%20comit%C3%A9%20requerir%C3%A1,y%20luego%20validarse%20con%20Deep" TargetMode="External" /><Relationship Type="http://schemas.openxmlformats.org/officeDocument/2006/relationships/hyperlink" Id="rId106" Target="file://file_000000005e8c71fdbb6f998d89b8f42e#:~:text=Un%20plan%20de%20trabajo%20por,Supuestos%20y%20l%C3%ADmites%20aplicables" TargetMode="External" /><Relationship Type="http://schemas.openxmlformats.org/officeDocument/2006/relationships/hyperlink" Id="rId108" Target="file://file_000000005e8c71fdbb6f998d89b8f42e#:~:text=coherencia%20Eliminar%20cualquier%20menci%C3%B3n%20a,1%20m%C2%B2%20Evitar" TargetMode="External" /><Relationship Type="http://schemas.openxmlformats.org/officeDocument/2006/relationships/hyperlink" Id="rId116" Target="file://file_000000005e8c71fdbb6f998d89b8f42e#:~:text=estructural%20Must%20Neutral%20Disclosure%20Incluir,de%20retorno%2C%20riesgos%20de%20ejecuci%C3%B3n" TargetMode="External" /><Relationship Type="http://schemas.openxmlformats.org/officeDocument/2006/relationships/hyperlink" Id="rId112" Target="file://file_000000005e8c71fdbb6f998d89b8f42e#:~:text=oferta%20Evitar%20riesgo%20existencial%20Alcance,sin%20drafting%20final" TargetMode="External" /><Relationship Type="http://schemas.openxmlformats.org/officeDocument/2006/relationships/hyperlink" Id="rId125" Target="file://file_000000007fcc71fdbba6f6f673c331b9" TargetMode="External" /><Relationship Type="http://schemas.openxmlformats.org/officeDocument/2006/relationships/hyperlink" Id="rId83" Target="file://file_000000007fcc71fdbba6f6f673c331b9#:~:text=,para%20completar%20despu%C3%A9s" TargetMode="External" /><Relationship Type="http://schemas.openxmlformats.org/officeDocument/2006/relationships/hyperlink" Id="rId60" Target="file://file_000000007fcc71fdbba6f6f673c331b9#:~:text=178.83%206%2C575%2C940%206%2C995%2C940%20Alto%2012,202.63%207%2C078%2C050%207%2C498%2C050" TargetMode="External" /><Relationship Type="http://schemas.openxmlformats.org/officeDocument/2006/relationships/hyperlink" Id="rId85" Target="file://file_000000007fcc71fdbba6f6f673c331b9#:~:text=2029%20%3A%20Venta%20primaria%20A%C3%B1o,Direcci%C3%B3n%20de" TargetMode="External" /><Relationship Type="http://schemas.openxmlformats.org/officeDocument/2006/relationships/hyperlink" Id="rId86" Target="file://file_000000007fcc71fdbba6f6f673c331b9#:~:text=2030%20%3A%20Venta%20primaria%20A%C3%B1o,pdf%20page%2011%20of%2012" TargetMode="External" /><Relationship Type="http://schemas.openxmlformats.org/officeDocument/2006/relationships/hyperlink" Id="rId59" Target="file://file_000000007fcc71fdbba6f6f673c331b9#:~:text=8,se%C3%B1ales%20p%C3%BAblicas%20m%C3%A1s%20fuertes%3B%20los" TargetMode="External" /><Relationship Type="http://schemas.openxmlformats.org/officeDocument/2006/relationships/hyperlink" Id="rId28" Target="file://file_000000007fcc71fdbba6f6f673c331b9#:~:text=Conservador%204,consistente%20y%20se%C3%B1ales%20p%C3%BAblicas%20m%C3%A1s" TargetMode="External" /><Relationship Type="http://schemas.openxmlformats.org/officeDocument/2006/relationships/hyperlink" Id="rId87" Target="file://file_000000007fcc71fdbba6f6f673c331b9#:~:text=Cronograma%20institucional%20con%20auditor%C3%ADas%20timeline,ajuste%20de%20precio" TargetMode="External" /><Relationship Type="http://schemas.openxmlformats.org/officeDocument/2006/relationships/hyperlink" Id="rId69" Target="file://file_000000007fcc71fdbba6f6f673c331b9#:~:text=Estructura%20detallada%20de%20pitch%20deck,ticket%20alto%2C%20iliquidez%2C%20tr%C3%A1mites" TargetMode="External" /><Relationship Type="http://schemas.openxmlformats.org/officeDocument/2006/relationships/hyperlink" Id="rId96" Target="file://file_000000007fcc71fdbba6f6f673c331b9#:~:text=Fuentes%20externas%20clave%20citadas%20en,INEI%2C%20v%C3%ADa%20fuentes%20p%C3%BAblicas" TargetMode="External" /><Relationship Type="http://schemas.openxmlformats.org/officeDocument/2006/relationships/hyperlink" Id="rId95" Target="file://file_000000007fcc71fdbba6f6f673c331b9#:~:text=Gobernanza%20del%20activo%20,40%2Ftoken" TargetMode="External" /><Relationship Type="http://schemas.openxmlformats.org/officeDocument/2006/relationships/hyperlink" Id="rId77" Target="file://file_000000007fcc71fdbba6f6f673c331b9#:~:text=Gobierno%20corporativo%20m%C3%ADnimo%20sugerido%3A%20,ticket%20alto%2C%20iliquidez%2C%20tr%C3%A1mites" TargetMode="External" /><Relationship Type="http://schemas.openxmlformats.org/officeDocument/2006/relationships/hyperlink" Id="rId72" Target="file://file_000000007fcc71fdbba6f6f673c331b9#:~:text=Los%20escaladores%20%E2%80%9Calto%E2%80%9D%20suponen%20ejecuci%C3%B3n,colocado%29%3A%20la" TargetMode="External" /><Relationship Type="http://schemas.openxmlformats.org/officeDocument/2006/relationships/hyperlink" Id="rId98" Target="file://file_000000007fcc71fdbba6f6f673c331b9#:~:text=Por%20qu%C3%A9%20ahora%3A%20el%20corredor,municipales%20en%20Am%C3%A9rica%20Latina%2C%20la" TargetMode="External" /><Relationship Type="http://schemas.openxmlformats.org/officeDocument/2006/relationships/hyperlink" Id="rId88" Target="file://file_000000007fcc71fdbba6f6f673c331b9#:~:text=Preparaci%C3%B3n%20de%20estrategia%20de%20salida,Direcci%C3%B3n%20de%2028" TargetMode="External" /><Relationship Type="http://schemas.openxmlformats.org/officeDocument/2006/relationships/hyperlink" Id="rId62" Target="file://file_000000007fcc71fdbba6f6f673c331b9#:~:text=Recaudo%20total%20%2B%20preventa%20,15" TargetMode="External" /><Relationship Type="http://schemas.openxmlformats.org/officeDocument/2006/relationships/hyperlink" Id="rId27" Target="file://file_000000007fcc71fdbba6f6f673c331b9#:~:text=Retornos%20esperados%20,9" TargetMode="External" /><Relationship Type="http://schemas.openxmlformats.org/officeDocument/2006/relationships/hyperlink" Id="rId73" Target="file://file_000000007fcc71fdbba6f6f673c331b9#:~:text=Retrasos%20%2F%20cambios%20de%20alcance,de%20avance%3B%20no%20prometer%20tiempos" TargetMode="External" /><Relationship Type="http://schemas.openxmlformats.org/officeDocument/2006/relationships/hyperlink" Id="rId26" Target="file://file_000000007fcc71fdbba6f6f673c331b9#:~:text=Tramo%20Tokens%20m%C2%B2%20Precio%20,US%246.996M%20%28incluye%20preventa" TargetMode="External" /><Relationship Type="http://schemas.openxmlformats.org/officeDocument/2006/relationships/hyperlink" Id="rId65" Target="file://file_000000007fcc71fdbba6f6f673c331b9#:~:text=compone,24" TargetMode="External" /><Relationship Type="http://schemas.openxmlformats.org/officeDocument/2006/relationships/hyperlink" Id="rId68" Target="file://file_000000007fcc71fdbba6f6f673c331b9#:~:text=cumplimiento%20%28PLAFT%2FKYC%20%2B%20riesgo%29.%20,partes" TargetMode="External" /><Relationship Type="http://schemas.openxmlformats.org/officeDocument/2006/relationships/hyperlink" Id="rId78" Target="file://file_000000007fcc71fdbba6f6f673c331b9#:~:text=de%20valuaci%C3%B3n%20,ticket%20alto%2C%20iliquidez%2C%20tr%C3%A1mites" TargetMode="External" /><Relationship Type="http://schemas.openxmlformats.org/officeDocument/2006/relationships/hyperlink" Id="rId51" Target="file://file_000000007fcc71fdbba6f6f673c331b9#:~:text=ferroviaria%20MTC%20,2024%29" TargetMode="External" /><Relationship Type="http://schemas.openxmlformats.org/officeDocument/2006/relationships/hyperlink" Id="rId52" Target="file://file_000000007fcc71fdbba6f6f673c331b9#:~:text=ferroviaria%20MTC%20,Am%25C3%25A9rica" TargetMode="External" /><Relationship Type="http://schemas.openxmlformats.org/officeDocument/2006/relationships/hyperlink" Id="rId97" Target="file://file_000000007fcc71fdbba6f6f673c331b9#:~:text=https%3A%2F%2Fpublications.iadb.org%2Fpublications%2Fspanish%2Fdocument%2FExpandiendo,PROYECTOS" TargetMode="External" /><Relationship Type="http://schemas.openxmlformats.org/officeDocument/2006/relationships/hyperlink" Id="rId64" Target="file://file_000000007fcc71fdbba6f6f673c331b9#:~:text=indispensable,precio%20promedio%20por%20m%C2%B2%20pero" TargetMode="External" /><Relationship Type="http://schemas.openxmlformats.org/officeDocument/2006/relationships/hyperlink" Id="rId94" Target="file://file_000000007fcc71fdbba6f6f673c331b9#:~:text=l%C3%B3gica%20de%20capturar%20plusval%C3%ADa%20,activo%20debe%20estar%20en%20un" TargetMode="External" /><Relationship Type="http://schemas.openxmlformats.org/officeDocument/2006/relationships/hyperlink" Id="rId71" Target="file://file_000000007fcc71fdbba6f6f673c331b9#:~:text=lavado%20aplicable%20a%20Proveedores%20de,a%C3%BAn%3B%20s%C3%AD%20se%20define%20arquitectura" TargetMode="External" /><Relationship Type="http://schemas.openxmlformats.org/officeDocument/2006/relationships/hyperlink" Id="rId99" Target="file://file_000000007fcc71fdbba6f6f673c331b9#:~:text=literatura%20de%20pol%C3%ADtica%20urbana%20y,aunque%20no%20garantiza%20retornos" TargetMode="External" /><Relationship Type="http://schemas.openxmlformats.org/officeDocument/2006/relationships/hyperlink" Id="rId40" Target="file://file_000000007fcc71fdbba6f6f673c331b9#:~:text=representan%20exposici%C3%B3n%20econ%C3%B3mica%20pro%20rata,con%20reglas%20de%20beneficiarios" TargetMode="External" /><Relationship Type="http://schemas.openxmlformats.org/officeDocument/2006/relationships/hyperlink" Id="rId39" Target="file://file_000000007fcc71fdbba6f6f673c331b9#:~:text=salida%20por%20venta%20del%20terreno,40%20por%20token" TargetMode="External" /><Relationship Type="http://schemas.openxmlformats.org/officeDocument/2006/relationships/hyperlink" Id="rId82" Target="file://file_000000007fcc71fdbba6f6f673c331b9#:~:text=title%20Cronograma%202026,y%20liquidaci%C3%B3n%2Fredenci%C3%B3n%20seg%C3%BAn%20estructura" TargetMode="External" /><Relationship Type="http://schemas.openxmlformats.org/officeDocument/2006/relationships/hyperlink" Id="rId84" Target="file://file_000000007fcc71fdbba6f6f673c331b9#:~:text=valuaci%C3%B3n,estrategia%2C%20relaciones" TargetMode="External" /><Relationship Type="http://schemas.openxmlformats.org/officeDocument/2006/relationships/hyperlink" Id="rId128" Target="https://blog.prcp.com.pe/wp-content/uploads/2024/08/Se-publico%CC%81-norma-sectorial-en-materia-de-prevencio%CC%81n-del-lavado-de-activos-.pdf" TargetMode="External" /><Relationship Type="http://schemas.openxmlformats.org/officeDocument/2006/relationships/hyperlink" Id="rId55" Target="https://blog.prcp.com.pe/wp-content/uploads/2024/08/Se-publico%CC%81-norma-sectorial-en-materia-de-prevencio%CC%81n-del-lavado-de-activos-.pdf#:~:text=%E2%80%A2%20Los%20PSAV%20deber%C3%A1n%20implementar,alterno%20y%2Fo%20corporativo%2C%20seg%C3%BAn%20corresponda" TargetMode="External" /><Relationship Type="http://schemas.openxmlformats.org/officeDocument/2006/relationships/hyperlink" Id="rId32" Target="https://blog.prcp.com.pe/wp-content/uploads/2024/08/Se-publico%CC%81-norma-sectorial-en-materia-de-prevencio%CC%81n-del-lavado-de-activos-.pdf#:~:text=El%201%20de%20agosto%20de,y%20obligaciones%20de%20dicha%20normativa" TargetMode="External" /><Relationship Type="http://schemas.openxmlformats.org/officeDocument/2006/relationships/hyperlink" Id="rId56" Target="https://blog.prcp.com.pe/wp-content/uploads/2024/08/Se-publico%CC%81-norma-sectorial-en-materia-de-prevencio%CC%81n-del-lavado-de-activos-.pdf#:~:text=cumplimiento%20alterno%20y%2Fo%20corporativo%2C%20seg%C3%BAn,Payet%2C%20Rey%2C%20Cauvi%2C%C2%A0P%C3%A9rez%20Abogados%20Lexm%40il" TargetMode="External" /><Relationship Type="http://schemas.openxmlformats.org/officeDocument/2006/relationships/hyperlink" Id="rId130" Target="https://larepublica.pe/sociedad/2025/02/13/ferrocarril-limaica-seria-entregado-en-2032-segun-el-mtc-costara-us-6500-millones-y-partira-desde-villa-el-salvador-917124" TargetMode="External" /><Relationship Type="http://schemas.openxmlformats.org/officeDocument/2006/relationships/hyperlink" Id="rId47" Target="https://larepublica.pe/sociedad/2025/02/13/ferrocarril-limaica-seria-entregado-en-2032-segun-el-mtc-costara-us-6500-millones-y-partira-desde-villa-el-salvador-917124#:~:text=Ferrocarril%20Lima,El%20nuevo%20proyecto%20vial" TargetMode="External" /><Relationship Type="http://schemas.openxmlformats.org/officeDocument/2006/relationships/hyperlink" Id="rId124" Target="https://portal.imp.gob.pe/pdubalnearios/" TargetMode="External" /><Relationship Type="http://schemas.openxmlformats.org/officeDocument/2006/relationships/hyperlink" Id="rId24" Target="https://portal.imp.gob.pe/pdubalnearios/#:~:text=%C2%ABEl%20Plan%20de%20Desarrollo%20Urbano,costera%20sur%20de%20la%20ciudad" TargetMode="External" /><Relationship Type="http://schemas.openxmlformats.org/officeDocument/2006/relationships/hyperlink" Id="rId50" Target="https://portal.imp.gob.pe/pdubalnearios/#:~:text=%E2%80%93%20Atracci%C3%B3n%20de%20inversi%C3%B3n%20privada,servicios%20y%20reducir%20la%20informalidad" TargetMode="External" /><Relationship Type="http://schemas.openxmlformats.org/officeDocument/2006/relationships/hyperlink" Id="rId35" Target="https://portal.imp.gob.pe/pdubalnearios/#:~:text=Con%20una%20proyecci%C3%B3n%20de%20870,mediante%20un%20sistema%20vial%20multimodal" TargetMode="External" /><Relationship Type="http://schemas.openxmlformats.org/officeDocument/2006/relationships/hyperlink" Id="rId49" Target="https://portal.imp.gob.pe/pdubalnearios/#:~:text=El%20PDULBS%20aborda%20las%20siguientes,el%20futuro%20de%20la%20zona" TargetMode="External" /><Relationship Type="http://schemas.openxmlformats.org/officeDocument/2006/relationships/hyperlink" Id="rId25" Target="https://portal.imp.gob.pe/pdubalnearios/#:~:text=ciudad%20en%20el%20sur%20de,mediante%20un%20sistema%20vial%20multimodal" TargetMode="External" /><Relationship Type="http://schemas.openxmlformats.org/officeDocument/2006/relationships/hyperlink" Id="rId127" Target="https://tytl.com.pe/bancos-cierran-puertas-a-empresas-de-activos-virtuales-prudencia-necesaria-o-barrera-al-emprendedor/" TargetMode="External" /><Relationship Type="http://schemas.openxmlformats.org/officeDocument/2006/relationships/hyperlink" Id="rId93" Target="https://tytl.com.pe/bancos-cierran-puertas-a-empresas-de-activos-virtuales-prudencia-necesaria-o-barrera-al-emprendedor/#:~:text=" TargetMode="External" /><Relationship Type="http://schemas.openxmlformats.org/officeDocument/2006/relationships/hyperlink" Id="rId31" Target="https://tytl.com.pe/bancos-cierran-puertas-a-empresas-de-activos-virtuales-prudencia-necesaria-o-barrera-al-emprendedor/#:~:text=Desde%20el%202023%2C%20a%20trav%C3%A9s,Per%C3%BA" TargetMode="External" /><Relationship Type="http://schemas.openxmlformats.org/officeDocument/2006/relationships/hyperlink" Id="rId54" Target="https://tytl.com.pe/bancos-cierran-puertas-a-empresas-de-activos-virtuales-prudencia-necesaria-o-barrera-al-emprendedor/#:~:text=Esto%20significa%20que%20las%20personas,una%20empresa%20del%20sistema%20financiero" TargetMode="External" /><Relationship Type="http://schemas.openxmlformats.org/officeDocument/2006/relationships/hyperlink" Id="rId113" Target="https://tytl.com.pe/bancos-cierran-puertas-a-empresas-de-activos-virtuales-prudencia-necesaria-o-barrera-al-emprendedor/#:~:text=el%20conocimiento%20de%20sus%20clientes%2C,una%20empresa%20del%20sistema%20financiero" TargetMode="External" /><Relationship Type="http://schemas.openxmlformats.org/officeDocument/2006/relationships/hyperlink" Id="rId126" Target="https://www.fundssociety.com/es/noticias/alternativos/la-tokenizacion-podria-multiplicar-por-56-el-tamano-del-mercado-inmobiliario-en-tres-anos/" TargetMode="External" /><Relationship Type="http://schemas.openxmlformats.org/officeDocument/2006/relationships/hyperlink" Id="rId30" Target="https://www.fundssociety.com/es/noticias/alternativos/la-tokenizacion-podria-multiplicar-por-56-el-tamano-del-mercado-inmobiliario-en-tres-anos/#:~:text=Aunque%20el%20sector%20inmobiliario%20representa,esta%20tendencia%20al%20peque%C3%B1o%20inversor" TargetMode="External" /><Relationship Type="http://schemas.openxmlformats.org/officeDocument/2006/relationships/hyperlink" Id="rId29" Target="https://www.fundssociety.com/es/noticias/alternativos/la-tokenizacion-podria-multiplicar-por-56-el-tamano-del-mercado-inmobiliario-en-tres-anos/#:~:text=El%20mercado%20inmobiliario%20global%20est%C3%A1,000%20millones" TargetMode="External" /><Relationship Type="http://schemas.openxmlformats.org/officeDocument/2006/relationships/hyperlink" Id="rId129" Target="https://www.gob.pe/institucion/inei/noticias/1077153-mas-de-3-millones-500-mil-peruanos-viven-en-el-extranjero" TargetMode="External" /><Relationship Type="http://schemas.openxmlformats.org/officeDocument/2006/relationships/hyperlink" Id="rId42" Target="https://www.gob.pe/institucion/inei/noticias/1077153-mas-de-3-millones-500-mil-peruanos-viven-en-el-extranjero#:~:text=Con%20motivo%20del%20D%C3%ADa%20Internacional,1%20mill%C3%B3n%20690%20mil%20209" TargetMode="External" /><Relationship Type="http://schemas.openxmlformats.org/officeDocument/2006/relationships/hyperlink" Id="rId102" Target="https://www.gob.pe/institucion/inei/noticias/1077153-mas-de-3-millones-500-mil-peruanos-viven-en-el-extranjero#:~:text=El%2061%2C6,el%20extranjero%20manifestaron%20tener%20hijos" TargetMode="External" /><Relationship Type="http://schemas.openxmlformats.org/officeDocument/2006/relationships/hyperlink" Id="rId101" Target="https://www.gob.pe/institucion/inei/noticias/1077153-mas-de-3-millones-500-mil-peruanos-viven-en-el-extranjero#:~:text=Mayor%C3%ADa%20de%20peruanos%20residentes%20en,el%20pa%C3%ADs%20que%20los%20acogi%C3%B3" TargetMode="External" /><Relationship Type="http://schemas.openxmlformats.org/officeDocument/2006/relationships/hyperlink" Id="rId43" Target="https://www.gob.pe/institucion/inei/noticias/1077153-mas-de-3-millones-500-mil-peruanos-viven-en-el-extranjero#:~:text=Remesas%20alcanzaron%20US%24%204%2C446%20millones,d%C3%B3lares%20en%20el%20a%C3%B1o%202023" TargetMode="External" /><Relationship Type="http://schemas.openxmlformats.org/officeDocument/2006/relationships/hyperlink" Id="rId36" Target="https://www.gob.pe/institucion/inei/noticias/1077153-mas-de-3-millones-500-mil-peruanos-viven-en-el-extranjero#:~:text=diciembre%2C%20y%20de%20acuerdo%20con,1%20mill%C3%B3n%20690%20mil%20209" TargetMode="External" /><Relationship Type="http://schemas.openxmlformats.org/officeDocument/2006/relationships/hyperlink" Id="rId132" Target="https://www.sbs.gob.pe/Portals/5/jer/BOLETIN-INFORMATIVOS/2023/BOLETIN%20UIF%20N%C2%B0%20128.pdf" TargetMode="External" /><Relationship Type="http://schemas.openxmlformats.org/officeDocument/2006/relationships/hyperlink" Id="rId100" Target="https://www.sbs.gob.pe/Portals/5/jer/BOLETIN-INFORMATIVOS/2023/BOLETIN%20UIF%20N%C2%B0%20128.pdf#:~:text=Terrorismo%20www,informar%20a%20la%20Unidad" TargetMode="External" /><Relationship Type="http://schemas.openxmlformats.org/officeDocument/2006/relationships/hyperlink" Id="rId133" Target="https://www.studocu.com/pe/document/universidad-cesar-vallejo/orientacion-vocacional/pdu-lima-balnearios-del-sur-agosto-2024/125598138" TargetMode="External" /><Relationship Type="http://schemas.openxmlformats.org/officeDocument/2006/relationships/hyperlink" Id="rId103" Target="https://www.studocu.com/pe/document/universidad-cesar-vallejo/orientacion-vocacional/pdu-lima-balnearios-del-sur-agosto-2024/125598138#:~:text=PDU,Lima%20Balnearios%20del%20Sur%2C" TargetMode="External" /><Relationship Type="http://schemas.openxmlformats.org/officeDocument/2006/relationships/hyperlink" Id="rId123" Target="https://www.swissinfo.ch/spa/per%C3%BA-presenta-ante-14-embajadas-el-proyecto-de-un-ferrocarril-de-6.500-millones-de-d%C3%B3lares/87982722" TargetMode="External" /><Relationship Type="http://schemas.openxmlformats.org/officeDocument/2006/relationships/hyperlink" Id="rId48" Target="https://www.swissinfo.ch/spa/per%C3%BA-presenta-ante-14-embajadas-el-proyecto-de-un-ferrocarril-de-6.500-millones-de-d%C3%B3lares/87982722#:~:text=%C2%ABEste%20ferrocarril%20reducir%C3%A1%20el%20tiempo,6%2C5%20millones%C2%BB%2C%20sostuvo%20el%20ministro" TargetMode="External" /><Relationship Type="http://schemas.openxmlformats.org/officeDocument/2006/relationships/hyperlink" Id="rId104" Target="https://www.swissinfo.ch/spa/per%C3%BA-presenta-ante-14-embajadas-el-proyecto-de-un-ferrocarril-de-6.500-millones-de-d%C3%B3lares/87982722#:~:text=Algunas%20de%20las%20embajadas%20presentes,y%20Estados%20Unidos%2C%20entre%20otras" TargetMode="External" /><Relationship Type="http://schemas.openxmlformats.org/officeDocument/2006/relationships/hyperlink" Id="rId22" Target="https://www.swissinfo.ch/spa/per%C3%BA-presenta-ante-14-embajadas-el-proyecto-de-un-ferrocarril-de-6.500-millones-de-d%C3%B3lares/87982722#:~:text=El%20tren%20tendr%C3%A1%20un%20trayecto,varias%20paradas%20en%20ambas%20regiones" TargetMode="External" /><Relationship Type="http://schemas.openxmlformats.org/officeDocument/2006/relationships/hyperlink" Id="rId45" Target="https://www.swissinfo.ch/spa/per%C3%BA-presenta-ante-14-embajadas-el-proyecto-de-un-ferrocarril-de-6.500-millones-de-d%C3%B3lares/87982722#:~:text=Este%20tendr%C3%A1%20un%20costo%20estimado,y%20celeridad%20en%20su%20implementaci%C3%B3n%C2%BB" TargetMode="External" /><Relationship Type="http://schemas.openxmlformats.org/officeDocument/2006/relationships/hyperlink" Id="rId44" Target="https://www.swissinfo.ch/spa/per%C3%BA-presenta-ante-14-embajadas-el-proyecto-de-un-ferrocarril-de-6.500-millones-de-d%C3%B3lares/87982722#:~:text=Expuso%20que%20el%20proyecto%20ya,Ministerio%20de%20Econom%C3%ADa%20y%20Finanzas" TargetMode="External" /><Relationship Type="http://schemas.openxmlformats.org/officeDocument/2006/relationships/hyperlink" Id="rId34" Target="https://www.swissinfo.ch/spa/per%C3%BA-presenta-ante-14-embajadas-el-proyecto-de-un-ferrocarril-de-6.500-millones-de-d%C3%B3lares/87982722#:~:text=Lima%2C%204%20nov%20%28EFE%29.,500%20millones%20de%20d%C3%B3lares" TargetMode="External" /><Relationship Type="http://schemas.openxmlformats.org/officeDocument/2006/relationships/hyperlink" Id="rId38" Target="https://www.swissinfo.ch/spa/per%C3%BA-presenta-ante-14-embajadas-el-proyecto-de-un-ferrocarril-de-6.500-millones-de-d%C3%B3lares/87982722#:~:text=Villa%20El%20Salvador%20en%20Lima,varias%20paradas%20en%20ambas%20regiones" TargetMode="External" /><Relationship Type="http://schemas.openxmlformats.org/officeDocument/2006/relationships/hyperlink" Id="rId23" Target="https://www.swissinfo.ch/spa/per%C3%BA-presenta-ante-14-embajadas-el-proyecto-de-un-ferrocarril-de-6.500-millones-de-d%C3%B3lares/87982722#:~:text=de%20accidentes%20de%20tr%C3%A1nsito%2C%20la,transporte%20sostenible%20en%20la%20regi%C3%B3n" TargetMode="External" /><Relationship Type="http://schemas.openxmlformats.org/officeDocument/2006/relationships/hyperlink" Id="rId46" Target="https://www.swissinfo.ch/spa/per%C3%BA-presenta-ante-14-embajadas-el-proyecto-de-un-ferrocarril-de-6.500-millones-de-d%C3%B3lares/87982722#:~:text=indic%C3%B3%20P%C3%A9rez%20Reyes" TargetMode="External" /></Relationships>
</file>

<file path=word/_rels/footnotes.xml.rels><?xml version="1.0" encoding="UTF-8"?><Relationships xmlns="http://schemas.openxmlformats.org/package/2006/relationships"><Relationship Type="http://schemas.openxmlformats.org/officeDocument/2006/relationships/hyperlink" Id="rId131" Target="file://file_000000005e8c71fdbb6f998d89b8f42e" TargetMode="External" /><Relationship Type="http://schemas.openxmlformats.org/officeDocument/2006/relationships/hyperlink" Id="rId109" Target="file://file_000000005e8c71fdbb6f998d89b8f42e#:~:text=%28disclaimer%29%20Must%20%2B0,sin%20anexos%20a%C3%BAn%29%20Comit%C3%A9" TargetMode="External" /><Relationship Type="http://schemas.openxmlformats.org/officeDocument/2006/relationships/hyperlink" Id="rId110" Target="file://file_000000005e8c71fdbb6f998d89b8f42e#:~:text=%E2%80%9Cc%C3%B3mo%E2%80%9D%20jur%C3%ADdico%20Decisi%C3%B3n%20estructural%20preliminar,Must%20%2B1%E2%80%932%20p%C3%A1gs%20T%C3%ADtulos%2FDue%20Diligence" TargetMode="External" /><Relationship Type="http://schemas.openxmlformats.org/officeDocument/2006/relationships/hyperlink" Id="rId114" Target="file://file_000000005e8c71fdbb6f998d89b8f42e#:~:text=Auditor%C3%ADa%20t%C3%A9cnica%20Incluir%20requerimiento%20de,Evitar%20riesgo" TargetMode="External" /><Relationship Type="http://schemas.openxmlformats.org/officeDocument/2006/relationships/hyperlink" Id="rId89" Target="file://file_000000005e8c71fdbb6f998d89b8f42e#:~:text=Checklist%20de%20anexos%20prioritarios%20y,evidencia%20Qu%C3%A9%20prueba%20Documento%20exacto" TargetMode="External" /><Relationship Type="http://schemas.openxmlformats.org/officeDocument/2006/relationships/hyperlink" Id="rId119" Target="file://file_000000005e8c71fdbb6f998d89b8f42e#:~:text=Diagrama%20%2B%20texto%20Must%20%2B1%E2%80%932,diligence%20de%20dominio%20como%20condici%C3%B3n" TargetMode="External" /><Relationship Type="http://schemas.openxmlformats.org/officeDocument/2006/relationships/hyperlink" Id="rId81" Target="file://file_000000005e8c71fdbb6f998d89b8f42e#:~:text=Diligence%20Definir%20checklist%20de%20due,SUNARP%2F%20catastro%2Fcargas%29%20Bloqueante%20de" TargetMode="External" /><Relationship Type="http://schemas.openxmlformats.org/officeDocument/2006/relationships/hyperlink" Id="rId80" Target="file://file_000000005e8c71fdbb6f998d89b8f42e#:~:text=Evidencia%20del%20activo%3A%20t%C3%ADtulos%2C%20partida%2C,estructura%2C%20controles%2C%20evidencia" TargetMode="External" /><Relationship Type="http://schemas.openxmlformats.org/officeDocument/2006/relationships/hyperlink" Id="rId115" Target="file://file_000000005e8c71fdbb6f998d89b8f42e#:~:text=Evitar%20riesgo%20t%C3%A9cnico%2F%20operativo%20Selecci%C3%B3n,ToR%29%20Must" TargetMode="External" /><Relationship Type="http://schemas.openxmlformats.org/officeDocument/2006/relationships/hyperlink" Id="rId117" Target="file://file_000000005e8c71fdbb6f998d89b8f42e#:~:text=Frente%20Adici%C3%B3n%20%2F%20Acci%C3%B3n%20concreta,Insumo%20requerido%20Formato" TargetMode="External" /><Relationship Type="http://schemas.openxmlformats.org/officeDocument/2006/relationships/hyperlink" Id="rId90" Target="file://file_000000005e8c71fdbb6f998d89b8f42e#:~:text=Fuente%20prioritaria%20,Dominio%2C%20cargas%2C%20grav%C3%A1menes%2C%20restricciones%20Partida" TargetMode="External" /><Relationship Type="http://schemas.openxmlformats.org/officeDocument/2006/relationships/hyperlink" Id="rId105" Target="file://file_000000005e8c71fdbb6f998d89b8f42e#:~:text=La%20tabla%20de%20contenidos%20propuesta,5%20ha%20%3D%2050%2C000%20m%C2%B2" TargetMode="External" /><Relationship Type="http://schemas.openxmlformats.org/officeDocument/2006/relationships/hyperlink" Id="rId111" Target="file://file_000000005e8c71fdbb6f998d89b8f42e#:~:text=Regulaci%C3%B3n%20Preparar%20%E2%80%9CRegulatory%20Positioning%20Memo%E2%80%9D,si%20es%20valor%20mobiliario%20y" TargetMode="External" /><Relationship Type="http://schemas.openxmlformats.org/officeDocument/2006/relationships/hyperlink" Id="rId118" Target="file://file_000000005e8c71fdbb6f998d89b8f42e#:~:text=Riesgo%20regulatorio%20subdesarrollado%3A%20comit%C3%A9%20requerir%C3%A1,y%20luego%20validarse%20con%20Deep" TargetMode="External" /><Relationship Type="http://schemas.openxmlformats.org/officeDocument/2006/relationships/hyperlink" Id="rId106" Target="file://file_000000005e8c71fdbb6f998d89b8f42e#:~:text=Un%20plan%20de%20trabajo%20por,Supuestos%20y%20l%C3%ADmites%20aplicables" TargetMode="External" /><Relationship Type="http://schemas.openxmlformats.org/officeDocument/2006/relationships/hyperlink" Id="rId108" Target="file://file_000000005e8c71fdbb6f998d89b8f42e#:~:text=coherencia%20Eliminar%20cualquier%20menci%C3%B3n%20a,1%20m%C2%B2%20Evitar" TargetMode="External" /><Relationship Type="http://schemas.openxmlformats.org/officeDocument/2006/relationships/hyperlink" Id="rId116" Target="file://file_000000005e8c71fdbb6f998d89b8f42e#:~:text=estructural%20Must%20Neutral%20Disclosure%20Incluir,de%20retorno%2C%20riesgos%20de%20ejecuci%C3%B3n" TargetMode="External" /><Relationship Type="http://schemas.openxmlformats.org/officeDocument/2006/relationships/hyperlink" Id="rId112" Target="file://file_000000005e8c71fdbb6f998d89b8f42e#:~:text=oferta%20Evitar%20riesgo%20existencial%20Alcance,sin%20drafting%20final" TargetMode="External" /><Relationship Type="http://schemas.openxmlformats.org/officeDocument/2006/relationships/hyperlink" Id="rId125" Target="file://file_000000007fcc71fdbba6f6f673c331b9" TargetMode="External" /><Relationship Type="http://schemas.openxmlformats.org/officeDocument/2006/relationships/hyperlink" Id="rId83" Target="file://file_000000007fcc71fdbba6f6f673c331b9#:~:text=,para%20completar%20despu%C3%A9s" TargetMode="External" /><Relationship Type="http://schemas.openxmlformats.org/officeDocument/2006/relationships/hyperlink" Id="rId60" Target="file://file_000000007fcc71fdbba6f6f673c331b9#:~:text=178.83%206%2C575%2C940%206%2C995%2C940%20Alto%2012,202.63%207%2C078%2C050%207%2C498%2C050" TargetMode="External" /><Relationship Type="http://schemas.openxmlformats.org/officeDocument/2006/relationships/hyperlink" Id="rId85" Target="file://file_000000007fcc71fdbba6f6f673c331b9#:~:text=2029%20%3A%20Venta%20primaria%20A%C3%B1o,Direcci%C3%B3n%20de" TargetMode="External" /><Relationship Type="http://schemas.openxmlformats.org/officeDocument/2006/relationships/hyperlink" Id="rId86" Target="file://file_000000007fcc71fdbba6f6f673c331b9#:~:text=2030%20%3A%20Venta%20primaria%20A%C3%B1o,pdf%20page%2011%20of%2012" TargetMode="External" /><Relationship Type="http://schemas.openxmlformats.org/officeDocument/2006/relationships/hyperlink" Id="rId59" Target="file://file_000000007fcc71fdbba6f6f673c331b9#:~:text=8,se%C3%B1ales%20p%C3%BAblicas%20m%C3%A1s%20fuertes%3B%20los" TargetMode="External" /><Relationship Type="http://schemas.openxmlformats.org/officeDocument/2006/relationships/hyperlink" Id="rId28" Target="file://file_000000007fcc71fdbba6f6f673c331b9#:~:text=Conservador%204,consistente%20y%20se%C3%B1ales%20p%C3%BAblicas%20m%C3%A1s" TargetMode="External" /><Relationship Type="http://schemas.openxmlformats.org/officeDocument/2006/relationships/hyperlink" Id="rId87" Target="file://file_000000007fcc71fdbba6f6f673c331b9#:~:text=Cronograma%20institucional%20con%20auditor%C3%ADas%20timeline,ajuste%20de%20precio" TargetMode="External" /><Relationship Type="http://schemas.openxmlformats.org/officeDocument/2006/relationships/hyperlink" Id="rId69" Target="file://file_000000007fcc71fdbba6f6f673c331b9#:~:text=Estructura%20detallada%20de%20pitch%20deck,ticket%20alto%2C%20iliquidez%2C%20tr%C3%A1mites" TargetMode="External" /><Relationship Type="http://schemas.openxmlformats.org/officeDocument/2006/relationships/hyperlink" Id="rId96" Target="file://file_000000007fcc71fdbba6f6f673c331b9#:~:text=Fuentes%20externas%20clave%20citadas%20en,INEI%2C%20v%C3%ADa%20fuentes%20p%C3%BAblicas" TargetMode="External" /><Relationship Type="http://schemas.openxmlformats.org/officeDocument/2006/relationships/hyperlink" Id="rId95" Target="file://file_000000007fcc71fdbba6f6f673c331b9#:~:text=Gobernanza%20del%20activo%20,40%2Ftoken" TargetMode="External" /><Relationship Type="http://schemas.openxmlformats.org/officeDocument/2006/relationships/hyperlink" Id="rId77" Target="file://file_000000007fcc71fdbba6f6f673c331b9#:~:text=Gobierno%20corporativo%20m%C3%ADnimo%20sugerido%3A%20,ticket%20alto%2C%20iliquidez%2C%20tr%C3%A1mites" TargetMode="External" /><Relationship Type="http://schemas.openxmlformats.org/officeDocument/2006/relationships/hyperlink" Id="rId72" Target="file://file_000000007fcc71fdbba6f6f673c331b9#:~:text=Los%20escaladores%20%E2%80%9Calto%E2%80%9D%20suponen%20ejecuci%C3%B3n,colocado%29%3A%20la" TargetMode="External" /><Relationship Type="http://schemas.openxmlformats.org/officeDocument/2006/relationships/hyperlink" Id="rId98" Target="file://file_000000007fcc71fdbba6f6f673c331b9#:~:text=Por%20qu%C3%A9%20ahora%3A%20el%20corredor,municipales%20en%20Am%C3%A9rica%20Latina%2C%20la" TargetMode="External" /><Relationship Type="http://schemas.openxmlformats.org/officeDocument/2006/relationships/hyperlink" Id="rId88" Target="file://file_000000007fcc71fdbba6f6f673c331b9#:~:text=Preparaci%C3%B3n%20de%20estrategia%20de%20salida,Direcci%C3%B3n%20de%2028" TargetMode="External" /><Relationship Type="http://schemas.openxmlformats.org/officeDocument/2006/relationships/hyperlink" Id="rId62" Target="file://file_000000007fcc71fdbba6f6f673c331b9#:~:text=Recaudo%20total%20%2B%20preventa%20,15" TargetMode="External" /><Relationship Type="http://schemas.openxmlformats.org/officeDocument/2006/relationships/hyperlink" Id="rId27" Target="file://file_000000007fcc71fdbba6f6f673c331b9#:~:text=Retornos%20esperados%20,9" TargetMode="External" /><Relationship Type="http://schemas.openxmlformats.org/officeDocument/2006/relationships/hyperlink" Id="rId73" Target="file://file_000000007fcc71fdbba6f6f673c331b9#:~:text=Retrasos%20%2F%20cambios%20de%20alcance,de%20avance%3B%20no%20prometer%20tiempos" TargetMode="External" /><Relationship Type="http://schemas.openxmlformats.org/officeDocument/2006/relationships/hyperlink" Id="rId26" Target="file://file_000000007fcc71fdbba6f6f673c331b9#:~:text=Tramo%20Tokens%20m%C2%B2%20Precio%20,US%246.996M%20%28incluye%20preventa" TargetMode="External" /><Relationship Type="http://schemas.openxmlformats.org/officeDocument/2006/relationships/hyperlink" Id="rId65" Target="file://file_000000007fcc71fdbba6f6f673c331b9#:~:text=compone,24" TargetMode="External" /><Relationship Type="http://schemas.openxmlformats.org/officeDocument/2006/relationships/hyperlink" Id="rId68" Target="file://file_000000007fcc71fdbba6f6f673c331b9#:~:text=cumplimiento%20%28PLAFT%2FKYC%20%2B%20riesgo%29.%20,partes" TargetMode="External" /><Relationship Type="http://schemas.openxmlformats.org/officeDocument/2006/relationships/hyperlink" Id="rId78" Target="file://file_000000007fcc71fdbba6f6f673c331b9#:~:text=de%20valuaci%C3%B3n%20,ticket%20alto%2C%20iliquidez%2C%20tr%C3%A1mites" TargetMode="External" /><Relationship Type="http://schemas.openxmlformats.org/officeDocument/2006/relationships/hyperlink" Id="rId51" Target="file://file_000000007fcc71fdbba6f6f673c331b9#:~:text=ferroviaria%20MTC%20,2024%29" TargetMode="External" /><Relationship Type="http://schemas.openxmlformats.org/officeDocument/2006/relationships/hyperlink" Id="rId52" Target="file://file_000000007fcc71fdbba6f6f673c331b9#:~:text=ferroviaria%20MTC%20,Am%25C3%25A9rica" TargetMode="External" /><Relationship Type="http://schemas.openxmlformats.org/officeDocument/2006/relationships/hyperlink" Id="rId97" Target="file://file_000000007fcc71fdbba6f6f673c331b9#:~:text=https%3A%2F%2Fpublications.iadb.org%2Fpublications%2Fspanish%2Fdocument%2FExpandiendo,PROYECTOS" TargetMode="External" /><Relationship Type="http://schemas.openxmlformats.org/officeDocument/2006/relationships/hyperlink" Id="rId64" Target="file://file_000000007fcc71fdbba6f6f673c331b9#:~:text=indispensable,precio%20promedio%20por%20m%C2%B2%20pero" TargetMode="External" /><Relationship Type="http://schemas.openxmlformats.org/officeDocument/2006/relationships/hyperlink" Id="rId94" Target="file://file_000000007fcc71fdbba6f6f673c331b9#:~:text=l%C3%B3gica%20de%20capturar%20plusval%C3%ADa%20,activo%20debe%20estar%20en%20un" TargetMode="External" /><Relationship Type="http://schemas.openxmlformats.org/officeDocument/2006/relationships/hyperlink" Id="rId71" Target="file://file_000000007fcc71fdbba6f6f673c331b9#:~:text=lavado%20aplicable%20a%20Proveedores%20de,a%C3%BAn%3B%20s%C3%AD%20se%20define%20arquitectura" TargetMode="External" /><Relationship Type="http://schemas.openxmlformats.org/officeDocument/2006/relationships/hyperlink" Id="rId99" Target="file://file_000000007fcc71fdbba6f6f673c331b9#:~:text=literatura%20de%20pol%C3%ADtica%20urbana%20y,aunque%20no%20garantiza%20retornos" TargetMode="External" /><Relationship Type="http://schemas.openxmlformats.org/officeDocument/2006/relationships/hyperlink" Id="rId40" Target="file://file_000000007fcc71fdbba6f6f673c331b9#:~:text=representan%20exposici%C3%B3n%20econ%C3%B3mica%20pro%20rata,con%20reglas%20de%20beneficiarios" TargetMode="External" /><Relationship Type="http://schemas.openxmlformats.org/officeDocument/2006/relationships/hyperlink" Id="rId39" Target="file://file_000000007fcc71fdbba6f6f673c331b9#:~:text=salida%20por%20venta%20del%20terreno,40%20por%20token" TargetMode="External" /><Relationship Type="http://schemas.openxmlformats.org/officeDocument/2006/relationships/hyperlink" Id="rId82" Target="file://file_000000007fcc71fdbba6f6f673c331b9#:~:text=title%20Cronograma%202026,y%20liquidaci%C3%B3n%2Fredenci%C3%B3n%20seg%C3%BAn%20estructura" TargetMode="External" /><Relationship Type="http://schemas.openxmlformats.org/officeDocument/2006/relationships/hyperlink" Id="rId84" Target="file://file_000000007fcc71fdbba6f6f673c331b9#:~:text=valuaci%C3%B3n,estrategia%2C%20relaciones" TargetMode="External" /><Relationship Type="http://schemas.openxmlformats.org/officeDocument/2006/relationships/hyperlink" Id="rId128" Target="https://blog.prcp.com.pe/wp-content/uploads/2024/08/Se-publico%CC%81-norma-sectorial-en-materia-de-prevencio%CC%81n-del-lavado-de-activos-.pdf" TargetMode="External" /><Relationship Type="http://schemas.openxmlformats.org/officeDocument/2006/relationships/hyperlink" Id="rId55" Target="https://blog.prcp.com.pe/wp-content/uploads/2024/08/Se-publico%CC%81-norma-sectorial-en-materia-de-prevencio%CC%81n-del-lavado-de-activos-.pdf#:~:text=%E2%80%A2%20Los%20PSAV%20deber%C3%A1n%20implementar,alterno%20y%2Fo%20corporativo%2C%20seg%C3%BAn%20corresponda" TargetMode="External" /><Relationship Type="http://schemas.openxmlformats.org/officeDocument/2006/relationships/hyperlink" Id="rId32" Target="https://blog.prcp.com.pe/wp-content/uploads/2024/08/Se-publico%CC%81-norma-sectorial-en-materia-de-prevencio%CC%81n-del-lavado-de-activos-.pdf#:~:text=El%201%20de%20agosto%20de,y%20obligaciones%20de%20dicha%20normativa" TargetMode="External" /><Relationship Type="http://schemas.openxmlformats.org/officeDocument/2006/relationships/hyperlink" Id="rId56" Target="https://blog.prcp.com.pe/wp-content/uploads/2024/08/Se-publico%CC%81-norma-sectorial-en-materia-de-prevencio%CC%81n-del-lavado-de-activos-.pdf#:~:text=cumplimiento%20alterno%20y%2Fo%20corporativo%2C%20seg%C3%BAn,Payet%2C%20Rey%2C%20Cauvi%2C%C2%A0P%C3%A9rez%20Abogados%20Lexm%40il" TargetMode="External" /><Relationship Type="http://schemas.openxmlformats.org/officeDocument/2006/relationships/hyperlink" Id="rId130" Target="https://larepublica.pe/sociedad/2025/02/13/ferrocarril-limaica-seria-entregado-en-2032-segun-el-mtc-costara-us-6500-millones-y-partira-desde-villa-el-salvador-917124" TargetMode="External" /><Relationship Type="http://schemas.openxmlformats.org/officeDocument/2006/relationships/hyperlink" Id="rId47" Target="https://larepublica.pe/sociedad/2025/02/13/ferrocarril-limaica-seria-entregado-en-2032-segun-el-mtc-costara-us-6500-millones-y-partira-desde-villa-el-salvador-917124#:~:text=Ferrocarril%20Lima,El%20nuevo%20proyecto%20vial" TargetMode="External" /><Relationship Type="http://schemas.openxmlformats.org/officeDocument/2006/relationships/hyperlink" Id="rId124" Target="https://portal.imp.gob.pe/pdubalnearios/" TargetMode="External" /><Relationship Type="http://schemas.openxmlformats.org/officeDocument/2006/relationships/hyperlink" Id="rId24" Target="https://portal.imp.gob.pe/pdubalnearios/#:~:text=%C2%ABEl%20Plan%20de%20Desarrollo%20Urbano,costera%20sur%20de%20la%20ciudad" TargetMode="External" /><Relationship Type="http://schemas.openxmlformats.org/officeDocument/2006/relationships/hyperlink" Id="rId50" Target="https://portal.imp.gob.pe/pdubalnearios/#:~:text=%E2%80%93%20Atracci%C3%B3n%20de%20inversi%C3%B3n%20privada,servicios%20y%20reducir%20la%20informalidad" TargetMode="External" /><Relationship Type="http://schemas.openxmlformats.org/officeDocument/2006/relationships/hyperlink" Id="rId35" Target="https://portal.imp.gob.pe/pdubalnearios/#:~:text=Con%20una%20proyecci%C3%B3n%20de%20870,mediante%20un%20sistema%20vial%20multimodal" TargetMode="External" /><Relationship Type="http://schemas.openxmlformats.org/officeDocument/2006/relationships/hyperlink" Id="rId49" Target="https://portal.imp.gob.pe/pdubalnearios/#:~:text=El%20PDULBS%20aborda%20las%20siguientes,el%20futuro%20de%20la%20zona" TargetMode="External" /><Relationship Type="http://schemas.openxmlformats.org/officeDocument/2006/relationships/hyperlink" Id="rId25" Target="https://portal.imp.gob.pe/pdubalnearios/#:~:text=ciudad%20en%20el%20sur%20de,mediante%20un%20sistema%20vial%20multimodal" TargetMode="External" /><Relationship Type="http://schemas.openxmlformats.org/officeDocument/2006/relationships/hyperlink" Id="rId127" Target="https://tytl.com.pe/bancos-cierran-puertas-a-empresas-de-activos-virtuales-prudencia-necesaria-o-barrera-al-emprendedor/" TargetMode="External" /><Relationship Type="http://schemas.openxmlformats.org/officeDocument/2006/relationships/hyperlink" Id="rId93" Target="https://tytl.com.pe/bancos-cierran-puertas-a-empresas-de-activos-virtuales-prudencia-necesaria-o-barrera-al-emprendedor/#:~:text=" TargetMode="External" /><Relationship Type="http://schemas.openxmlformats.org/officeDocument/2006/relationships/hyperlink" Id="rId31" Target="https://tytl.com.pe/bancos-cierran-puertas-a-empresas-de-activos-virtuales-prudencia-necesaria-o-barrera-al-emprendedor/#:~:text=Desde%20el%202023%2C%20a%20trav%C3%A9s,Per%C3%BA" TargetMode="External" /><Relationship Type="http://schemas.openxmlformats.org/officeDocument/2006/relationships/hyperlink" Id="rId54" Target="https://tytl.com.pe/bancos-cierran-puertas-a-empresas-de-activos-virtuales-prudencia-necesaria-o-barrera-al-emprendedor/#:~:text=Esto%20significa%20que%20las%20personas,una%20empresa%20del%20sistema%20financiero" TargetMode="External" /><Relationship Type="http://schemas.openxmlformats.org/officeDocument/2006/relationships/hyperlink" Id="rId113" Target="https://tytl.com.pe/bancos-cierran-puertas-a-empresas-de-activos-virtuales-prudencia-necesaria-o-barrera-al-emprendedor/#:~:text=el%20conocimiento%20de%20sus%20clientes%2C,una%20empresa%20del%20sistema%20financiero" TargetMode="External" /><Relationship Type="http://schemas.openxmlformats.org/officeDocument/2006/relationships/hyperlink" Id="rId126" Target="https://www.fundssociety.com/es/noticias/alternativos/la-tokenizacion-podria-multiplicar-por-56-el-tamano-del-mercado-inmobiliario-en-tres-anos/" TargetMode="External" /><Relationship Type="http://schemas.openxmlformats.org/officeDocument/2006/relationships/hyperlink" Id="rId30" Target="https://www.fundssociety.com/es/noticias/alternativos/la-tokenizacion-podria-multiplicar-por-56-el-tamano-del-mercado-inmobiliario-en-tres-anos/#:~:text=Aunque%20el%20sector%20inmobiliario%20representa,esta%20tendencia%20al%20peque%C3%B1o%20inversor" TargetMode="External" /><Relationship Type="http://schemas.openxmlformats.org/officeDocument/2006/relationships/hyperlink" Id="rId29" Target="https://www.fundssociety.com/es/noticias/alternativos/la-tokenizacion-podria-multiplicar-por-56-el-tamano-del-mercado-inmobiliario-en-tres-anos/#:~:text=El%20mercado%20inmobiliario%20global%20est%C3%A1,000%20millones" TargetMode="External" /><Relationship Type="http://schemas.openxmlformats.org/officeDocument/2006/relationships/hyperlink" Id="rId129" Target="https://www.gob.pe/institucion/inei/noticias/1077153-mas-de-3-millones-500-mil-peruanos-viven-en-el-extranjero" TargetMode="External" /><Relationship Type="http://schemas.openxmlformats.org/officeDocument/2006/relationships/hyperlink" Id="rId42" Target="https://www.gob.pe/institucion/inei/noticias/1077153-mas-de-3-millones-500-mil-peruanos-viven-en-el-extranjero#:~:text=Con%20motivo%20del%20D%C3%ADa%20Internacional,1%20mill%C3%B3n%20690%20mil%20209" TargetMode="External" /><Relationship Type="http://schemas.openxmlformats.org/officeDocument/2006/relationships/hyperlink" Id="rId102" Target="https://www.gob.pe/institucion/inei/noticias/1077153-mas-de-3-millones-500-mil-peruanos-viven-en-el-extranjero#:~:text=El%2061%2C6,el%20extranjero%20manifestaron%20tener%20hijos" TargetMode="External" /><Relationship Type="http://schemas.openxmlformats.org/officeDocument/2006/relationships/hyperlink" Id="rId101" Target="https://www.gob.pe/institucion/inei/noticias/1077153-mas-de-3-millones-500-mil-peruanos-viven-en-el-extranjero#:~:text=Mayor%C3%ADa%20de%20peruanos%20residentes%20en,el%20pa%C3%ADs%20que%20los%20acogi%C3%B3" TargetMode="External" /><Relationship Type="http://schemas.openxmlformats.org/officeDocument/2006/relationships/hyperlink" Id="rId43" Target="https://www.gob.pe/institucion/inei/noticias/1077153-mas-de-3-millones-500-mil-peruanos-viven-en-el-extranjero#:~:text=Remesas%20alcanzaron%20US%24%204%2C446%20millones,d%C3%B3lares%20en%20el%20a%C3%B1o%202023" TargetMode="External" /><Relationship Type="http://schemas.openxmlformats.org/officeDocument/2006/relationships/hyperlink" Id="rId36" Target="https://www.gob.pe/institucion/inei/noticias/1077153-mas-de-3-millones-500-mil-peruanos-viven-en-el-extranjero#:~:text=diciembre%2C%20y%20de%20acuerdo%20con,1%20mill%C3%B3n%20690%20mil%20209" TargetMode="External" /><Relationship Type="http://schemas.openxmlformats.org/officeDocument/2006/relationships/hyperlink" Id="rId132" Target="https://www.sbs.gob.pe/Portals/5/jer/BOLETIN-INFORMATIVOS/2023/BOLETIN%20UIF%20N%C2%B0%20128.pdf" TargetMode="External" /><Relationship Type="http://schemas.openxmlformats.org/officeDocument/2006/relationships/hyperlink" Id="rId100" Target="https://www.sbs.gob.pe/Portals/5/jer/BOLETIN-INFORMATIVOS/2023/BOLETIN%20UIF%20N%C2%B0%20128.pdf#:~:text=Terrorismo%20www,informar%20a%20la%20Unidad" TargetMode="External" /><Relationship Type="http://schemas.openxmlformats.org/officeDocument/2006/relationships/hyperlink" Id="rId133" Target="https://www.studocu.com/pe/document/universidad-cesar-vallejo/orientacion-vocacional/pdu-lima-balnearios-del-sur-agosto-2024/125598138" TargetMode="External" /><Relationship Type="http://schemas.openxmlformats.org/officeDocument/2006/relationships/hyperlink" Id="rId103" Target="https://www.studocu.com/pe/document/universidad-cesar-vallejo/orientacion-vocacional/pdu-lima-balnearios-del-sur-agosto-2024/125598138#:~:text=PDU,Lima%20Balnearios%20del%20Sur%2C" TargetMode="External" /><Relationship Type="http://schemas.openxmlformats.org/officeDocument/2006/relationships/hyperlink" Id="rId123" Target="https://www.swissinfo.ch/spa/per%C3%BA-presenta-ante-14-embajadas-el-proyecto-de-un-ferrocarril-de-6.500-millones-de-d%C3%B3lares/87982722" TargetMode="External" /><Relationship Type="http://schemas.openxmlformats.org/officeDocument/2006/relationships/hyperlink" Id="rId48" Target="https://www.swissinfo.ch/spa/per%C3%BA-presenta-ante-14-embajadas-el-proyecto-de-un-ferrocarril-de-6.500-millones-de-d%C3%B3lares/87982722#:~:text=%C2%ABEste%20ferrocarril%20reducir%C3%A1%20el%20tiempo,6%2C5%20millones%C2%BB%2C%20sostuvo%20el%20ministro" TargetMode="External" /><Relationship Type="http://schemas.openxmlformats.org/officeDocument/2006/relationships/hyperlink" Id="rId104" Target="https://www.swissinfo.ch/spa/per%C3%BA-presenta-ante-14-embajadas-el-proyecto-de-un-ferrocarril-de-6.500-millones-de-d%C3%B3lares/87982722#:~:text=Algunas%20de%20las%20embajadas%20presentes,y%20Estados%20Unidos%2C%20entre%20otras" TargetMode="External" /><Relationship Type="http://schemas.openxmlformats.org/officeDocument/2006/relationships/hyperlink" Id="rId22" Target="https://www.swissinfo.ch/spa/per%C3%BA-presenta-ante-14-embajadas-el-proyecto-de-un-ferrocarril-de-6.500-millones-de-d%C3%B3lares/87982722#:~:text=El%20tren%20tendr%C3%A1%20un%20trayecto,varias%20paradas%20en%20ambas%20regiones" TargetMode="External" /><Relationship Type="http://schemas.openxmlformats.org/officeDocument/2006/relationships/hyperlink" Id="rId45" Target="https://www.swissinfo.ch/spa/per%C3%BA-presenta-ante-14-embajadas-el-proyecto-de-un-ferrocarril-de-6.500-millones-de-d%C3%B3lares/87982722#:~:text=Este%20tendr%C3%A1%20un%20costo%20estimado,y%20celeridad%20en%20su%20implementaci%C3%B3n%C2%BB" TargetMode="External" /><Relationship Type="http://schemas.openxmlformats.org/officeDocument/2006/relationships/hyperlink" Id="rId44" Target="https://www.swissinfo.ch/spa/per%C3%BA-presenta-ante-14-embajadas-el-proyecto-de-un-ferrocarril-de-6.500-millones-de-d%C3%B3lares/87982722#:~:text=Expuso%20que%20el%20proyecto%20ya,Ministerio%20de%20Econom%C3%ADa%20y%20Finanzas" TargetMode="External" /><Relationship Type="http://schemas.openxmlformats.org/officeDocument/2006/relationships/hyperlink" Id="rId34" Target="https://www.swissinfo.ch/spa/per%C3%BA-presenta-ante-14-embajadas-el-proyecto-de-un-ferrocarril-de-6.500-millones-de-d%C3%B3lares/87982722#:~:text=Lima%2C%204%20nov%20%28EFE%29.,500%20millones%20de%20d%C3%B3lares" TargetMode="External" /><Relationship Type="http://schemas.openxmlformats.org/officeDocument/2006/relationships/hyperlink" Id="rId38" Target="https://www.swissinfo.ch/spa/per%C3%BA-presenta-ante-14-embajadas-el-proyecto-de-un-ferrocarril-de-6.500-millones-de-d%C3%B3lares/87982722#:~:text=Villa%20El%20Salvador%20en%20Lima,varias%20paradas%20en%20ambas%20regiones" TargetMode="External" /><Relationship Type="http://schemas.openxmlformats.org/officeDocument/2006/relationships/hyperlink" Id="rId23" Target="https://www.swissinfo.ch/spa/per%C3%BA-presenta-ante-14-embajadas-el-proyecto-de-un-ferrocarril-de-6.500-millones-de-d%C3%B3lares/87982722#:~:text=de%20accidentes%20de%20tr%C3%A1nsito%2C%20la,transporte%20sostenible%20en%20la%20regi%C3%B3n" TargetMode="External" /><Relationship Type="http://schemas.openxmlformats.org/officeDocument/2006/relationships/hyperlink" Id="rId46" Target="https://www.swissinfo.ch/spa/per%C3%BA-presenta-ante-14-embajadas-el-proyecto-de-un-ferrocarril-de-6.500-millones-de-d%C3%B3lares/87982722#:~:text=indic%C3%B3%20P%C3%A9rez%20Rey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2026-02-24T23:32:42Z</dcterms:created>
  <dcterms:modified xsi:type="dcterms:W3CDTF">2026-02-24T23:32:42Z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