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uywbfqbttwd" w:id="0"/>
      <w:bookmarkEnd w:id="0"/>
      <w:r w:rsidDel="00000000" w:rsidR="00000000" w:rsidRPr="00000000">
        <w:rPr>
          <w:b w:val="1"/>
          <w:bCs w:val="1"/>
          <w:sz w:val="46"/>
          <w:szCs w:val="46"/>
          <w:rtl w:val="0"/>
        </w:rPr>
        <w:t xml:space="preserve">Estudio de Mercado – Proyecto Inmobiliario Tokenizado en San Bartolo, Lima Sur</w:t>
      </w:r>
    </w:p>
    <w:p w:rsidR="00000000" w:rsidDel="00000000" w:rsidP="00000000" w:rsidRDefault="00000000" w:rsidRPr="00000000" w14:paraId="00000002">
      <w:pPr>
        <w:spacing w:after="80" w:lineRule="auto"/>
        <w:rPr>
          <w:b w:val="1"/>
          <w:bCs w:val="1"/>
        </w:rPr>
      </w:pPr>
      <w:r w:rsidDel="00000000" w:rsidR="00000000" w:rsidRPr="00000000">
        <w:rPr>
          <w:rtl w:val="0"/>
        </w:rPr>
      </w:r>
    </w:p>
    <w:p w:rsidR="00000000" w:rsidDel="00000000" w:rsidP="00000000" w:rsidRDefault="00000000" w:rsidRPr="00000000" w14:paraId="00000003">
      <w:pPr>
        <w:numPr>
          <w:ilvl w:val="0"/>
          <w:numId w:val="7"/>
        </w:numPr>
        <w:spacing w:after="0" w:afterAutospacing="0" w:lineRule="auto"/>
        <w:ind w:left="720" w:hanging="360"/>
        <w:rPr>
          <w:b w:val="1"/>
          <w:bCs w:val="1"/>
          <w:u w:val="none"/>
        </w:rPr>
      </w:pPr>
      <w:r w:rsidDel="00000000" w:rsidR="00000000" w:rsidRPr="00000000">
        <w:rPr>
          <w:b w:val="1"/>
          <w:bCs w:val="1"/>
          <w:rtl w:val="0"/>
        </w:rPr>
        <w:t xml:space="preserve">Introducción y objetivo del estudio</w:t>
      </w:r>
    </w:p>
    <w:p w:rsidR="00000000" w:rsidDel="00000000" w:rsidP="00000000" w:rsidRDefault="00000000" w:rsidRPr="00000000" w14:paraId="00000004">
      <w:pPr>
        <w:numPr>
          <w:ilvl w:val="0"/>
          <w:numId w:val="7"/>
        </w:numPr>
        <w:spacing w:after="0" w:afterAutospacing="0" w:lineRule="auto"/>
        <w:ind w:left="720" w:hanging="360"/>
        <w:rPr>
          <w:b w:val="1"/>
          <w:bCs w:val="1"/>
          <w:u w:val="none"/>
        </w:rPr>
      </w:pPr>
      <w:r w:rsidDel="00000000" w:rsidR="00000000" w:rsidRPr="00000000">
        <w:rPr>
          <w:b w:val="1"/>
          <w:bCs w:val="1"/>
          <w:rtl w:val="0"/>
        </w:rPr>
        <w:t xml:space="preserve">Contexto del proyecto</w:t>
      </w:r>
    </w:p>
    <w:p w:rsidR="00000000" w:rsidDel="00000000" w:rsidP="00000000" w:rsidRDefault="00000000" w:rsidRPr="00000000" w14:paraId="00000005">
      <w:pPr>
        <w:numPr>
          <w:ilvl w:val="0"/>
          <w:numId w:val="7"/>
        </w:numPr>
        <w:spacing w:after="0" w:afterAutospacing="0" w:lineRule="auto"/>
        <w:ind w:left="720" w:hanging="360"/>
        <w:rPr>
          <w:u w:val="none"/>
        </w:rPr>
      </w:pPr>
      <w:r w:rsidDel="00000000" w:rsidR="00000000" w:rsidRPr="00000000">
        <w:rPr>
          <w:b w:val="1"/>
          <w:bCs w:val="1"/>
          <w:rtl w:val="0"/>
        </w:rPr>
        <w:t xml:space="preserve">Análisis inmobiliario</w:t>
        <w:br w:type="textWrapping"/>
      </w:r>
      <w:r w:rsidDel="00000000" w:rsidR="00000000" w:rsidRPr="00000000">
        <w:rPr>
          <w:rtl w:val="0"/>
        </w:rPr>
        <w:t xml:space="preserve"> 3.1 Demanda</w:t>
        <w:br w:type="textWrapping"/>
        <w:t xml:space="preserve"> 3.2 Oferta</w:t>
        <w:br w:type="textWrapping"/>
        <w:t xml:space="preserve"> 3.3 Competencia</w:t>
        <w:br w:type="textWrapping"/>
        <w:t xml:space="preserve"> 3.4 Valorización proyectada</w:t>
      </w:r>
    </w:p>
    <w:p w:rsidR="00000000" w:rsidDel="00000000" w:rsidP="00000000" w:rsidRDefault="00000000" w:rsidRPr="00000000" w14:paraId="00000006">
      <w:pPr>
        <w:numPr>
          <w:ilvl w:val="0"/>
          <w:numId w:val="7"/>
        </w:numPr>
        <w:spacing w:after="0" w:afterAutospacing="0" w:lineRule="auto"/>
        <w:ind w:left="720" w:hanging="360"/>
        <w:rPr>
          <w:b w:val="1"/>
          <w:bCs w:val="1"/>
          <w:u w:val="none"/>
        </w:rPr>
      </w:pPr>
      <w:r w:rsidDel="00000000" w:rsidR="00000000" w:rsidRPr="00000000">
        <w:rPr>
          <w:b w:val="1"/>
          <w:bCs w:val="1"/>
          <w:rtl w:val="0"/>
        </w:rPr>
        <w:t xml:space="preserve">Aspectos socioeconómicos (Lima y Lima Sur)</w:t>
      </w:r>
    </w:p>
    <w:p w:rsidR="00000000" w:rsidDel="00000000" w:rsidP="00000000" w:rsidRDefault="00000000" w:rsidRPr="00000000" w14:paraId="00000007">
      <w:pPr>
        <w:numPr>
          <w:ilvl w:val="0"/>
          <w:numId w:val="7"/>
        </w:numPr>
        <w:spacing w:after="0" w:afterAutospacing="0" w:lineRule="auto"/>
        <w:ind w:left="720" w:hanging="360"/>
        <w:rPr>
          <w:b w:val="1"/>
          <w:bCs w:val="1"/>
          <w:u w:val="none"/>
        </w:rPr>
      </w:pPr>
      <w:r w:rsidDel="00000000" w:rsidR="00000000" w:rsidRPr="00000000">
        <w:rPr>
          <w:b w:val="1"/>
          <w:bCs w:val="1"/>
          <w:rtl w:val="0"/>
        </w:rPr>
        <w:t xml:space="preserve">Aspectos legales y regulatorios</w:t>
      </w:r>
    </w:p>
    <w:p w:rsidR="00000000" w:rsidDel="00000000" w:rsidP="00000000" w:rsidRDefault="00000000" w:rsidRPr="00000000" w14:paraId="00000008">
      <w:pPr>
        <w:numPr>
          <w:ilvl w:val="0"/>
          <w:numId w:val="7"/>
        </w:numPr>
        <w:spacing w:after="0" w:afterAutospacing="0" w:lineRule="auto"/>
        <w:ind w:left="720" w:hanging="360"/>
        <w:rPr>
          <w:u w:val="none"/>
        </w:rPr>
      </w:pPr>
      <w:r w:rsidDel="00000000" w:rsidR="00000000" w:rsidRPr="00000000">
        <w:rPr>
          <w:b w:val="1"/>
          <w:bCs w:val="1"/>
          <w:rtl w:val="0"/>
        </w:rPr>
        <w:t xml:space="preserve">Aspectos tecnológicos</w:t>
        <w:br w:type="textWrapping"/>
      </w:r>
      <w:r w:rsidDel="00000000" w:rsidR="00000000" w:rsidRPr="00000000">
        <w:rPr>
          <w:rtl w:val="0"/>
        </w:rPr>
        <w:t xml:space="preserve"> 6.1 Selección de la blockchain</w:t>
        <w:br w:type="textWrapping"/>
        <w:t xml:space="preserve"> 6.2 Desarrollo de smart contracts</w:t>
        <w:br w:type="textWrapping"/>
        <w:t xml:space="preserve"> 6.3 Seguridad informática</w:t>
        <w:br w:type="textWrapping"/>
        <w:t xml:space="preserve"> 6.4 Experiencia de usuario (UX)</w:t>
        <w:br w:type="textWrapping"/>
        <w:t xml:space="preserve"> 6.5 Infraestructura y escalabilidad</w:t>
        <w:br w:type="textWrapping"/>
        <w:t xml:space="preserve"> 6.6 Mantenimiento y actualización</w:t>
      </w:r>
    </w:p>
    <w:p w:rsidR="00000000" w:rsidDel="00000000" w:rsidP="00000000" w:rsidRDefault="00000000" w:rsidRPr="00000000" w14:paraId="00000009">
      <w:pPr>
        <w:numPr>
          <w:ilvl w:val="0"/>
          <w:numId w:val="7"/>
        </w:numPr>
        <w:spacing w:after="0" w:afterAutospacing="0" w:lineRule="auto"/>
        <w:ind w:left="720" w:hanging="360"/>
        <w:rPr>
          <w:b w:val="1"/>
          <w:bCs w:val="1"/>
          <w:u w:val="none"/>
        </w:rPr>
      </w:pPr>
      <w:r w:rsidDel="00000000" w:rsidR="00000000" w:rsidRPr="00000000">
        <w:rPr>
          <w:b w:val="1"/>
          <w:bCs w:val="1"/>
          <w:rtl w:val="0"/>
        </w:rPr>
        <w:t xml:space="preserve">Benchmarking global de proyectos RWA</w:t>
      </w:r>
    </w:p>
    <w:p w:rsidR="00000000" w:rsidDel="00000000" w:rsidP="00000000" w:rsidRDefault="00000000" w:rsidRPr="00000000" w14:paraId="0000000A">
      <w:pPr>
        <w:numPr>
          <w:ilvl w:val="0"/>
          <w:numId w:val="7"/>
        </w:numPr>
        <w:spacing w:after="0" w:afterAutospacing="0" w:lineRule="auto"/>
        <w:ind w:left="720" w:hanging="360"/>
        <w:rPr>
          <w:u w:val="none"/>
        </w:rPr>
      </w:pPr>
      <w:r w:rsidDel="00000000" w:rsidR="00000000" w:rsidRPr="00000000">
        <w:rPr>
          <w:b w:val="1"/>
          <w:bCs w:val="1"/>
          <w:rtl w:val="0"/>
        </w:rPr>
        <w:t xml:space="preserve">Riesgos y oportunidades</w:t>
        <w:br w:type="textWrapping"/>
      </w:r>
      <w:r w:rsidDel="00000000" w:rsidR="00000000" w:rsidRPr="00000000">
        <w:rPr>
          <w:rtl w:val="0"/>
        </w:rPr>
        <w:t xml:space="preserve"> 8.1 Principales riesgos y mitigaciones</w:t>
        <w:br w:type="textWrapping"/>
        <w:t xml:space="preserve"> 8.2 Oportunidades clave</w:t>
      </w:r>
    </w:p>
    <w:p w:rsidR="00000000" w:rsidDel="00000000" w:rsidP="00000000" w:rsidRDefault="00000000" w:rsidRPr="00000000" w14:paraId="0000000B">
      <w:pPr>
        <w:numPr>
          <w:ilvl w:val="0"/>
          <w:numId w:val="7"/>
        </w:numPr>
        <w:spacing w:after="0" w:afterAutospacing="0" w:lineRule="auto"/>
        <w:ind w:left="720" w:hanging="360"/>
        <w:rPr>
          <w:u w:val="none"/>
        </w:rPr>
      </w:pPr>
      <w:r w:rsidDel="00000000" w:rsidR="00000000" w:rsidRPr="00000000">
        <w:rPr>
          <w:b w:val="1"/>
          <w:bCs w:val="1"/>
          <w:rtl w:val="0"/>
        </w:rPr>
        <w:t xml:space="preserve">Proyecciones financieras y escenarios</w:t>
        <w:br w:type="textWrapping"/>
      </w:r>
      <w:r w:rsidDel="00000000" w:rsidR="00000000" w:rsidRPr="00000000">
        <w:rPr>
          <w:rtl w:val="0"/>
        </w:rPr>
        <w:t xml:space="preserve"> 9.1 Supuestos iniciales</w:t>
        <w:br w:type="textWrapping"/>
        <w:t xml:space="preserve"> 9.2 Demanda de tokens esperada</w:t>
        <w:br w:type="textWrapping"/>
        <w:t xml:space="preserve"> 9.3 ROI y escenarios (base, optimista, pesimista)</w:t>
        <w:br w:type="textWrapping"/>
        <w:t xml:space="preserve"> 9.4 Flujo de caja de la empresa</w:t>
        <w:br w:type="textWrapping"/>
        <w:t xml:space="preserve"> 9.5 Plan de salida para inversores</w:t>
      </w:r>
    </w:p>
    <w:p w:rsidR="00000000" w:rsidDel="00000000" w:rsidP="00000000" w:rsidRDefault="00000000" w:rsidRPr="00000000" w14:paraId="0000000C">
      <w:pPr>
        <w:numPr>
          <w:ilvl w:val="0"/>
          <w:numId w:val="7"/>
        </w:numPr>
        <w:spacing w:after="0" w:afterAutospacing="0" w:lineRule="auto"/>
        <w:ind w:left="720" w:hanging="360"/>
        <w:rPr>
          <w:u w:val="none"/>
        </w:rPr>
      </w:pPr>
      <w:r w:rsidDel="00000000" w:rsidR="00000000" w:rsidRPr="00000000">
        <w:rPr>
          <w:b w:val="1"/>
          <w:bCs w:val="1"/>
          <w:rtl w:val="0"/>
        </w:rPr>
        <w:t xml:space="preserve">Conclusiones y recomendaciones estratégicas</w:t>
        <w:br w:type="textWrapping"/>
      </w:r>
      <w:r w:rsidDel="00000000" w:rsidR="00000000" w:rsidRPr="00000000">
        <w:rPr>
          <w:rtl w:val="0"/>
        </w:rPr>
        <w:t xml:space="preserve"> 10.1 Conclusiones generales</w:t>
        <w:br w:type="textWrapping"/>
        <w:t xml:space="preserve"> 10.2 Retorno y riesgo</w:t>
        <w:br w:type="textWrapping"/>
        <w:t xml:space="preserve"> 10.3 Impacto e implicancias estratégicas</w:t>
        <w:br w:type="textWrapping"/>
        <w:t xml:space="preserve"> 10.4 Recomendaciones (next steps)</w:t>
        <w:br w:type="textWrapping"/>
      </w:r>
    </w:p>
    <w:p w:rsidR="00000000" w:rsidDel="00000000" w:rsidP="00000000" w:rsidRDefault="00000000" w:rsidRPr="00000000" w14:paraId="0000000D">
      <w:pPr>
        <w:numPr>
          <w:ilvl w:val="0"/>
          <w:numId w:val="7"/>
        </w:numPr>
        <w:spacing w:after="80" w:lineRule="auto"/>
        <w:ind w:left="720" w:hanging="360"/>
        <w:rPr>
          <w:b w:val="1"/>
          <w:bCs w:val="1"/>
          <w:u w:val="none"/>
        </w:rPr>
      </w:pPr>
      <w:r w:rsidDel="00000000" w:rsidR="00000000" w:rsidRPr="00000000">
        <w:rPr>
          <w:b w:val="1"/>
          <w:bCs w:val="1"/>
          <w:rtl w:val="0"/>
        </w:rPr>
        <w:t xml:space="preserve">Fuentes y referencias seleccionadas</w:t>
      </w:r>
    </w:p>
    <w:p w:rsidR="00000000" w:rsidDel="00000000" w:rsidP="00000000" w:rsidRDefault="00000000" w:rsidRPr="00000000" w14:paraId="0000000E">
      <w:pPr>
        <w:spacing w:after="80" w:lineRule="auto"/>
        <w:rPr>
          <w:b w:val="1"/>
          <w:bCs w:val="1"/>
        </w:rPr>
      </w:pPr>
      <w:r w:rsidDel="00000000" w:rsidR="00000000" w:rsidRPr="00000000">
        <w:rPr>
          <w:rtl w:val="0"/>
        </w:rPr>
      </w:r>
    </w:p>
    <w:p w:rsidR="00000000" w:rsidDel="00000000" w:rsidP="00000000" w:rsidRDefault="00000000" w:rsidRPr="00000000" w14:paraId="0000000F">
      <w:pPr>
        <w:spacing w:after="80" w:lineRule="auto"/>
        <w:rPr>
          <w:b w:val="1"/>
          <w:bCs w:val="1"/>
        </w:rPr>
      </w:pPr>
      <w:r w:rsidDel="00000000" w:rsidR="00000000" w:rsidRPr="00000000">
        <w:rPr>
          <w:rtl w:val="0"/>
        </w:rPr>
      </w:r>
    </w:p>
    <w:p w:rsidR="00000000" w:rsidDel="00000000" w:rsidP="00000000" w:rsidRDefault="00000000" w:rsidRPr="00000000" w14:paraId="00000010">
      <w:pPr>
        <w:spacing w:after="80" w:lineRule="auto"/>
        <w:rPr>
          <w:b w:val="1"/>
          <w:bCs w:val="1"/>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6fkoj38b37uf" w:id="1"/>
      <w:bookmarkEnd w:id="1"/>
      <w:r w:rsidDel="00000000" w:rsidR="00000000" w:rsidRPr="00000000">
        <w:rPr>
          <w:b w:val="1"/>
          <w:bCs w:val="1"/>
          <w:sz w:val="34"/>
          <w:szCs w:val="34"/>
          <w:rtl w:val="0"/>
        </w:rPr>
        <w:t xml:space="preserve">1. Introducción y objetivo del estudio</w:t>
      </w:r>
    </w:p>
    <w:p w:rsidR="00000000" w:rsidDel="00000000" w:rsidP="00000000" w:rsidRDefault="00000000" w:rsidRPr="00000000" w14:paraId="00000012">
      <w:pPr>
        <w:spacing w:after="240" w:before="240" w:lineRule="auto"/>
        <w:rPr/>
      </w:pPr>
      <w:r w:rsidDel="00000000" w:rsidR="00000000" w:rsidRPr="00000000">
        <w:rPr>
          <w:rtl w:val="0"/>
        </w:rPr>
        <w:t xml:space="preserve">El presente estudio de mercado analiza en detalle un proyecto inmobiliario innovador en </w:t>
      </w:r>
      <w:r w:rsidDel="00000000" w:rsidR="00000000" w:rsidRPr="00000000">
        <w:rPr>
          <w:b w:val="1"/>
          <w:bCs w:val="1"/>
          <w:rtl w:val="0"/>
        </w:rPr>
        <w:t xml:space="preserve">San Bartolo, Lima Sur</w:t>
      </w:r>
      <w:r w:rsidDel="00000000" w:rsidR="00000000" w:rsidRPr="00000000">
        <w:rPr>
          <w:rtl w:val="0"/>
        </w:rPr>
        <w:t xml:space="preserve">, que aplica la </w:t>
      </w:r>
      <w:r w:rsidDel="00000000" w:rsidR="00000000" w:rsidRPr="00000000">
        <w:rPr>
          <w:b w:val="1"/>
          <w:bCs w:val="1"/>
          <w:rtl w:val="0"/>
        </w:rPr>
        <w:t xml:space="preserve">tokenización de activos reales (RWA)</w:t>
      </w:r>
      <w:r w:rsidDel="00000000" w:rsidR="00000000" w:rsidRPr="00000000">
        <w:rPr>
          <w:rtl w:val="0"/>
        </w:rPr>
        <w:t xml:space="preserve"> para fraccionar la propiedad de terrenos mediante tecnología blockchain. El objetivo es evaluar la viabilidad y perspectivas de este modelo –que permite a pequeños inversionistas adquirir </w:t>
      </w:r>
      <w:r w:rsidDel="00000000" w:rsidR="00000000" w:rsidRPr="00000000">
        <w:rPr>
          <w:b w:val="1"/>
          <w:bCs w:val="1"/>
          <w:rtl w:val="0"/>
        </w:rPr>
        <w:t xml:space="preserve">tokens representativos de metros cuadrados de terreno</w:t>
      </w:r>
      <w:r w:rsidDel="00000000" w:rsidR="00000000" w:rsidRPr="00000000">
        <w:rPr>
          <w:rtl w:val="0"/>
        </w:rPr>
        <w:t xml:space="preserve">– considerando factores inmobiliarios, socioeconómicos, legales, tecnológicos y financieros. Se busca proporcionar una visión 360° para fundamentar decisiones estratégicas, integrando perspectivas multidisciplinarias (urbanística, legal⚖️, tecnológica🔐, social y financiera). En esencia, el estudio pretende </w:t>
      </w:r>
      <w:r w:rsidDel="00000000" w:rsidR="00000000" w:rsidRPr="00000000">
        <w:rPr>
          <w:b w:val="1"/>
          <w:bCs w:val="1"/>
          <w:rtl w:val="0"/>
        </w:rPr>
        <w:t xml:space="preserve">determinar el potencial de valorización y los riesgos/opciones</w:t>
      </w:r>
      <w:r w:rsidDel="00000000" w:rsidR="00000000" w:rsidRPr="00000000">
        <w:rPr>
          <w:rtl w:val="0"/>
        </w:rPr>
        <w:t xml:space="preserve"> de tokenizar 5 hectáreas en San Bartolo, ofreciendo acceso democrático al mercado inmobiliario. El enfoque es profesional y claro, orientado a informar a socios e inversores sobre </w:t>
      </w:r>
      <w:r w:rsidDel="00000000" w:rsidR="00000000" w:rsidRPr="00000000">
        <w:rPr>
          <w:i w:val="1"/>
          <w:iCs w:val="1"/>
          <w:rtl w:val="0"/>
        </w:rPr>
        <w:t xml:space="preserve">¿por qué y cómo</w:t>
      </w:r>
      <w:r w:rsidDel="00000000" w:rsidR="00000000" w:rsidRPr="00000000">
        <w:rPr>
          <w:rtl w:val="0"/>
        </w:rPr>
        <w:t xml:space="preserve"> este proyecto puede convertirse en una oportunidad atractiva en el contexto actual.</w:t>
      </w:r>
    </w:p>
    <w:p w:rsidR="00000000" w:rsidDel="00000000" w:rsidP="00000000" w:rsidRDefault="00000000" w:rsidRPr="00000000" w14:paraId="00000013">
      <w:pPr>
        <w:spacing w:after="240" w:before="240" w:lineRule="auto"/>
        <w:rPr>
          <w:i w:val="1"/>
          <w:iCs w:val="1"/>
        </w:rPr>
      </w:pPr>
      <w:r w:rsidDel="00000000" w:rsidR="00000000" w:rsidRPr="00000000">
        <w:rPr>
          <w:b w:val="1"/>
          <w:bCs w:val="1"/>
          <w:rtl w:val="0"/>
        </w:rPr>
        <w:t xml:space="preserve">Objetivo del estudio:</w:t>
      </w:r>
      <w:r w:rsidDel="00000000" w:rsidR="00000000" w:rsidRPr="00000000">
        <w:rPr>
          <w:rtl w:val="0"/>
        </w:rPr>
        <w:t xml:space="preserve"> aportar un análisis comprensivo que responda a las preguntas clave para el proyecto: </w:t>
      </w:r>
      <w:r w:rsidDel="00000000" w:rsidR="00000000" w:rsidRPr="00000000">
        <w:rPr>
          <w:i w:val="1"/>
          <w:iCs w:val="1"/>
          <w:rtl w:val="0"/>
        </w:rPr>
        <w:t xml:space="preserve">¿Cuál es el entorno de mercado y urbano de San Bartolo y Lima Sur? ¿Existe demanda y cómo se comporta la oferta inmobiliaria? ¿Qué tan viable es la tokenización en el marco legal peruano actual? ¿Qué tecnología conviene usar y cómo garantizar seguridad y buena experiencia de usuario? ¿Cómo han operado proyectos similares globalmente (benchmark)? ¿Cuáles son los principales riesgos a gestionar y oportunidades a explotar? ¿Qué resultados financieros podrían esperarse en distintos escenarios y cuál sería la mejor estrategia de implementación?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ede1zdxnbf5h" w:id="2"/>
      <w:bookmarkEnd w:id="2"/>
      <w:r w:rsidDel="00000000" w:rsidR="00000000" w:rsidRPr="00000000">
        <w:rPr>
          <w:b w:val="1"/>
          <w:bCs w:val="1"/>
          <w:sz w:val="34"/>
          <w:szCs w:val="34"/>
          <w:rtl w:val="0"/>
        </w:rPr>
        <w:t xml:space="preserve">2. Contexto del proyecto</w:t>
      </w:r>
    </w:p>
    <w:p w:rsidR="00000000" w:rsidDel="00000000" w:rsidP="00000000" w:rsidRDefault="00000000" w:rsidRPr="00000000" w14:paraId="00000015">
      <w:pPr>
        <w:spacing w:after="240" w:before="240" w:lineRule="auto"/>
        <w:rPr/>
      </w:pPr>
      <w:r w:rsidDel="00000000" w:rsidR="00000000" w:rsidRPr="00000000">
        <w:rPr>
          <w:rtl w:val="0"/>
        </w:rPr>
        <w:t xml:space="preserve">San Bartolo es un distrito costero al sur de Lima, tradicionalmente conocido como balneario de veraneo por su </w:t>
      </w:r>
      <w:r w:rsidDel="00000000" w:rsidR="00000000" w:rsidRPr="00000000">
        <w:rPr>
          <w:b w:val="1"/>
          <w:bCs w:val="1"/>
          <w:rtl w:val="0"/>
        </w:rPr>
        <w:t xml:space="preserve">entorno natural atractivo y tranquilidad</w:t>
      </w:r>
      <w:r w:rsidDel="00000000" w:rsidR="00000000" w:rsidRPr="00000000">
        <w:rPr>
          <w:rtl w:val="0"/>
        </w:rPr>
        <w:t xml:space="preserve">. En años recientes, ha cobrado interés estratégico debido a la </w:t>
      </w:r>
      <w:r w:rsidDel="00000000" w:rsidR="00000000" w:rsidRPr="00000000">
        <w:rPr>
          <w:b w:val="1"/>
          <w:bCs w:val="1"/>
          <w:rtl w:val="0"/>
        </w:rPr>
        <w:t xml:space="preserve">expansión urbana de Lima hacia el sur</w:t>
      </w:r>
      <w:r w:rsidDel="00000000" w:rsidR="00000000" w:rsidRPr="00000000">
        <w:rPr>
          <w:rtl w:val="0"/>
        </w:rPr>
        <w:t xml:space="preserve"> y, especialmente, por el proyecto del </w:t>
      </w:r>
      <w:r w:rsidDel="00000000" w:rsidR="00000000" w:rsidRPr="00000000">
        <w:rPr>
          <w:b w:val="1"/>
          <w:bCs w:val="1"/>
          <w:rtl w:val="0"/>
        </w:rPr>
        <w:t xml:space="preserve">tren de cercanías Lima–Ica</w:t>
      </w:r>
      <w:r w:rsidDel="00000000" w:rsidR="00000000" w:rsidRPr="00000000">
        <w:rPr>
          <w:rtl w:val="0"/>
        </w:rPr>
        <w:t xml:space="preserve"> que tendrá una estación en las cercanías</w:t>
      </w:r>
      <w:hyperlink r:id="rId6">
        <w:r w:rsidDel="00000000" w:rsidR="00000000" w:rsidRPr="00000000">
          <w:rPr>
            <w:color w:val="1155cc"/>
            <w:u w:val="single"/>
            <w:rtl w:val="0"/>
          </w:rPr>
          <w:t xml:space="preserve">caretas.pe</w:t>
        </w:r>
      </w:hyperlink>
      <w:r w:rsidDel="00000000" w:rsidR="00000000" w:rsidRPr="00000000">
        <w:rPr>
          <w:rtl w:val="0"/>
        </w:rPr>
        <w:t xml:space="preserve">. La zona donde se ubica el terreno (5 hectáreas, de un portafolio mayor de 35 hectáreas en San Bartolo) cuenta con </w:t>
      </w:r>
      <w:r w:rsidDel="00000000" w:rsidR="00000000" w:rsidRPr="00000000">
        <w:rPr>
          <w:b w:val="1"/>
          <w:bCs w:val="1"/>
          <w:rtl w:val="0"/>
        </w:rPr>
        <w:t xml:space="preserve">zonificación residencial en expansión</w:t>
      </w:r>
      <w:r w:rsidDel="00000000" w:rsidR="00000000" w:rsidRPr="00000000">
        <w:rPr>
          <w:rtl w:val="0"/>
        </w:rPr>
        <w:t xml:space="preserve"> y proyección de incremento poblacional y comercial. Según planes metropolitanos, para 2035 los balnearios del sur (Punta Hermosa, Punta Negra, San Bartolo, Santa María, Pucusana) podrían albergar </w:t>
      </w:r>
      <w:r w:rsidDel="00000000" w:rsidR="00000000" w:rsidRPr="00000000">
        <w:rPr>
          <w:b w:val="1"/>
          <w:bCs w:val="1"/>
          <w:rtl w:val="0"/>
        </w:rPr>
        <w:t xml:space="preserve">~1.5 millones de habitantes sobre 9 mil hectáreas urbanizadas</w:t>
      </w:r>
      <w:r w:rsidDel="00000000" w:rsidR="00000000" w:rsidRPr="00000000">
        <w:rPr>
          <w:rtl w:val="0"/>
        </w:rPr>
        <w:t xml:space="preserve">, consolidándolos como un nuevo polo urbano de Lima</w:t>
      </w:r>
      <w:hyperlink r:id="rId7">
        <w:r w:rsidDel="00000000" w:rsidR="00000000" w:rsidRPr="00000000">
          <w:rPr>
            <w:color w:val="1155cc"/>
            <w:u w:val="single"/>
            <w:rtl w:val="0"/>
          </w:rPr>
          <w:t xml:space="preserve">caretas.pe</w:t>
        </w:r>
      </w:hyperlink>
      <w:r w:rsidDel="00000000" w:rsidR="00000000" w:rsidRPr="00000000">
        <w:rPr>
          <w:rtl w:val="0"/>
        </w:rPr>
        <w:t xml:space="preserve">. Este crecimiento esperado refleja las condiciones estratégicas de la zona para desarrollo económico-social, aunque también plantea retos de infraestructura básica que se buscan atender con planeación.</w:t>
      </w:r>
    </w:p>
    <w:p w:rsidR="00000000" w:rsidDel="00000000" w:rsidP="00000000" w:rsidRDefault="00000000" w:rsidRPr="00000000" w14:paraId="00000016">
      <w:pPr>
        <w:spacing w:after="240" w:before="240" w:lineRule="auto"/>
        <w:rPr/>
      </w:pPr>
      <w:r w:rsidDel="00000000" w:rsidR="00000000" w:rsidRPr="00000000">
        <w:rPr>
          <w:rtl w:val="0"/>
        </w:rPr>
        <w:t xml:space="preserve">El </w:t>
      </w:r>
      <w:r w:rsidDel="00000000" w:rsidR="00000000" w:rsidRPr="00000000">
        <w:rPr>
          <w:b w:val="1"/>
          <w:bCs w:val="1"/>
          <w:rtl w:val="0"/>
        </w:rPr>
        <w:t xml:space="preserve">Ferrocarril Lima–Ica</w:t>
      </w:r>
      <w:r w:rsidDel="00000000" w:rsidR="00000000" w:rsidRPr="00000000">
        <w:rPr>
          <w:rtl w:val="0"/>
        </w:rPr>
        <w:t xml:space="preserve"> (tren de cercanías) es un factor catalizador clave para San Bartolo. Este proyecto ferroviario de alta velocidad unirá Lima con Ica en aproximadamente </w:t>
      </w:r>
      <w:r w:rsidDel="00000000" w:rsidR="00000000" w:rsidRPr="00000000">
        <w:rPr>
          <w:i w:val="1"/>
          <w:iCs w:val="1"/>
          <w:rtl w:val="0"/>
        </w:rPr>
        <w:t xml:space="preserve">1 hora y 15 minutos</w:t>
      </w:r>
      <w:r w:rsidDel="00000000" w:rsidR="00000000" w:rsidRPr="00000000">
        <w:rPr>
          <w:rtl w:val="0"/>
        </w:rPr>
        <w:t xml:space="preserve"> de viaje (frente a las ~4.5 horas actuales)</w:t>
      </w:r>
      <w:hyperlink r:id="rId8">
        <w:r w:rsidDel="00000000" w:rsidR="00000000" w:rsidRPr="00000000">
          <w:rPr>
            <w:color w:val="1155cc"/>
            <w:u w:val="single"/>
            <w:rtl w:val="0"/>
          </w:rPr>
          <w:t xml:space="preserve">yakupark.com</w:t>
        </w:r>
      </w:hyperlink>
      <w:r w:rsidDel="00000000" w:rsidR="00000000" w:rsidRPr="00000000">
        <w:rPr>
          <w:rtl w:val="0"/>
        </w:rPr>
        <w:t xml:space="preserve">, con 15 estaciones intermedias incluyendo distritos al sur de Lima. La inversión (~USD 6,500 millones) y el interés internacional en el tren han elevado las expectativas de valorización inmobiliaria a lo largo de su ruta</w:t>
      </w:r>
      <w:hyperlink r:id="rId9">
        <w:r w:rsidDel="00000000" w:rsidR="00000000" w:rsidRPr="00000000">
          <w:rPr>
            <w:color w:val="1155cc"/>
            <w:u w:val="single"/>
            <w:rtl w:val="0"/>
          </w:rPr>
          <w:t xml:space="preserve">yakupark.com</w:t>
        </w:r>
      </w:hyperlink>
      <w:hyperlink r:id="rId10">
        <w:r w:rsidDel="00000000" w:rsidR="00000000" w:rsidRPr="00000000">
          <w:rPr>
            <w:color w:val="1155cc"/>
            <w:u w:val="single"/>
            <w:rtl w:val="0"/>
          </w:rPr>
          <w:t xml:space="preserve">yakupark.com</w:t>
        </w:r>
      </w:hyperlink>
      <w:r w:rsidDel="00000000" w:rsidR="00000000" w:rsidRPr="00000000">
        <w:rPr>
          <w:rtl w:val="0"/>
        </w:rPr>
        <w:t xml:space="preserve">. San Bartolo, al tener una estación planificada en sus inmediaciones, se perfila para recibir </w:t>
      </w:r>
      <w:r w:rsidDel="00000000" w:rsidR="00000000" w:rsidRPr="00000000">
        <w:rPr>
          <w:b w:val="1"/>
          <w:bCs w:val="1"/>
          <w:rtl w:val="0"/>
        </w:rPr>
        <w:t xml:space="preserve">mayor inversión privada en vivienda, comercio y turismo</w:t>
      </w:r>
      <w:r w:rsidDel="00000000" w:rsidR="00000000" w:rsidRPr="00000000">
        <w:rPr>
          <w:rtl w:val="0"/>
        </w:rPr>
        <w:t xml:space="preserve">. Estudios preliminares municipales indican un </w:t>
      </w:r>
      <w:r w:rsidDel="00000000" w:rsidR="00000000" w:rsidRPr="00000000">
        <w:rPr>
          <w:b w:val="1"/>
          <w:bCs w:val="1"/>
          <w:rtl w:val="0"/>
        </w:rPr>
        <w:t xml:space="preserve">crecimiento urbano proyectado de +40% en los próximos 7 años</w:t>
      </w:r>
      <w:r w:rsidDel="00000000" w:rsidR="00000000" w:rsidRPr="00000000">
        <w:rPr>
          <w:rtl w:val="0"/>
        </w:rPr>
        <w:t xml:space="preserve"> en la zona, impulsado por la mejora de conectividad y la disponibilidad de tierras para desarrollo (muchas actualmente eriazas). En otras palabras, el terreno objeto del proyecto se ubica en </w:t>
      </w:r>
      <w:r w:rsidDel="00000000" w:rsidR="00000000" w:rsidRPr="00000000">
        <w:rPr>
          <w:b w:val="1"/>
          <w:bCs w:val="1"/>
          <w:rtl w:val="0"/>
        </w:rPr>
        <w:t xml:space="preserve">“el lugar correcto en el momento correcto”</w:t>
      </w:r>
      <w:r w:rsidDel="00000000" w:rsidR="00000000" w:rsidRPr="00000000">
        <w:rPr>
          <w:rtl w:val="0"/>
        </w:rPr>
        <w:t xml:space="preserve">: una localidad costera atractiva que pasará de ser un pequeño balneario a integrarse en el eje metropolitano gracias a infraestructura moderna (tren, ampliación de autopistas, etc.).</w:t>
      </w:r>
    </w:p>
    <w:p w:rsidR="00000000" w:rsidDel="00000000" w:rsidP="00000000" w:rsidRDefault="00000000" w:rsidRPr="00000000" w14:paraId="00000017">
      <w:pPr>
        <w:spacing w:after="240" w:before="240" w:lineRule="auto"/>
        <w:rPr/>
      </w:pPr>
      <w:r w:rsidDel="00000000" w:rsidR="00000000" w:rsidRPr="00000000">
        <w:rPr>
          <w:rtl w:val="0"/>
        </w:rPr>
        <w:t xml:space="preserve">En este contexto, el proyecto inmobiliario propuesto introduce un </w:t>
      </w:r>
      <w:r w:rsidDel="00000000" w:rsidR="00000000" w:rsidRPr="00000000">
        <w:rPr>
          <w:b w:val="1"/>
          <w:bCs w:val="1"/>
          <w:rtl w:val="0"/>
        </w:rPr>
        <w:t xml:space="preserve">modelo de negocio basado en tokenización de bienes raíces (Real World Assets, RWA)</w:t>
      </w:r>
      <w:r w:rsidDel="00000000" w:rsidR="00000000" w:rsidRPr="00000000">
        <w:rPr>
          <w:rtl w:val="0"/>
        </w:rPr>
        <w:t xml:space="preserve">. Consiste en </w:t>
      </w:r>
      <w:r w:rsidDel="00000000" w:rsidR="00000000" w:rsidRPr="00000000">
        <w:rPr>
          <w:b w:val="1"/>
          <w:bCs w:val="1"/>
          <w:rtl w:val="0"/>
        </w:rPr>
        <w:t xml:space="preserve">“fragmentar” digitalmente la propiedad del terreno</w:t>
      </w:r>
      <w:r w:rsidDel="00000000" w:rsidR="00000000" w:rsidRPr="00000000">
        <w:rPr>
          <w:rtl w:val="0"/>
        </w:rPr>
        <w:t xml:space="preserve"> de 5 ha, emitiendo tokens en una red blockchain donde </w:t>
      </w:r>
      <w:r w:rsidDel="00000000" w:rsidR="00000000" w:rsidRPr="00000000">
        <w:rPr>
          <w:b w:val="1"/>
          <w:bCs w:val="1"/>
          <w:rtl w:val="0"/>
        </w:rPr>
        <w:t xml:space="preserve">1 token representará, por ejemplo, 1 m² de tierra</w:t>
      </w:r>
      <w:r w:rsidDel="00000000" w:rsidR="00000000" w:rsidRPr="00000000">
        <w:rPr>
          <w:rtl w:val="0"/>
        </w:rPr>
        <w:t xml:space="preserve">. De esta forma, cualquier persona podrá invertir comprando uno o más tokens –desde montos muy bajos, como $10– y ser copropietaria proporcional del terreno, con derechos económicos equivalentes a su fracción. La iniciativa aprovecha la tendencia global de democratización inmobiliaria vía blockchain, ofreciendo </w:t>
      </w:r>
      <w:r w:rsidDel="00000000" w:rsidR="00000000" w:rsidRPr="00000000">
        <w:rPr>
          <w:b w:val="1"/>
          <w:bCs w:val="1"/>
          <w:rtl w:val="0"/>
        </w:rPr>
        <w:t xml:space="preserve">seguridad, transparencia y alcance internacional</w:t>
      </w:r>
      <w:r w:rsidDel="00000000" w:rsidR="00000000" w:rsidRPr="00000000">
        <w:rPr>
          <w:rtl w:val="0"/>
        </w:rPr>
        <w:t xml:space="preserve">. Cada token estará respaldado por la propiedad real del suelo (ubicada físicamente en San Bartolo e inscrita en registros públicos), combinando así la </w:t>
      </w:r>
      <w:r w:rsidDel="00000000" w:rsidR="00000000" w:rsidRPr="00000000">
        <w:rPr>
          <w:b w:val="1"/>
          <w:bCs w:val="1"/>
          <w:rtl w:val="0"/>
        </w:rPr>
        <w:t xml:space="preserve">tangibilidad</w:t>
      </w:r>
      <w:r w:rsidDel="00000000" w:rsidR="00000000" w:rsidRPr="00000000">
        <w:rPr>
          <w:rtl w:val="0"/>
        </w:rPr>
        <w:t xml:space="preserve"> de los bienes raíces con la </w:t>
      </w:r>
      <w:r w:rsidDel="00000000" w:rsidR="00000000" w:rsidRPr="00000000">
        <w:rPr>
          <w:b w:val="1"/>
          <w:bCs w:val="1"/>
          <w:rtl w:val="0"/>
        </w:rPr>
        <w:t xml:space="preserve">liquidez y divisibilidad</w:t>
      </w:r>
      <w:r w:rsidDel="00000000" w:rsidR="00000000" w:rsidRPr="00000000">
        <w:rPr>
          <w:rtl w:val="0"/>
        </w:rPr>
        <w:t xml:space="preserve"> de los activos digitales. En resumen, el contexto del proyecto se define por: </w:t>
      </w:r>
      <w:r w:rsidDel="00000000" w:rsidR="00000000" w:rsidRPr="00000000">
        <w:rPr>
          <w:b w:val="1"/>
          <w:bCs w:val="1"/>
          <w:rtl w:val="0"/>
        </w:rPr>
        <w:t xml:space="preserve">(a)</w:t>
      </w:r>
      <w:r w:rsidDel="00000000" w:rsidR="00000000" w:rsidRPr="00000000">
        <w:rPr>
          <w:rtl w:val="0"/>
        </w:rPr>
        <w:t xml:space="preserve"> una ubicación de alta promesa de valorización futura (por el tren Lima–Ica y la expansión de Lima), y </w:t>
      </w:r>
      <w:r w:rsidDel="00000000" w:rsidR="00000000" w:rsidRPr="00000000">
        <w:rPr>
          <w:b w:val="1"/>
          <w:bCs w:val="1"/>
          <w:rtl w:val="0"/>
        </w:rPr>
        <w:t xml:space="preserve">(b)</w:t>
      </w:r>
      <w:r w:rsidDel="00000000" w:rsidR="00000000" w:rsidRPr="00000000">
        <w:rPr>
          <w:rtl w:val="0"/>
        </w:rPr>
        <w:t xml:space="preserve"> un enfoque innovador para atraer capital masivo de pequeños inversionistas a través de la tokenización, eliminando barreras tradicionales de entrada al mercado inmobiliario.</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eiazoyef3a0" w:id="3"/>
      <w:bookmarkEnd w:id="3"/>
      <w:r w:rsidDel="00000000" w:rsidR="00000000" w:rsidRPr="00000000">
        <w:rPr>
          <w:b w:val="1"/>
          <w:bCs w:val="1"/>
          <w:sz w:val="34"/>
          <w:szCs w:val="34"/>
          <w:rtl w:val="0"/>
        </w:rPr>
        <w:t xml:space="preserve">3. Análisis inmobiliario: demanda, oferta, competencia, valorización proyectada</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Demanda:</w:t>
      </w:r>
      <w:r w:rsidDel="00000000" w:rsidR="00000000" w:rsidRPr="00000000">
        <w:rPr>
          <w:rtl w:val="0"/>
        </w:rPr>
        <w:t xml:space="preserve"> Existen dos frentes de demanda relevantes: la </w:t>
      </w:r>
      <w:r w:rsidDel="00000000" w:rsidR="00000000" w:rsidRPr="00000000">
        <w:rPr>
          <w:i w:val="1"/>
          <w:iCs w:val="1"/>
          <w:rtl w:val="0"/>
        </w:rPr>
        <w:t xml:space="preserve">demanda inmobiliaria tradicional</w:t>
      </w:r>
      <w:r w:rsidDel="00000000" w:rsidR="00000000" w:rsidRPr="00000000">
        <w:rPr>
          <w:rtl w:val="0"/>
        </w:rPr>
        <w:t xml:space="preserve"> en San Bartolo (personas y desarrolladores buscando terrenos/viviendas en la zona) y la </w:t>
      </w:r>
      <w:r w:rsidDel="00000000" w:rsidR="00000000" w:rsidRPr="00000000">
        <w:rPr>
          <w:i w:val="1"/>
          <w:iCs w:val="1"/>
          <w:rtl w:val="0"/>
        </w:rPr>
        <w:t xml:space="preserve">demanda de inversión tokenizada</w:t>
      </w:r>
      <w:r w:rsidDel="00000000" w:rsidR="00000000" w:rsidRPr="00000000">
        <w:rPr>
          <w:rtl w:val="0"/>
        </w:rPr>
        <w:t xml:space="preserve"> (inversionistas buscando oportunidades fraccionadas en bienes raíces). En cuanto a la primera, San Bartolo presenta una </w:t>
      </w:r>
      <w:r w:rsidDel="00000000" w:rsidR="00000000" w:rsidRPr="00000000">
        <w:rPr>
          <w:b w:val="1"/>
          <w:bCs w:val="1"/>
          <w:rtl w:val="0"/>
        </w:rPr>
        <w:t xml:space="preserve">creciente demanda habitacional y comercial</w:t>
      </w:r>
      <w:r w:rsidDel="00000000" w:rsidR="00000000" w:rsidRPr="00000000">
        <w:rPr>
          <w:rFonts w:ascii="Arial Unicode MS" w:cs="Arial Unicode MS" w:eastAsia="Arial Unicode MS" w:hAnsi="Arial Unicode MS"/>
          <w:rtl w:val="0"/>
        </w:rPr>
        <w:t xml:space="preserve">. Su calidad de vida costera y ahora mejor accesibilidad proyectada están atrayendo tanto a familias de Lima (que buscan viviendas fuera del caos urbano) como a empresas interesadas en proyectos turísticos (playas, clubes) y comercios locales. A pesar de ser un distrito pequeño (≈3,700 residentes permanentes al 2025 según proyecciones oficiales</w:t>
      </w:r>
      <w:hyperlink r:id="rId11">
        <w:r w:rsidDel="00000000" w:rsidR="00000000" w:rsidRPr="00000000">
          <w:rPr>
            <w:color w:val="1155cc"/>
            <w:u w:val="single"/>
            <w:rtl w:val="0"/>
          </w:rPr>
          <w:t xml:space="preserve">inei.gob.pe</w:t>
        </w:r>
      </w:hyperlink>
      <w:r w:rsidDel="00000000" w:rsidR="00000000" w:rsidRPr="00000000">
        <w:rPr>
          <w:rtl w:val="0"/>
        </w:rPr>
        <w:t xml:space="preserve">, aunque la población flotante en verano sube drásticamente), la expectativa de que se integre al área metropolitana ha disparado el interés por sus terrenos. La </w:t>
      </w:r>
      <w:r w:rsidDel="00000000" w:rsidR="00000000" w:rsidRPr="00000000">
        <w:rPr>
          <w:b w:val="1"/>
          <w:bCs w:val="1"/>
          <w:rtl w:val="0"/>
        </w:rPr>
        <w:t xml:space="preserve">demanda insatisfecha de vivienda en Lima</w:t>
      </w:r>
      <w:r w:rsidDel="00000000" w:rsidR="00000000" w:rsidRPr="00000000">
        <w:rPr>
          <w:rtl w:val="0"/>
        </w:rPr>
        <w:t xml:space="preserve"> (más de 2 millones de unidades a nivel nacional</w:t>
      </w:r>
      <w:hyperlink r:id="rId12">
        <w:r w:rsidDel="00000000" w:rsidR="00000000" w:rsidRPr="00000000">
          <w:rPr>
            <w:color w:val="1155cc"/>
            <w:u w:val="single"/>
            <w:rtl w:val="0"/>
          </w:rPr>
          <w:t xml:space="preserve">infobae.com</w:t>
        </w:r>
      </w:hyperlink>
      <w:r w:rsidDel="00000000" w:rsidR="00000000" w:rsidRPr="00000000">
        <w:rPr>
          <w:rtl w:val="0"/>
        </w:rPr>
        <w:t xml:space="preserve">) asegura que nuevos suelos urbanizables al sur tengan acogida, especialmente si se planifican soluciones de vivienda asequible o de clase media. En paralelo, la </w:t>
      </w:r>
      <w:r w:rsidDel="00000000" w:rsidR="00000000" w:rsidRPr="00000000">
        <w:rPr>
          <w:i w:val="1"/>
          <w:iCs w:val="1"/>
          <w:rtl w:val="0"/>
        </w:rPr>
        <w:t xml:space="preserve">demanda de inversión tokenizada</w:t>
      </w:r>
      <w:r w:rsidDel="00000000" w:rsidR="00000000" w:rsidRPr="00000000">
        <w:rPr>
          <w:rtl w:val="0"/>
        </w:rPr>
        <w:t xml:space="preserve"> proviene de perfiles identificados como: jóvenes adultos (25–45 años) que desean iniciarse en bienes raíces con poco capital, peruanos residentes en el extranjero buscando invertir remotamente en su país, entusiastas de Web3/cripto que valoran RWA, y usuarios de plataformas de </w:t>
      </w:r>
      <w:r w:rsidDel="00000000" w:rsidR="00000000" w:rsidRPr="00000000">
        <w:rPr>
          <w:b w:val="1"/>
          <w:bCs w:val="1"/>
          <w:rtl w:val="0"/>
        </w:rPr>
        <w:t xml:space="preserve">crowdfunding inmobiliario</w:t>
      </w:r>
      <w:r w:rsidDel="00000000" w:rsidR="00000000" w:rsidRPr="00000000">
        <w:rPr>
          <w:rtl w:val="0"/>
        </w:rPr>
        <w:t xml:space="preserve">. Este último grupo es importante: en Perú ya opera un incipiente mercado de inversión colectiva inmobiliaria (crowdfunding) donde miles de personas financian proyectos de vivienda obteniendo rentabilidades atractivas (20–30% anual en algunos casos)</w:t>
      </w:r>
      <w:hyperlink r:id="rId13">
        <w:r w:rsidDel="00000000" w:rsidR="00000000" w:rsidRPr="00000000">
          <w:rPr>
            <w:color w:val="1155cc"/>
            <w:u w:val="single"/>
            <w:rtl w:val="0"/>
          </w:rPr>
          <w:t xml:space="preserve">infobae.com</w:t>
        </w:r>
      </w:hyperlink>
      <w:r w:rsidDel="00000000" w:rsidR="00000000" w:rsidRPr="00000000">
        <w:rPr>
          <w:rtl w:val="0"/>
        </w:rPr>
        <w:t xml:space="preserve">. Dicho mercado valida que existe apetito por instrumentos alternativos vinculados a inmuebles, lo que augura buena recepción a nuestra propuesta de tokens inmobiliarios. En suma, </w:t>
      </w:r>
      <w:r w:rsidDel="00000000" w:rsidR="00000000" w:rsidRPr="00000000">
        <w:rPr>
          <w:b w:val="1"/>
          <w:bCs w:val="1"/>
          <w:rtl w:val="0"/>
        </w:rPr>
        <w:t xml:space="preserve">la demanda potencial es robusta</w:t>
      </w:r>
      <w:r w:rsidDel="00000000" w:rsidR="00000000" w:rsidRPr="00000000">
        <w:rPr>
          <w:rtl w:val="0"/>
        </w:rPr>
        <w:t xml:space="preserve">, impulsada por la necesidad estructural de vivienda y por inversionistas buscando diversificar en activos reales.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Oferta:</w:t>
      </w:r>
      <w:r w:rsidDel="00000000" w:rsidR="00000000" w:rsidRPr="00000000">
        <w:rPr>
          <w:rtl w:val="0"/>
        </w:rPr>
        <w:t xml:space="preserve"> Del lado de la oferta inmobiliaria tradicional, San Bartolo y distritos aledaños aún cuentan con </w:t>
      </w:r>
      <w:r w:rsidDel="00000000" w:rsidR="00000000" w:rsidRPr="00000000">
        <w:rPr>
          <w:b w:val="1"/>
          <w:bCs w:val="1"/>
          <w:rtl w:val="0"/>
        </w:rPr>
        <w:t xml:space="preserve">amplias extensiones de tierra libre</w:t>
      </w:r>
      <w:r w:rsidDel="00000000" w:rsidR="00000000" w:rsidRPr="00000000">
        <w:rPr>
          <w:rtl w:val="0"/>
        </w:rPr>
        <w:t xml:space="preserve"> (ex-haciendas, parcelas eriazas y balnearios poco densos). El Plan de Desarrollo Urbano Lima Sur 2025–2035 ha habilitado más de 9,000 ha para expansión urbana</w:t>
      </w:r>
      <w:hyperlink r:id="rId14">
        <w:r w:rsidDel="00000000" w:rsidR="00000000" w:rsidRPr="00000000">
          <w:rPr>
            <w:color w:val="1155cc"/>
            <w:u w:val="single"/>
            <w:rtl w:val="0"/>
          </w:rPr>
          <w:t xml:space="preserve">caretas.pe</w:t>
        </w:r>
      </w:hyperlink>
      <w:r w:rsidDel="00000000" w:rsidR="00000000" w:rsidRPr="00000000">
        <w:rPr>
          <w:rtl w:val="0"/>
        </w:rPr>
        <w:t xml:space="preserve">, lo que implica un </w:t>
      </w:r>
      <w:r w:rsidDel="00000000" w:rsidR="00000000" w:rsidRPr="00000000">
        <w:rPr>
          <w:i w:val="1"/>
          <w:iCs w:val="1"/>
          <w:rtl w:val="0"/>
        </w:rPr>
        <w:t xml:space="preserve">incremento significativo en la oferta de terrenos</w:t>
      </w:r>
      <w:r w:rsidDel="00000000" w:rsidR="00000000" w:rsidRPr="00000000">
        <w:rPr>
          <w:rtl w:val="0"/>
        </w:rPr>
        <w:t xml:space="preserve"> en la próxima década. Actualmente, es posible encontrar terrenos en venta de diversos tamaños: desde lotes de 120 m² en condominios residenciales (por ejemplo, en proyectos como </w:t>
      </w:r>
      <w:r w:rsidDel="00000000" w:rsidR="00000000" w:rsidRPr="00000000">
        <w:rPr>
          <w:i w:val="1"/>
          <w:iCs w:val="1"/>
          <w:rtl w:val="0"/>
        </w:rPr>
        <w:t xml:space="preserve">Clara Vista</w:t>
      </w:r>
      <w:r w:rsidDel="00000000" w:rsidR="00000000" w:rsidRPr="00000000">
        <w:rPr>
          <w:rtl w:val="0"/>
        </w:rPr>
        <w:t xml:space="preserve"> en San Bartolo, con cuotas iniciales bajas para atraer pequeños compradores), hasta macrolotes de varias hectáreas que vienen adquiriendo grandes inmobiliarias. </w:t>
      </w:r>
      <w:r w:rsidDel="00000000" w:rsidR="00000000" w:rsidRPr="00000000">
        <w:rPr>
          <w:b w:val="1"/>
          <w:bCs w:val="1"/>
          <w:rtl w:val="0"/>
        </w:rPr>
        <w:t xml:space="preserve">Nuestro proyecto ya cuenta con la propiedad del terreno de 5 ha</w:t>
      </w:r>
      <w:r w:rsidDel="00000000" w:rsidR="00000000" w:rsidRPr="00000000">
        <w:rPr>
          <w:rtl w:val="0"/>
        </w:rPr>
        <w:t xml:space="preserve">, adquirido a precio oportuno, lo que nos posiciona en la oferta como vendedores de participaciones tokenizadas de ese activo. Aquí es crucial diferenciar: </w:t>
      </w:r>
      <w:r w:rsidDel="00000000" w:rsidR="00000000" w:rsidRPr="00000000">
        <w:rPr>
          <w:i w:val="1"/>
          <w:iCs w:val="1"/>
          <w:rtl w:val="0"/>
        </w:rPr>
        <w:t xml:space="preserve">no competimos en vender el terreno completo a un solo postor ahora</w:t>
      </w:r>
      <w:r w:rsidDel="00000000" w:rsidR="00000000" w:rsidRPr="00000000">
        <w:rPr>
          <w:rtl w:val="0"/>
        </w:rPr>
        <w:t xml:space="preserve">, sino en ofrecer fracciones a múltiples inversores. Actualmente, </w:t>
      </w:r>
      <w:r w:rsidDel="00000000" w:rsidR="00000000" w:rsidRPr="00000000">
        <w:rPr>
          <w:b w:val="1"/>
          <w:bCs w:val="1"/>
          <w:rtl w:val="0"/>
        </w:rPr>
        <w:t xml:space="preserve">no existe en Perú oferta similar de tokens inmobiliarios respaldados por tierra física</w:t>
      </w:r>
      <w:r w:rsidDel="00000000" w:rsidR="00000000" w:rsidRPr="00000000">
        <w:rPr>
          <w:rtl w:val="0"/>
        </w:rPr>
        <w:t xml:space="preserve">, por lo que nuestro producto sería pionero, sin competidores directos en RWA. No obstante, sí competimos indirectamente con otras ofertas de inversión inmobiliaria fraccionada, como las plataformas de crowdfunding mencionadas (Inversiones.io, PrestoPolis, etc.) que ofrecen participaciones en proyectos de vivienda. También compite por el bolsillo del inversionista las alternativas tradicionales: fondos inmobiliarios, FIBRAs (REITs peruanos), compra de lotes pequeños en urbanizaciones, o incluso ahorrar para la cuota inicial de un departamento. Nuestra </w:t>
      </w:r>
      <w:r w:rsidDel="00000000" w:rsidR="00000000" w:rsidRPr="00000000">
        <w:rPr>
          <w:i w:val="1"/>
          <w:iCs w:val="1"/>
          <w:rtl w:val="0"/>
        </w:rPr>
        <w:t xml:space="preserve">propuesta de valor</w:t>
      </w:r>
      <w:r w:rsidDel="00000000" w:rsidR="00000000" w:rsidRPr="00000000">
        <w:rPr>
          <w:rtl w:val="0"/>
        </w:rPr>
        <w:t xml:space="preserve"> para destacar sobre la oferta existente será: </w:t>
      </w:r>
      <w:r w:rsidDel="00000000" w:rsidR="00000000" w:rsidRPr="00000000">
        <w:rPr>
          <w:b w:val="1"/>
          <w:bCs w:val="1"/>
          <w:rtl w:val="0"/>
        </w:rPr>
        <w:t xml:space="preserve">bajo monto mínimo (desde ~$10 vs. $1,000 en crowdfunding clásico)</w:t>
      </w:r>
      <w:r w:rsidDel="00000000" w:rsidR="00000000" w:rsidRPr="00000000">
        <w:rPr>
          <w:rtl w:val="0"/>
        </w:rPr>
        <w:t xml:space="preserve">, </w:t>
      </w:r>
      <w:r w:rsidDel="00000000" w:rsidR="00000000" w:rsidRPr="00000000">
        <w:rPr>
          <w:b w:val="1"/>
          <w:bCs w:val="1"/>
          <w:rtl w:val="0"/>
        </w:rPr>
        <w:t xml:space="preserve">liquidez vía mercado secundario</w:t>
      </w:r>
      <w:r w:rsidDel="00000000" w:rsidR="00000000" w:rsidRPr="00000000">
        <w:rPr>
          <w:rtl w:val="0"/>
        </w:rPr>
        <w:t xml:space="preserve"> (los tokens se pueden revender en cualquier momento, a diferencia de los 1-2 años que inmoviliza un crowdfunding promedio), y </w:t>
      </w:r>
      <w:r w:rsidDel="00000000" w:rsidR="00000000" w:rsidRPr="00000000">
        <w:rPr>
          <w:b w:val="1"/>
          <w:bCs w:val="1"/>
          <w:rtl w:val="0"/>
        </w:rPr>
        <w:t xml:space="preserve">acceso global</w:t>
      </w:r>
      <w:r w:rsidDel="00000000" w:rsidR="00000000" w:rsidRPr="00000000">
        <w:rPr>
          <w:rtl w:val="0"/>
        </w:rPr>
        <w:t xml:space="preserve"> (un inversor extranjero puede comprar tokens fácilmente, cosa complicada en esquemas tradicionales). En síntesis, aunque la oferta de terrenos al sur de Lima crecerá, </w:t>
      </w:r>
      <w:r w:rsidDel="00000000" w:rsidR="00000000" w:rsidRPr="00000000">
        <w:rPr>
          <w:b w:val="1"/>
          <w:bCs w:val="1"/>
          <w:rtl w:val="0"/>
        </w:rPr>
        <w:t xml:space="preserve">ofertar el terreno vía tokenización nos distingue</w:t>
      </w:r>
      <w:r w:rsidDel="00000000" w:rsidR="00000000" w:rsidRPr="00000000">
        <w:rPr>
          <w:rtl w:val="0"/>
        </w:rPr>
        <w:t xml:space="preserve"> al convertirlo en un producto financiero-inmobiliario único en el mercado local.</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Competencia:</w:t>
      </w:r>
      <w:r w:rsidDel="00000000" w:rsidR="00000000" w:rsidRPr="00000000">
        <w:rPr>
          <w:rtl w:val="0"/>
        </w:rPr>
        <w:t xml:space="preserve"> A nivel local, podríamos considerar como competencia los </w:t>
      </w:r>
      <w:r w:rsidDel="00000000" w:rsidR="00000000" w:rsidRPr="00000000">
        <w:rPr>
          <w:b w:val="1"/>
          <w:bCs w:val="1"/>
          <w:rtl w:val="0"/>
        </w:rPr>
        <w:t xml:space="preserve">grandes desarrolladores inmobiliarios</w:t>
      </w:r>
      <w:r w:rsidDel="00000000" w:rsidR="00000000" w:rsidRPr="00000000">
        <w:rPr>
          <w:rtl w:val="0"/>
        </w:rPr>
        <w:t xml:space="preserve"> que están adquiriendo tierra en Lima Sur anticipándose al tren. Empresas constructoras reconocidas (ej. Los Portales, Centenario, Menorca, etc.) ya han lanzado proyectos de lotizaciones y condominios en distritos sureños (Asia, Chilca, Lurín) orientados a segunda vivienda y, en el futuro, vivienda principal. Si bien esas empresas no ofrecen tokenización, </w:t>
      </w:r>
      <w:r w:rsidDel="00000000" w:rsidR="00000000" w:rsidRPr="00000000">
        <w:rPr>
          <w:i w:val="1"/>
          <w:iCs w:val="1"/>
          <w:rtl w:val="0"/>
        </w:rPr>
        <w:t xml:space="preserve">sí compiten</w:t>
      </w:r>
      <w:r w:rsidDel="00000000" w:rsidR="00000000" w:rsidRPr="00000000">
        <w:rPr>
          <w:rtl w:val="0"/>
        </w:rPr>
        <w:t xml:space="preserve"> en el sentido de que capturan demanda de inversión: por ejemplo, alguien con $5,000 podría preferir comprar un lote en pre-venta en vez de tokens. Asimismo, las </w:t>
      </w:r>
      <w:r w:rsidDel="00000000" w:rsidR="00000000" w:rsidRPr="00000000">
        <w:rPr>
          <w:b w:val="1"/>
          <w:bCs w:val="1"/>
          <w:rtl w:val="0"/>
        </w:rPr>
        <w:t xml:space="preserve">plataformas globales de RWA</w:t>
      </w:r>
      <w:r w:rsidDel="00000000" w:rsidR="00000000" w:rsidRPr="00000000">
        <w:rPr>
          <w:rtl w:val="0"/>
        </w:rPr>
        <w:t xml:space="preserve"> son una competencia incipiente: proyectos como </w:t>
      </w:r>
      <w:r w:rsidDel="00000000" w:rsidR="00000000" w:rsidRPr="00000000">
        <w:rPr>
          <w:b w:val="1"/>
          <w:bCs w:val="1"/>
          <w:rtl w:val="0"/>
        </w:rPr>
        <w:t xml:space="preserve">RealT</w:t>
      </w:r>
      <w:r w:rsidDel="00000000" w:rsidR="00000000" w:rsidRPr="00000000">
        <w:rPr>
          <w:rtl w:val="0"/>
        </w:rPr>
        <w:t xml:space="preserve"> (EE.UU.), </w:t>
      </w:r>
      <w:r w:rsidDel="00000000" w:rsidR="00000000" w:rsidRPr="00000000">
        <w:rPr>
          <w:b w:val="1"/>
          <w:bCs w:val="1"/>
          <w:rtl w:val="0"/>
        </w:rPr>
        <w:t xml:space="preserve">Reental</w:t>
      </w:r>
      <w:r w:rsidDel="00000000" w:rsidR="00000000" w:rsidRPr="00000000">
        <w:rPr>
          <w:rtl w:val="0"/>
        </w:rPr>
        <w:t xml:space="preserve"> (España) o </w:t>
      </w:r>
      <w:r w:rsidDel="00000000" w:rsidR="00000000" w:rsidRPr="00000000">
        <w:rPr>
          <w:b w:val="1"/>
          <w:bCs w:val="1"/>
          <w:rtl w:val="0"/>
        </w:rPr>
        <w:t xml:space="preserve">Tangible/Mattereum</w:t>
      </w:r>
      <w:r w:rsidDel="00000000" w:rsidR="00000000" w:rsidRPr="00000000">
        <w:rPr>
          <w:rtl w:val="0"/>
        </w:rPr>
        <w:t xml:space="preserve"> (Europa) permiten a latinoamericanos invertir en propiedades tokenizadas en el extranjero. Reental, por ejemplo, ya cuenta con más de 22,000 usuarios de 90 países (muchos de Hispanoamérica) y tenía €32.5 millones en activos tokenizados al 2024</w:t>
      </w:r>
      <w:hyperlink r:id="rId15">
        <w:r w:rsidDel="00000000" w:rsidR="00000000" w:rsidRPr="00000000">
          <w:rPr>
            <w:color w:val="1155cc"/>
            <w:u w:val="single"/>
            <w:rtl w:val="0"/>
          </w:rPr>
          <w:t xml:space="preserve">elespanol.com</w:t>
        </w:r>
      </w:hyperlink>
      <w:r w:rsidDel="00000000" w:rsidR="00000000" w:rsidRPr="00000000">
        <w:rPr>
          <w:rtl w:val="0"/>
        </w:rPr>
        <w:t xml:space="preserve">. Esto indica que inversionistas peruanos familiarizados con cripto podrían destinar su dinero a esos mercados externos si perciben falta de opciones locales. No obstante, nuestro proyecto tiene una ventaja competitiva geográfica: </w:t>
      </w:r>
      <w:r w:rsidDel="00000000" w:rsidR="00000000" w:rsidRPr="00000000">
        <w:rPr>
          <w:i w:val="1"/>
          <w:iCs w:val="1"/>
          <w:rtl w:val="0"/>
        </w:rPr>
        <w:t xml:space="preserve">conecta directamente con el boom inmobiliario peruano</w:t>
      </w:r>
      <w:r w:rsidDel="00000000" w:rsidR="00000000" w:rsidRPr="00000000">
        <w:rPr>
          <w:rtl w:val="0"/>
        </w:rPr>
        <w:t xml:space="preserve">, ofreciendo exposición a la revalorización de Lima Sur, algo que los proyectos en Detroit o Valencia no dan. Además, al estar </w:t>
      </w:r>
      <w:r w:rsidDel="00000000" w:rsidR="00000000" w:rsidRPr="00000000">
        <w:rPr>
          <w:i w:val="1"/>
          <w:iCs w:val="1"/>
          <w:rtl w:val="0"/>
        </w:rPr>
        <w:t xml:space="preserve">sobre el terreno</w:t>
      </w:r>
      <w:r w:rsidDel="00000000" w:rsidR="00000000" w:rsidRPr="00000000">
        <w:rPr>
          <w:rtl w:val="0"/>
        </w:rPr>
        <w:t xml:space="preserve">, el equipo puede agregar valor local (gestionar permisos, conocer la zona, eventualmente desarrollar). Por tanto, la clave será </w:t>
      </w:r>
      <w:r w:rsidDel="00000000" w:rsidR="00000000" w:rsidRPr="00000000">
        <w:rPr>
          <w:b w:val="1"/>
          <w:bCs w:val="1"/>
          <w:rtl w:val="0"/>
        </w:rPr>
        <w:t xml:space="preserve">comunicar nuestra propuesta como una oportunidad única de invertir en la “Nueva Lima”</w:t>
      </w:r>
      <w:r w:rsidDel="00000000" w:rsidR="00000000" w:rsidRPr="00000000">
        <w:rPr>
          <w:rtl w:val="0"/>
        </w:rPr>
        <w:t xml:space="preserve"> mediante tokens, antes de que otras iniciativas similares surjan en el país.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Valorización proyectada:</w:t>
      </w:r>
      <w:r w:rsidDel="00000000" w:rsidR="00000000" w:rsidRPr="00000000">
        <w:rPr>
          <w:rtl w:val="0"/>
        </w:rPr>
        <w:t xml:space="preserve"> Basado en análisis propios y referencias de mercado, se estima que el terreno tokenizado tiene un </w:t>
      </w:r>
      <w:r w:rsidDel="00000000" w:rsidR="00000000" w:rsidRPr="00000000">
        <w:rPr>
          <w:b w:val="1"/>
          <w:bCs w:val="1"/>
          <w:rtl w:val="0"/>
        </w:rPr>
        <w:t xml:space="preserve">valor actual aproximado de USD $25 por m²</w:t>
      </w:r>
      <w:r w:rsidDel="00000000" w:rsidR="00000000" w:rsidRPr="00000000">
        <w:rPr>
          <w:rtl w:val="0"/>
        </w:rPr>
        <w:t xml:space="preserve">. Este valor refleja su situación semi-rústica actual (a la espera de urbanización) y anticipa parcialmente el impacto del anuncio del tren. A medida que las obras del ferrocarril avancen y la zona reciba infraestructura (vías de acceso, servicios básicos, estaciones), los terrenos similares podrían duplicar o triplicar su valor. Proyecciones conservadoras apuntan a un </w:t>
      </w:r>
      <w:r w:rsidDel="00000000" w:rsidR="00000000" w:rsidRPr="00000000">
        <w:rPr>
          <w:b w:val="1"/>
          <w:bCs w:val="1"/>
          <w:rtl w:val="0"/>
        </w:rPr>
        <w:t xml:space="preserve">precio de USD $50/m² en ~5 años</w:t>
      </w:r>
      <w:r w:rsidDel="00000000" w:rsidR="00000000" w:rsidRPr="00000000">
        <w:rPr>
          <w:rtl w:val="0"/>
        </w:rPr>
        <w:t xml:space="preserve">, una vez el tren Lima–Ica esté en operación y San Bartolo pase a ser un nodo suburbanizado. En un </w:t>
      </w:r>
      <w:r w:rsidDel="00000000" w:rsidR="00000000" w:rsidRPr="00000000">
        <w:rPr>
          <w:b w:val="1"/>
          <w:bCs w:val="1"/>
          <w:rtl w:val="0"/>
        </w:rPr>
        <w:t xml:space="preserve">escenario optimista</w:t>
      </w:r>
      <w:r w:rsidDel="00000000" w:rsidR="00000000" w:rsidRPr="00000000">
        <w:rPr>
          <w:rtl w:val="0"/>
        </w:rPr>
        <w:t xml:space="preserve">, considerando auge inmobiliario (por ejemplo, instalación de polos industriales o turísticos en la zona sur concurrentes con el tren), el m² podría llegar a </w:t>
      </w:r>
      <w:r w:rsidDel="00000000" w:rsidR="00000000" w:rsidRPr="00000000">
        <w:rPr>
          <w:b w:val="1"/>
          <w:bCs w:val="1"/>
          <w:rtl w:val="0"/>
        </w:rPr>
        <w:t xml:space="preserve">$70</w:t>
      </w:r>
      <w:r w:rsidDel="00000000" w:rsidR="00000000" w:rsidRPr="00000000">
        <w:rPr>
          <w:rtl w:val="0"/>
        </w:rPr>
        <w:t xml:space="preserve"> o más en ese horizonte. Estas cifras implican una </w:t>
      </w:r>
      <w:r w:rsidDel="00000000" w:rsidR="00000000" w:rsidRPr="00000000">
        <w:rPr>
          <w:b w:val="1"/>
          <w:bCs w:val="1"/>
          <w:rtl w:val="0"/>
        </w:rPr>
        <w:t xml:space="preserve">revalorización del +100% a +180%</w:t>
      </w:r>
      <w:r w:rsidDel="00000000" w:rsidR="00000000" w:rsidRPr="00000000">
        <w:rPr>
          <w:rtl w:val="0"/>
        </w:rPr>
        <w:t xml:space="preserve"> respecto al valor inicial. De hecho, ya hoy en urbanizaciones de San Bartolo con servicios se observan lotes ofertados entre $60–100/m², y terrenos de playa cotizan por encima de $200/m²; con lo cual $50–70/m² para nuestro predio interior pero bien ubicado luce alcanzable. A modo ilustrativo, a continuación se presenta la </w:t>
      </w:r>
      <w:r w:rsidDel="00000000" w:rsidR="00000000" w:rsidRPr="00000000">
        <w:rPr>
          <w:b w:val="1"/>
          <w:bCs w:val="1"/>
          <w:rtl w:val="0"/>
        </w:rPr>
        <w:t xml:space="preserve">proyección de valor por m²</w:t>
      </w:r>
      <w:r w:rsidDel="00000000" w:rsidR="00000000" w:rsidRPr="00000000">
        <w:rPr>
          <w:rtl w:val="0"/>
        </w:rPr>
        <w:t xml:space="preserve"> y rentabilidad esperada: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2213949197776"/>
        <w:gridCol w:w="1647.439132869898"/>
        <w:gridCol w:w="1803.2141798174814"/>
        <w:gridCol w:w="2454.6371034164667"/>
        <w:tblGridChange w:id="0">
          <w:tblGrid>
            <w:gridCol w:w="3120.2213949197776"/>
            <w:gridCol w:w="1647.439132869898"/>
            <w:gridCol w:w="1803.2141798174814"/>
            <w:gridCol w:w="2454.63710341646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Escenario a 5 años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Valor estimado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Aumento vs. hoy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ROI estimado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Base (conservador)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USD $50/m²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~15% anual (compuesto)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Optimista (rápido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USD $70/m²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~22% anual (compuesto)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Pesimista (demoras, menor alza)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USD $35/m²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~7% anual (compuesto)</w:t>
            </w:r>
          </w:p>
        </w:tc>
      </w:tr>
    </w:tbl>
    <w:p w:rsidR="00000000" w:rsidDel="00000000" w:rsidP="00000000" w:rsidRDefault="00000000" w:rsidRPr="00000000" w14:paraId="0000002D">
      <w:pPr>
        <w:spacing w:after="240" w:before="240" w:lineRule="auto"/>
        <w:rPr/>
      </w:pPr>
      <w:r w:rsidDel="00000000" w:rsidR="00000000" w:rsidRPr="00000000">
        <w:rPr>
          <w:i w:val="1"/>
          <w:iCs w:val="1"/>
          <w:rtl w:val="0"/>
        </w:rPr>
        <w:t xml:space="preserve">Tabla:</w:t>
      </w:r>
      <w:r w:rsidDel="00000000" w:rsidR="00000000" w:rsidRPr="00000000">
        <w:rPr>
          <w:rtl w:val="0"/>
        </w:rPr>
        <w:t xml:space="preserve"> Valor actual ~$25/m²; escenarios de valorización a 5 años según distintos contextos de mercado.</w:t>
      </w:r>
    </w:p>
    <w:p w:rsidR="00000000" w:rsidDel="00000000" w:rsidP="00000000" w:rsidRDefault="00000000" w:rsidRPr="00000000" w14:paraId="0000002E">
      <w:pPr>
        <w:spacing w:after="240" w:before="240" w:lineRule="auto"/>
        <w:rPr/>
      </w:pPr>
      <w:r w:rsidDel="00000000" w:rsidR="00000000" w:rsidRPr="00000000">
        <w:rPr>
          <w:rtl w:val="0"/>
        </w:rPr>
        <w:t xml:space="preserve">En cualquiera de los casos, la tendencia es </w:t>
      </w:r>
      <w:r w:rsidDel="00000000" w:rsidR="00000000" w:rsidRPr="00000000">
        <w:rPr>
          <w:b w:val="1"/>
          <w:bCs w:val="1"/>
          <w:rtl w:val="0"/>
        </w:rPr>
        <w:t xml:space="preserve">📈 al alza</w:t>
      </w:r>
      <w:r w:rsidDel="00000000" w:rsidR="00000000" w:rsidRPr="00000000">
        <w:rPr>
          <w:rtl w:val="0"/>
        </w:rPr>
        <w:t xml:space="preserve">. Cabe destacar que el ROI para los inversionistas en tokens provendrá mayormente de la </w:t>
      </w:r>
      <w:r w:rsidDel="00000000" w:rsidR="00000000" w:rsidRPr="00000000">
        <w:rPr>
          <w:b w:val="1"/>
          <w:bCs w:val="1"/>
          <w:rtl w:val="0"/>
        </w:rPr>
        <w:t xml:space="preserve">plusvalía del terreno</w:t>
      </w:r>
      <w:r w:rsidDel="00000000" w:rsidR="00000000" w:rsidRPr="00000000">
        <w:rPr>
          <w:rtl w:val="0"/>
        </w:rPr>
        <w:t xml:space="preserve"> (apreciación del precio por m²), dado que por ahora no se planea una renta periódica (el terreno está sin construir, no genera alquiler). No obstante, los inversionistas podrían obtener liquidez vendiendo tokens en el mercado secundario en cualquier momento, potencialmente capturando ganancias antes de los 5 años si el precio del token sube. Un posible </w:t>
      </w:r>
      <w:r w:rsidDel="00000000" w:rsidR="00000000" w:rsidRPr="00000000">
        <w:rPr>
          <w:i w:val="1"/>
          <w:iCs w:val="1"/>
          <w:rtl w:val="0"/>
        </w:rPr>
        <w:t xml:space="preserve">evento de salida</w:t>
      </w:r>
      <w:r w:rsidDel="00000000" w:rsidR="00000000" w:rsidRPr="00000000">
        <w:rPr>
          <w:rtl w:val="0"/>
        </w:rPr>
        <w:t xml:space="preserve"> adicional sería una venta total o parcial del terreno a un desarrollador grande en el futuro: en tal caso, los tenedores de tokens recibirían el proporcional del precio de venta (o se procedería a un mecanismo de </w:t>
      </w:r>
      <w:r w:rsidDel="00000000" w:rsidR="00000000" w:rsidRPr="00000000">
        <w:rPr>
          <w:b w:val="1"/>
          <w:bCs w:val="1"/>
          <w:rtl w:val="0"/>
        </w:rPr>
        <w:t xml:space="preserve">compra de tokens (buyback)</w:t>
      </w:r>
      <w:r w:rsidDel="00000000" w:rsidR="00000000" w:rsidRPr="00000000">
        <w:rPr>
          <w:rtl w:val="0"/>
        </w:rPr>
        <w:t xml:space="preserve"> para concretar la transacción). En resumen, la </w:t>
      </w:r>
      <w:r w:rsidDel="00000000" w:rsidR="00000000" w:rsidRPr="00000000">
        <w:rPr>
          <w:b w:val="1"/>
          <w:bCs w:val="1"/>
          <w:rtl w:val="0"/>
        </w:rPr>
        <w:t xml:space="preserve">valorización proyectada es muy atractiva</w:t>
      </w:r>
      <w:r w:rsidDel="00000000" w:rsidR="00000000" w:rsidRPr="00000000">
        <w:rPr>
          <w:rtl w:val="0"/>
        </w:rPr>
        <w:t xml:space="preserve"> impulsada por factores reales (tren, crecimiento urbano), aunque como todo pronóstico depende de que dichos catalizadores se materialicen en tiempo y forma.</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5bpd932pwipm" w:id="4"/>
      <w:bookmarkEnd w:id="4"/>
      <w:r w:rsidDel="00000000" w:rsidR="00000000" w:rsidRPr="00000000">
        <w:rPr>
          <w:b w:val="1"/>
          <w:bCs w:val="1"/>
          <w:sz w:val="34"/>
          <w:szCs w:val="34"/>
          <w:rtl w:val="0"/>
        </w:rPr>
        <w:t xml:space="preserve">4. Aspectos socioeconómicos (Lima y Lima Sur)</w:t>
      </w:r>
    </w:p>
    <w:p w:rsidR="00000000" w:rsidDel="00000000" w:rsidP="00000000" w:rsidRDefault="00000000" w:rsidRPr="00000000" w14:paraId="00000030">
      <w:pPr>
        <w:spacing w:after="240" w:before="240" w:lineRule="auto"/>
        <w:rPr/>
      </w:pPr>
      <w:r w:rsidDel="00000000" w:rsidR="00000000" w:rsidRPr="00000000">
        <w:rPr>
          <w:rtl w:val="0"/>
        </w:rPr>
        <w:t xml:space="preserve">El análisis socioeconómico del entorno refuerza el panorama optimista, pero también identifica desafíos. </w:t>
      </w:r>
      <w:r w:rsidDel="00000000" w:rsidR="00000000" w:rsidRPr="00000000">
        <w:rPr>
          <w:b w:val="1"/>
          <w:bCs w:val="1"/>
          <w:rtl w:val="0"/>
        </w:rPr>
        <w:t xml:space="preserve">Lima Metropolitana</w:t>
      </w:r>
      <w:r w:rsidDel="00000000" w:rsidR="00000000" w:rsidRPr="00000000">
        <w:rPr>
          <w:rtl w:val="0"/>
        </w:rPr>
        <w:t xml:space="preserve"> es una megaciudad de ~10 millones de habitantes con una economía altamente centralizada en la capital. Históricamente, el crecimiento urbano ha ocurrido hacia las periferias (conos Norte, Sur y Este) debido a la migración interna y la búsqueda de suelo accesible. Lima Sur, donde se sitúa San Bartolo, ha sido hasta ahora menos poblada que otros conos, en parte por su vocación de balnearios de playa (Punta Hermosa, San Bartolo, etc.) y por limitaciones de agua dulce en el área. Sin embargo, las tendencias están cambiando. Según el </w:t>
      </w:r>
      <w:r w:rsidDel="00000000" w:rsidR="00000000" w:rsidRPr="00000000">
        <w:rPr>
          <w:b w:val="1"/>
          <w:bCs w:val="1"/>
          <w:rtl w:val="0"/>
        </w:rPr>
        <w:t xml:space="preserve">Plan Metropolitano</w:t>
      </w:r>
      <w:r w:rsidDel="00000000" w:rsidR="00000000" w:rsidRPr="00000000">
        <w:rPr>
          <w:rtl w:val="0"/>
        </w:rPr>
        <w:t xml:space="preserve"> aprobado en 2025, la zona sur será el principal pulmón de expansión de Lima en la próxima década</w:t>
      </w:r>
      <w:hyperlink r:id="rId16">
        <w:r w:rsidDel="00000000" w:rsidR="00000000" w:rsidRPr="00000000">
          <w:rPr>
            <w:color w:val="1155cc"/>
            <w:u w:val="single"/>
            <w:rtl w:val="0"/>
          </w:rPr>
          <w:t xml:space="preserve">caretas.pe</w:t>
        </w:r>
      </w:hyperlink>
      <w:r w:rsidDel="00000000" w:rsidR="00000000" w:rsidRPr="00000000">
        <w:rPr>
          <w:rtl w:val="0"/>
        </w:rPr>
        <w:t xml:space="preserve">. Pasará de algunos </w:t>
      </w:r>
      <w:r w:rsidDel="00000000" w:rsidR="00000000" w:rsidRPr="00000000">
        <w:rPr>
          <w:b w:val="1"/>
          <w:bCs w:val="1"/>
          <w:rtl w:val="0"/>
        </w:rPr>
        <w:t xml:space="preserve">miles de habitantes por distrito</w:t>
      </w:r>
      <w:r w:rsidDel="00000000" w:rsidR="00000000" w:rsidRPr="00000000">
        <w:rPr>
          <w:rtl w:val="0"/>
        </w:rPr>
        <w:t xml:space="preserve"> (ej. ~3,700 en San Bartolo el 2025</w:t>
      </w:r>
      <w:hyperlink r:id="rId17">
        <w:r w:rsidDel="00000000" w:rsidR="00000000" w:rsidRPr="00000000">
          <w:rPr>
            <w:color w:val="1155cc"/>
            <w:u w:val="single"/>
            <w:rtl w:val="0"/>
          </w:rPr>
          <w:t xml:space="preserve">inei.gob.pe</w:t>
        </w:r>
      </w:hyperlink>
      <w:r w:rsidDel="00000000" w:rsidR="00000000" w:rsidRPr="00000000">
        <w:rPr>
          <w:rtl w:val="0"/>
        </w:rPr>
        <w:t xml:space="preserve">) a cientos de miles. La proyección de </w:t>
      </w:r>
      <w:r w:rsidDel="00000000" w:rsidR="00000000" w:rsidRPr="00000000">
        <w:rPr>
          <w:b w:val="1"/>
          <w:bCs w:val="1"/>
          <w:rtl w:val="0"/>
        </w:rPr>
        <w:t xml:space="preserve">1.5 millones de habitantes al 2035</w:t>
      </w:r>
      <w:r w:rsidDel="00000000" w:rsidR="00000000" w:rsidRPr="00000000">
        <w:rPr>
          <w:rtl w:val="0"/>
        </w:rPr>
        <w:t xml:space="preserve"> en los cinco balnearios sureños implica una transformación socioeconómica: habrá </w:t>
      </w:r>
      <w:r w:rsidDel="00000000" w:rsidR="00000000" w:rsidRPr="00000000">
        <w:rPr>
          <w:b w:val="1"/>
          <w:bCs w:val="1"/>
          <w:rtl w:val="0"/>
        </w:rPr>
        <w:t xml:space="preserve">urbanización masiva de áreas hoy vacías</w:t>
      </w:r>
      <w:r w:rsidDel="00000000" w:rsidR="00000000" w:rsidRPr="00000000">
        <w:rPr>
          <w:rtl w:val="0"/>
        </w:rPr>
        <w:t xml:space="preserve">, construcción de viviendas formales, llegada de equipamientos (colegios, centros de salud, comercio) y generación de empleos locales para sustentar a esa población. Este crecimiento responde a que Lima ya no puede extenderse más hacia el norte o este sin grandes costos, mientras que al sur hay terrenos amplios y atractivos cercanos al mar.</w:t>
      </w:r>
    </w:p>
    <w:p w:rsidR="00000000" w:rsidDel="00000000" w:rsidP="00000000" w:rsidRDefault="00000000" w:rsidRPr="00000000" w14:paraId="00000031">
      <w:pPr>
        <w:spacing w:after="240" w:before="240" w:lineRule="auto"/>
        <w:rPr/>
      </w:pPr>
      <w:r w:rsidDel="00000000" w:rsidR="00000000" w:rsidRPr="00000000">
        <w:rPr>
          <w:rtl w:val="0"/>
        </w:rPr>
        <w:t xml:space="preserve">Actualmente, San Bartolo y sus distritos vecinos exhiben un </w:t>
      </w:r>
      <w:r w:rsidDel="00000000" w:rsidR="00000000" w:rsidRPr="00000000">
        <w:rPr>
          <w:b w:val="1"/>
          <w:bCs w:val="1"/>
          <w:rtl w:val="0"/>
        </w:rPr>
        <w:t xml:space="preserve">contraste socioeconómico</w:t>
      </w:r>
      <w:r w:rsidDel="00000000" w:rsidR="00000000" w:rsidRPr="00000000">
        <w:rPr>
          <w:rtl w:val="0"/>
        </w:rPr>
        <w:t xml:space="preserve">: por un lado, enclaves residenciales de clase media y alta (casas de playa, clubes privados) que dinamizan la economía local los meses de verano (como se observa en la imagen aérea, donde la actividad se concentra junto a la playa); y por otro lado, comunidades locales pequeñas con acceso limitado a algunos servicios públicos. El ingreso per cápita promedio en Lima Sur tiende a ser menor que en distritos céntricos de Lima, pero la calidad de vida percibida es alta: encuestas revelan que un 40% de residentes de Lima Sur se siente satisfecho con su ciudad, porcentaje mayor al promedio de Lima</w:t>
      </w:r>
      <w:hyperlink r:id="rId18">
        <w:r w:rsidDel="00000000" w:rsidR="00000000" w:rsidRPr="00000000">
          <w:rPr>
            <w:color w:val="1155cc"/>
            <w:u w:val="single"/>
            <w:rtl w:val="0"/>
          </w:rPr>
          <w:t xml:space="preserve">limacomovamos.org</w:t>
        </w:r>
      </w:hyperlink>
      <w:r w:rsidDel="00000000" w:rsidR="00000000" w:rsidRPr="00000000">
        <w:rPr>
          <w:rtl w:val="0"/>
        </w:rPr>
        <w:t xml:space="preserve">, probablemente por menor congestión y entorno limpio. La llegada del tren y la inversión inmobiliaria traerán </w:t>
      </w:r>
      <w:r w:rsidDel="00000000" w:rsidR="00000000" w:rsidRPr="00000000">
        <w:rPr>
          <w:b w:val="1"/>
          <w:bCs w:val="1"/>
          <w:rtl w:val="0"/>
        </w:rPr>
        <w:t xml:space="preserve">cambios socioeconómicos significativos</w:t>
      </w:r>
      <w:r w:rsidDel="00000000" w:rsidR="00000000" w:rsidRPr="00000000">
        <w:rPr>
          <w:rtl w:val="0"/>
        </w:rPr>
        <w:t xml:space="preserve">: se espera migración de familias de sectores medios buscando vivienda más económica (en comparación con Lima urbana), así como la instalación de nuevas actividades económicas. Por ejemplo, en Chilca (distrito industrial cercano) ya operan fábricas y se planifican parques logísticos; en Santa María del Mar y Pucusana hay proyectos de marinas y puertos deportivos; todo lo cual generará empleos y elevará ingresos en la región. Un reto importante identificado es asegurar la </w:t>
      </w:r>
      <w:r w:rsidDel="00000000" w:rsidR="00000000" w:rsidRPr="00000000">
        <w:rPr>
          <w:b w:val="1"/>
          <w:bCs w:val="1"/>
          <w:rtl w:val="0"/>
        </w:rPr>
        <w:t xml:space="preserve">sostenibilidad de la expansión urbana</w:t>
      </w:r>
      <w:r w:rsidDel="00000000" w:rsidR="00000000" w:rsidRPr="00000000">
        <w:rPr>
          <w:rFonts w:ascii="Arial Unicode MS" w:cs="Arial Unicode MS" w:eastAsia="Arial Unicode MS" w:hAnsi="Arial Unicode MS"/>
          <w:rtl w:val="0"/>
        </w:rPr>
        <w:t xml:space="preserve">: el PDU Lima Sur advierte sobre déficits actuales en agua potable, electricidad e internet, así como la necesidad de áreas verdes (actualmente solo ~3 m²/hab de áreas verdes, cuando la OMS recomienda ≥9 m²)</w:t>
      </w:r>
      <w:hyperlink r:id="rId19">
        <w:r w:rsidDel="00000000" w:rsidR="00000000" w:rsidRPr="00000000">
          <w:rPr>
            <w:color w:val="1155cc"/>
            <w:u w:val="single"/>
            <w:rtl w:val="0"/>
          </w:rPr>
          <w:t xml:space="preserve">caretas.pe</w:t>
        </w:r>
      </w:hyperlink>
      <w:r w:rsidDel="00000000" w:rsidR="00000000" w:rsidRPr="00000000">
        <w:rPr>
          <w:rtl w:val="0"/>
        </w:rPr>
        <w:t xml:space="preserve">. Esto sugiere que inversiones en infraestructura básica deberán acompañar al crecimiento inmobiliario. Desde un punto de vista </w:t>
      </w:r>
      <w:r w:rsidDel="00000000" w:rsidR="00000000" w:rsidRPr="00000000">
        <w:rPr>
          <w:b w:val="1"/>
          <w:bCs w:val="1"/>
          <w:rtl w:val="0"/>
        </w:rPr>
        <w:t xml:space="preserve">sociológico</w:t>
      </w:r>
      <w:r w:rsidDel="00000000" w:rsidR="00000000" w:rsidRPr="00000000">
        <w:rPr>
          <w:rtl w:val="0"/>
        </w:rPr>
        <w:t xml:space="preserve">, también habrá que manejar la integración de las comunidades locales con los nuevos residentes e inversionistas externos, evitando conflictos sociales. Es crucial promover un desarrollo ordenado y </w:t>
      </w:r>
      <w:r w:rsidDel="00000000" w:rsidR="00000000" w:rsidRPr="00000000">
        <w:rPr>
          <w:b w:val="1"/>
          <w:bCs w:val="1"/>
          <w:rtl w:val="0"/>
        </w:rPr>
        <w:t xml:space="preserve">formal</w:t>
      </w:r>
      <w:r w:rsidDel="00000000" w:rsidR="00000000" w:rsidRPr="00000000">
        <w:rPr>
          <w:rtl w:val="0"/>
        </w:rPr>
        <w:t xml:space="preserve"> para que Lima Sur no replique problemas de informalidad de otros conos (invasiones de tierra, asentamientos precarios).</w:t>
      </w:r>
    </w:p>
    <w:p w:rsidR="00000000" w:rsidDel="00000000" w:rsidP="00000000" w:rsidRDefault="00000000" w:rsidRPr="00000000" w14:paraId="00000032">
      <w:pPr>
        <w:spacing w:after="240" w:before="240" w:lineRule="auto"/>
        <w:rPr/>
      </w:pPr>
      <w:r w:rsidDel="00000000" w:rsidR="00000000" w:rsidRPr="00000000">
        <w:rPr>
          <w:rtl w:val="0"/>
        </w:rPr>
        <w:t xml:space="preserve">En el caso específico de nuestro proyecto, los </w:t>
      </w:r>
      <w:r w:rsidDel="00000000" w:rsidR="00000000" w:rsidRPr="00000000">
        <w:rPr>
          <w:b w:val="1"/>
          <w:bCs w:val="1"/>
          <w:rtl w:val="0"/>
        </w:rPr>
        <w:t xml:space="preserve">aspectos sociales</w:t>
      </w:r>
      <w:r w:rsidDel="00000000" w:rsidR="00000000" w:rsidRPr="00000000">
        <w:rPr>
          <w:rtl w:val="0"/>
        </w:rPr>
        <w:t xml:space="preserve"> a considerar incluyen: la aceptación de la comunidad local de San Bartolo a una iniciativa de tokenización (que podría verse abstracta; habrá que explicar que los terrenos siguen siendo propiedad peruana solo que compartida), el potencial impacto positivo en la zona (atraer capital puede traducirse en mejoras, pues se podría destinar parte de los fondos captados a habilitar el terreno, limpiar la zona, etc., beneficiando al distrito), y la inclusión de peruanos comunes en beneficios que antes estaban reservados a grandes inversionistas. Además, un componente interesante es el </w:t>
      </w:r>
      <w:r w:rsidDel="00000000" w:rsidR="00000000" w:rsidRPr="00000000">
        <w:rPr>
          <w:b w:val="1"/>
          <w:bCs w:val="1"/>
          <w:rtl w:val="0"/>
        </w:rPr>
        <w:t xml:space="preserve">enfoque en peruanos en el extranjero</w:t>
      </w:r>
      <w:r w:rsidDel="00000000" w:rsidR="00000000" w:rsidRPr="00000000">
        <w:rPr>
          <w:rtl w:val="0"/>
        </w:rPr>
        <w:t xml:space="preserve">: hay más de 3 millones de peruanos residiendo fuera, muchos de los cuales envían remesas o buscan invertir en su tierra natal. La plataforma tokenizada permitirá que, por ejemplo, un peruano en EEUU o Europa compre fácilmente 100 m² tokenizados en San Bartolo como inversión, algo que de otra manera sería engorroso (mandar dinero, trámites notariales, confianza en familiares, etc.). Esto genera un lazo entre el crecimiento local y la diáspora, aportando capital fresco y diversificando la base de propietarios.</w:t>
      </w:r>
    </w:p>
    <w:p w:rsidR="00000000" w:rsidDel="00000000" w:rsidP="00000000" w:rsidRDefault="00000000" w:rsidRPr="00000000" w14:paraId="00000033">
      <w:pPr>
        <w:spacing w:after="240" w:before="240" w:lineRule="auto"/>
        <w:rPr/>
      </w:pPr>
      <w:r w:rsidDel="00000000" w:rsidR="00000000" w:rsidRPr="00000000">
        <w:rPr>
          <w:rtl w:val="0"/>
        </w:rPr>
        <w:t xml:space="preserve">En resumen, los </w:t>
      </w:r>
      <w:r w:rsidDel="00000000" w:rsidR="00000000" w:rsidRPr="00000000">
        <w:rPr>
          <w:b w:val="1"/>
          <w:bCs w:val="1"/>
          <w:rtl w:val="0"/>
        </w:rPr>
        <w:t xml:space="preserve">aspectos socioeconómicos</w:t>
      </w:r>
      <w:r w:rsidDel="00000000" w:rsidR="00000000" w:rsidRPr="00000000">
        <w:rPr>
          <w:rtl w:val="0"/>
        </w:rPr>
        <w:t xml:space="preserve"> pintan un panorama de </w:t>
      </w:r>
      <w:r w:rsidDel="00000000" w:rsidR="00000000" w:rsidRPr="00000000">
        <w:rPr>
          <w:b w:val="1"/>
          <w:bCs w:val="1"/>
          <w:rtl w:val="0"/>
        </w:rPr>
        <w:t xml:space="preserve">oportunidad y responsabilidad</w:t>
      </w:r>
      <w:r w:rsidDel="00000000" w:rsidR="00000000" w:rsidRPr="00000000">
        <w:rPr>
          <w:rtl w:val="0"/>
        </w:rPr>
        <w:t xml:space="preserve">: Lima Sur está en vísperas de un boom urbano que puede mejorar calidad de vida y descentralizar la ciudad, pero requiere inversiones inteligentes y socialmente conscientes. Nuestro proyecto, alineado con esa visión, pretende canalizar inversión hacia la zona de manera innovadora, contribuyendo a su desarrollo ordenado. Será fundamental colaborar con autoridades locales y comunicar los beneficios (p.ej., potencial creación de un fideicomiso que reinvierta parte de las utilidades en obras locales, etc.) para asegurar </w:t>
      </w:r>
      <w:r w:rsidDel="00000000" w:rsidR="00000000" w:rsidRPr="00000000">
        <w:rPr>
          <w:i w:val="1"/>
          <w:iCs w:val="1"/>
          <w:rtl w:val="0"/>
        </w:rPr>
        <w:t xml:space="preserve">licencia social</w:t>
      </w:r>
      <w:r w:rsidDel="00000000" w:rsidR="00000000" w:rsidRPr="00000000">
        <w:rPr>
          <w:rtl w:val="0"/>
        </w:rPr>
        <w:t xml:space="preserve"> y que todos los grupos de interés se vean favorecidos.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mm27ho1j8slq" w:id="5"/>
      <w:bookmarkEnd w:id="5"/>
      <w:r w:rsidDel="00000000" w:rsidR="00000000" w:rsidRPr="00000000">
        <w:rPr>
          <w:b w:val="1"/>
          <w:bCs w:val="1"/>
          <w:sz w:val="34"/>
          <w:szCs w:val="34"/>
          <w:rtl w:val="0"/>
        </w:rPr>
        <w:t xml:space="preserve">5. Aspectos legales y regulatorios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Marco legal en Perú (títulos de propiedad y figura de tokenización):</w:t>
      </w:r>
      <w:r w:rsidDel="00000000" w:rsidR="00000000" w:rsidRPr="00000000">
        <w:rPr>
          <w:rtl w:val="0"/>
        </w:rPr>
        <w:t xml:space="preserve"> En el Perú, la propiedad raíz está resguardada por un sistema registral moderno (SUNARP) que garantiza la seguridad jurídica de los títulos. El terreno en cuestión deberá tener </w:t>
      </w:r>
      <w:r w:rsidDel="00000000" w:rsidR="00000000" w:rsidRPr="00000000">
        <w:rPr>
          <w:b w:val="1"/>
          <w:bCs w:val="1"/>
          <w:rtl w:val="0"/>
        </w:rPr>
        <w:t xml:space="preserve">título saneado, inscrito y sin gravámenes</w:t>
      </w:r>
      <w:r w:rsidDel="00000000" w:rsidR="00000000" w:rsidRPr="00000000">
        <w:rPr>
          <w:rtl w:val="0"/>
        </w:rPr>
        <w:t xml:space="preserve"> (condición que se verificará con minuciosidad antes de emitir los tokens). Ahora bien, la </w:t>
      </w:r>
      <w:r w:rsidDel="00000000" w:rsidR="00000000" w:rsidRPr="00000000">
        <w:rPr>
          <w:b w:val="1"/>
          <w:bCs w:val="1"/>
          <w:rtl w:val="0"/>
        </w:rPr>
        <w:t xml:space="preserve">tokenización de bienes raíces</w:t>
      </w:r>
      <w:r w:rsidDel="00000000" w:rsidR="00000000" w:rsidRPr="00000000">
        <w:rPr>
          <w:rtl w:val="0"/>
        </w:rPr>
        <w:t xml:space="preserve"> es un campo nuevo que aún no cuenta con regulación específica. De acuerdo con la Superintendencia del Mercado de Valores (SMV), </w:t>
      </w:r>
      <w:r w:rsidDel="00000000" w:rsidR="00000000" w:rsidRPr="00000000">
        <w:rPr>
          <w:i w:val="1"/>
          <w:iCs w:val="1"/>
          <w:rtl w:val="0"/>
        </w:rPr>
        <w:t xml:space="preserve">“no existe una regulación específica en el Perú que ampare la oferta de tokens, y las empresas que realizan tales ofertas no están bajo supervisión”</w:t>
      </w:r>
      <w:hyperlink r:id="rId20">
        <w:r w:rsidDel="00000000" w:rsidR="00000000" w:rsidRPr="00000000">
          <w:rPr>
            <w:color w:val="1155cc"/>
            <w:u w:val="single"/>
            <w:rtl w:val="0"/>
          </w:rPr>
          <w:t xml:space="preserve">gob.pe</w:t>
        </w:r>
      </w:hyperlink>
      <w:r w:rsidDel="00000000" w:rsidR="00000000" w:rsidRPr="00000000">
        <w:rPr>
          <w:rtl w:val="0"/>
        </w:rPr>
        <w:t xml:space="preserve">. Esto significa que, por default, emitir tokens inmobiliarios no está prohibido pero tampoco explícitamente autorizado; se mueve en un área gris que cae bajo regulaciones generales de valores y prevención de fraudes. Un punto crítico es cómo encaja nuestro proyecto en la definición de </w:t>
      </w:r>
      <w:r w:rsidDel="00000000" w:rsidR="00000000" w:rsidRPr="00000000">
        <w:rPr>
          <w:b w:val="1"/>
          <w:bCs w:val="1"/>
          <w:rtl w:val="0"/>
        </w:rPr>
        <w:t xml:space="preserve">valor mobiliario o valor financiero</w:t>
      </w:r>
      <w:r w:rsidDel="00000000" w:rsidR="00000000" w:rsidRPr="00000000">
        <w:rPr>
          <w:rtl w:val="0"/>
        </w:rPr>
        <w:t xml:space="preserve">: La SMV ha advertido que </w:t>
      </w:r>
      <w:r w:rsidDel="00000000" w:rsidR="00000000" w:rsidRPr="00000000">
        <w:rPr>
          <w:b w:val="1"/>
          <w:bCs w:val="1"/>
          <w:rtl w:val="0"/>
        </w:rPr>
        <w:t xml:space="preserve">toda captación de dinero del público con promesa de retorno financiero o participación patrimonial</w:t>
      </w:r>
      <w:r w:rsidDel="00000000" w:rsidR="00000000" w:rsidRPr="00000000">
        <w:rPr>
          <w:rtl w:val="0"/>
        </w:rPr>
        <w:t xml:space="preserve"> (ej. derechos sobre utilidades, o propiedad fraccionada) debe realizarse por entidades autorizadas</w:t>
      </w:r>
      <w:hyperlink r:id="rId21">
        <w:r w:rsidDel="00000000" w:rsidR="00000000" w:rsidRPr="00000000">
          <w:rPr>
            <w:color w:val="1155cc"/>
            <w:u w:val="single"/>
            <w:rtl w:val="0"/>
          </w:rPr>
          <w:t xml:space="preserve">gob.pe</w:t>
        </w:r>
      </w:hyperlink>
      <w:r w:rsidDel="00000000" w:rsidR="00000000" w:rsidRPr="00000000">
        <w:rPr>
          <w:rtl w:val="0"/>
        </w:rPr>
        <w:t xml:space="preserve">. En esencia, si publicitamos ampliamente la venta de tokens que representan propiedad de tierra (con expectativa de ganancia vía apreciación), podríamos estar sujetos a supervisión de la SMV como si fuésemos un emisor de valores. Por ello, </w:t>
      </w:r>
      <w:r w:rsidDel="00000000" w:rsidR="00000000" w:rsidRPr="00000000">
        <w:rPr>
          <w:b w:val="1"/>
          <w:bCs w:val="1"/>
          <w:rtl w:val="0"/>
        </w:rPr>
        <w:t xml:space="preserve">el cumplimiento normativo será prioritario</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Para estructurar legalmente la inversión, evaluamos varias opciones junto con abogados especializados en fintech inmobiliario:</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bCs w:val="1"/>
          <w:rtl w:val="0"/>
        </w:rPr>
        <w:t xml:space="preserve">Fideicomiso inmobiliario:</w:t>
      </w:r>
      <w:r w:rsidDel="00000000" w:rsidR="00000000" w:rsidRPr="00000000">
        <w:rPr>
          <w:rtl w:val="0"/>
        </w:rPr>
        <w:t xml:space="preserve"> Crear un fideicomiso (trust) local donde el fiduciario (p. ej. una empresa administradora de fondos supervisada) tenga la titularidad del terreno en beneficio de los tokenholders. Los tokens serían equivalentes a certificados de participación del fideicomiso. Esta vía ofrece robustez legal, pues los fideicomisos están regulados y pueden emitir participaciones; además facilita la gestión (el fiduciario puede manejar eventos corporativos, como venta del terreno a futuro, distribuyendo luego fondos a tokenholders). Plataformas de crowdfunding peruanas ya usan esquemas fiduciarios: por ejemplo, en proyectos sociales los fondos de inversionistas se administran a través de fideicomisos independientes controlados por entidades como COFIDE</w:t>
      </w:r>
      <w:hyperlink r:id="rId22">
        <w:r w:rsidDel="00000000" w:rsidR="00000000" w:rsidRPr="00000000">
          <w:rPr>
            <w:color w:val="1155cc"/>
            <w:u w:val="single"/>
            <w:rtl w:val="0"/>
          </w:rPr>
          <w:t xml:space="preserve">infobae.com</w:t>
        </w:r>
      </w:hyperlink>
      <w:r w:rsidDel="00000000" w:rsidR="00000000" w:rsidRPr="00000000">
        <w:rPr>
          <w:rtl w:val="0"/>
        </w:rPr>
        <w:t xml:space="preserve">. Adoptar un fideicomiso nos alinearía con prácticas aceptadas por la SMV y mitigaría el riesgo de considerarse una oferta informal.</w:t>
        <w:br w:type="textWrapping"/>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b w:val="1"/>
          <w:bCs w:val="1"/>
          <w:rtl w:val="0"/>
        </w:rPr>
        <w:t xml:space="preserve">Copropiedad inscrita + Smart contract:</w:t>
      </w:r>
      <w:r w:rsidDel="00000000" w:rsidR="00000000" w:rsidRPr="00000000">
        <w:rPr>
          <w:rtl w:val="0"/>
        </w:rPr>
        <w:t xml:space="preserve"> Otra alternativa es formalizar a los inversionistas como copropietarios directos del predio bajo el régimen de copropiedad civil (cada tokenholder sería dueño de un porcentaje legal del inmueble). Esto requeriría inscribir quizás a una sociedad vehículo cuyos miembros son los inversionistas, ya que inscribir miles de personas en Registros Públicos es impracticable. Se podría constituir una </w:t>
      </w:r>
      <w:r w:rsidDel="00000000" w:rsidR="00000000" w:rsidRPr="00000000">
        <w:rPr>
          <w:b w:val="1"/>
          <w:bCs w:val="1"/>
          <w:rtl w:val="0"/>
        </w:rPr>
        <w:t xml:space="preserve">Sociedad Anónima Cerrada o Empresa de Propósito Especial (SPE)</w:t>
      </w:r>
      <w:r w:rsidDel="00000000" w:rsidR="00000000" w:rsidRPr="00000000">
        <w:rPr>
          <w:rtl w:val="0"/>
        </w:rPr>
        <w:t xml:space="preserve"> dueña del terreno, y emitir tokens que representen acciones o derechos económicos de esa sociedad. Sin embargo, convertir tokens en acciones tradicionales conlleva trámites y no aprovecha totalmente la agilidad blockchain. Por eso, combinar la copropiedad con </w:t>
      </w:r>
      <w:r w:rsidDel="00000000" w:rsidR="00000000" w:rsidRPr="00000000">
        <w:rPr>
          <w:b w:val="1"/>
          <w:bCs w:val="1"/>
          <w:rtl w:val="0"/>
        </w:rPr>
        <w:t xml:space="preserve">contratos inteligentes</w:t>
      </w:r>
      <w:r w:rsidDel="00000000" w:rsidR="00000000" w:rsidRPr="00000000">
        <w:rPr>
          <w:rtl w:val="0"/>
        </w:rPr>
        <w:t xml:space="preserve"> que gestionen las relaciones es complejo pero posible: los smart contracts podrían reflejar acuerdos de accionistas o de copropietarios, aunque habría que asegurar su validez ante un tribunal si fuese necesario. Actualmente, no hay precedente en Perú de inscribir una propiedad “tokenizada” literalmente, pero </w:t>
      </w:r>
      <w:r w:rsidDel="00000000" w:rsidR="00000000" w:rsidRPr="00000000">
        <w:rPr>
          <w:i w:val="1"/>
          <w:iCs w:val="1"/>
          <w:rtl w:val="0"/>
        </w:rPr>
        <w:t xml:space="preserve">sí es viable legalmente subdividir participaciones vía estructuras societarias</w:t>
      </w:r>
      <w:r w:rsidDel="00000000" w:rsidR="00000000" w:rsidRPr="00000000">
        <w:rPr>
          <w:rtl w:val="0"/>
        </w:rPr>
        <w:t xml:space="preserve">.</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En la práctica, la estrategia legal recomendada (respaldada por nuestros asesores legales 👨‍⚖️) es </w:t>
      </w:r>
      <w:r w:rsidDel="00000000" w:rsidR="00000000" w:rsidRPr="00000000">
        <w:rPr>
          <w:b w:val="1"/>
          <w:bCs w:val="1"/>
          <w:rtl w:val="0"/>
        </w:rPr>
        <w:t xml:space="preserve">crear un fideicomiso</w:t>
      </w:r>
      <w:r w:rsidDel="00000000" w:rsidR="00000000" w:rsidRPr="00000000">
        <w:rPr>
          <w:rtl w:val="0"/>
        </w:rPr>
        <w:t xml:space="preserve"> que </w:t>
      </w:r>
      <w:r w:rsidDel="00000000" w:rsidR="00000000" w:rsidRPr="00000000">
        <w:rPr>
          <w:b w:val="1"/>
          <w:bCs w:val="1"/>
          <w:rtl w:val="0"/>
        </w:rPr>
        <w:t xml:space="preserve">respalde 1:1 los tokens emitidos</w:t>
      </w:r>
      <w:r w:rsidDel="00000000" w:rsidR="00000000" w:rsidRPr="00000000">
        <w:rPr>
          <w:rtl w:val="0"/>
        </w:rPr>
        <w:t xml:space="preserve">, asegurando que cada token represente un derecho beneficiario equivalente a 1 m² del terreno. De este modo, aunque la ley no reconozca al “token” per se, reconoce al fideicomiso y los derechos económicos asociados. Esta estructura también facilita la </w:t>
      </w:r>
      <w:r w:rsidDel="00000000" w:rsidR="00000000" w:rsidRPr="00000000">
        <w:rPr>
          <w:b w:val="1"/>
          <w:bCs w:val="1"/>
          <w:rtl w:val="0"/>
        </w:rPr>
        <w:t xml:space="preserve">custodia de fondos y cumplimiento de KYC/AML</w:t>
      </w:r>
      <w:r w:rsidDel="00000000" w:rsidR="00000000" w:rsidRPr="00000000">
        <w:rPr>
          <w:rtl w:val="0"/>
        </w:rPr>
        <w:t xml:space="preserve">: podríamos integrar en la plataforma proveedores como </w:t>
      </w:r>
      <w:r w:rsidDel="00000000" w:rsidR="00000000" w:rsidRPr="00000000">
        <w:rPr>
          <w:i w:val="1"/>
          <w:iCs w:val="1"/>
          <w:rtl w:val="0"/>
        </w:rPr>
        <w:t xml:space="preserve">Sumsub</w:t>
      </w:r>
      <w:r w:rsidDel="00000000" w:rsidR="00000000" w:rsidRPr="00000000">
        <w:rPr>
          <w:rtl w:val="0"/>
        </w:rPr>
        <w:t xml:space="preserve"> u </w:t>
      </w:r>
      <w:r w:rsidDel="00000000" w:rsidR="00000000" w:rsidRPr="00000000">
        <w:rPr>
          <w:i w:val="1"/>
          <w:iCs w:val="1"/>
          <w:rtl w:val="0"/>
        </w:rPr>
        <w:t xml:space="preserve">Onfido</w:t>
      </w:r>
      <w:r w:rsidDel="00000000" w:rsidR="00000000" w:rsidRPr="00000000">
        <w:rPr>
          <w:rtl w:val="0"/>
        </w:rPr>
        <w:t xml:space="preserve"> para verificar identidad de compradores, tal como exige la normativa antilavado para cualquier emisión de valores. Asimismo, trabajar con un fiduciario regulado nos coloca bajo cierto paraguas de supervisión, brindando confianza al inversionista de que no es un esquema informal. Para formalizar la oferta pública de tokens, podríamos evaluar hacerla a través de una de las </w:t>
      </w:r>
      <w:r w:rsidDel="00000000" w:rsidR="00000000" w:rsidRPr="00000000">
        <w:rPr>
          <w:b w:val="1"/>
          <w:bCs w:val="1"/>
          <w:rtl w:val="0"/>
        </w:rPr>
        <w:t xml:space="preserve">plataformas de financiamiento participativo autorizadas por la SMV</w:t>
      </w:r>
      <w:r w:rsidDel="00000000" w:rsidR="00000000" w:rsidRPr="00000000">
        <w:rPr>
          <w:rtl w:val="0"/>
        </w:rPr>
        <w:t xml:space="preserve"> (crowdfunding licenciado)</w:t>
      </w:r>
      <w:hyperlink r:id="rId23">
        <w:r w:rsidDel="00000000" w:rsidR="00000000" w:rsidRPr="00000000">
          <w:rPr>
            <w:color w:val="1155cc"/>
            <w:u w:val="single"/>
            <w:rtl w:val="0"/>
          </w:rPr>
          <w:t xml:space="preserve">infobae.com</w:t>
        </w:r>
      </w:hyperlink>
      <w:r w:rsidDel="00000000" w:rsidR="00000000" w:rsidRPr="00000000">
        <w:rPr>
          <w:rtl w:val="0"/>
        </w:rPr>
        <w:t xml:space="preserve">, o solicitar directamente a la SMV una autorización especial/sandbox. Perú no tiene aún un sandbox regulatorio fintech en operación, pero dada la tendencia regional, es posible que la SMV esté abierta a innovaciones si se le presenta un proyecto sólido y se protege al inversionista (transparencia, prospecto informativo, etc.). En cualquier caso, </w:t>
      </w:r>
      <w:r w:rsidDel="00000000" w:rsidR="00000000" w:rsidRPr="00000000">
        <w:rPr>
          <w:b w:val="1"/>
          <w:bCs w:val="1"/>
          <w:rtl w:val="0"/>
        </w:rPr>
        <w:t xml:space="preserve">no volaremos “bajo el radar” regulatorio</w:t>
      </w:r>
      <w:r w:rsidDel="00000000" w:rsidR="00000000" w:rsidRPr="00000000">
        <w:rPr>
          <w:rtl w:val="0"/>
        </w:rPr>
        <w:t xml:space="preserve">: por el contrario, buscaremos alianzas con estudios legales y cumplimiento estricto para que la tokenización se haga </w:t>
      </w:r>
      <w:r w:rsidDel="00000000" w:rsidR="00000000" w:rsidRPr="00000000">
        <w:rPr>
          <w:i w:val="1"/>
          <w:iCs w:val="1"/>
          <w:rtl w:val="0"/>
        </w:rPr>
        <w:t xml:space="preserve">dentro del marco de la ley</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Benchmark regulatorio internacional:</w:t>
      </w:r>
      <w:r w:rsidDel="00000000" w:rsidR="00000000" w:rsidRPr="00000000">
        <w:rPr>
          <w:rtl w:val="0"/>
        </w:rPr>
        <w:t xml:space="preserve"> Es útil revisar cómo otros países abordan la tokenización inmobiliaria, para extraer buenas prácticas. En </w:t>
      </w:r>
      <w:r w:rsidDel="00000000" w:rsidR="00000000" w:rsidRPr="00000000">
        <w:rPr>
          <w:i w:val="1"/>
          <w:iCs w:val="1"/>
          <w:rtl w:val="0"/>
        </w:rPr>
        <w:t xml:space="preserve">Estados Unidos</w:t>
      </w:r>
      <w:r w:rsidDel="00000000" w:rsidR="00000000" w:rsidRPr="00000000">
        <w:rPr>
          <w:rtl w:val="0"/>
        </w:rPr>
        <w:t xml:space="preserve">, por ejemplo, los tokens de real estate suelen tratarse como </w:t>
      </w:r>
      <w:r w:rsidDel="00000000" w:rsidR="00000000" w:rsidRPr="00000000">
        <w:rPr>
          <w:b w:val="1"/>
          <w:bCs w:val="1"/>
          <w:rtl w:val="0"/>
        </w:rPr>
        <w:t xml:space="preserve">“security tokens”</w:t>
      </w:r>
      <w:r w:rsidDel="00000000" w:rsidR="00000000" w:rsidRPr="00000000">
        <w:rPr>
          <w:rtl w:val="0"/>
        </w:rPr>
        <w:t xml:space="preserve"> sujetos a las normas de la SEC; proyectos como Aspen Coin (que tokenizó un resort) o Realty aprovechan exenciones (Reg D/S) vendiendo solo a inversores acreditados o extranjeros, y registran los tokens como valores privados. En </w:t>
      </w:r>
      <w:r w:rsidDel="00000000" w:rsidR="00000000" w:rsidRPr="00000000">
        <w:rPr>
          <w:i w:val="1"/>
          <w:iCs w:val="1"/>
          <w:rtl w:val="0"/>
        </w:rPr>
        <w:t xml:space="preserve">Europa</w:t>
      </w:r>
      <w:r w:rsidDel="00000000" w:rsidR="00000000" w:rsidRPr="00000000">
        <w:rPr>
          <w:rtl w:val="0"/>
        </w:rPr>
        <w:t xml:space="preserve">, recientemente entró en vigor el reglamento </w:t>
      </w:r>
      <w:r w:rsidDel="00000000" w:rsidR="00000000" w:rsidRPr="00000000">
        <w:rPr>
          <w:b w:val="1"/>
          <w:bCs w:val="1"/>
          <w:rtl w:val="0"/>
        </w:rPr>
        <w:t xml:space="preserve">MiCA (Markets in Crypto-Assets)</w:t>
      </w:r>
      <w:r w:rsidDel="00000000" w:rsidR="00000000" w:rsidRPr="00000000">
        <w:rPr>
          <w:rtl w:val="0"/>
        </w:rPr>
        <w:t xml:space="preserve"> que establece un marco para criptoactivos y permitió encajar la tokenización de vivienda como producto financiero regulado</w:t>
      </w:r>
      <w:hyperlink r:id="rId24">
        <w:r w:rsidDel="00000000" w:rsidR="00000000" w:rsidRPr="00000000">
          <w:rPr>
            <w:color w:val="1155cc"/>
            <w:u w:val="single"/>
            <w:rtl w:val="0"/>
          </w:rPr>
          <w:t xml:space="preserve">forbes.co</w:t>
        </w:r>
      </w:hyperlink>
      <w:r w:rsidDel="00000000" w:rsidR="00000000" w:rsidRPr="00000000">
        <w:rPr>
          <w:rtl w:val="0"/>
        </w:rPr>
        <w:t xml:space="preserve">. España, por ejemplo, ha adaptado su normativa para que un token representativo de inmueble quede bajo supervisión, otorgando garantías jurídicas a los tenedores</w:t>
      </w:r>
      <w:hyperlink r:id="rId25">
        <w:r w:rsidDel="00000000" w:rsidR="00000000" w:rsidRPr="00000000">
          <w:rPr>
            <w:color w:val="1155cc"/>
            <w:u w:val="single"/>
            <w:rtl w:val="0"/>
          </w:rPr>
          <w:t xml:space="preserve">forbes.co</w:t>
        </w:r>
      </w:hyperlink>
      <w:r w:rsidDel="00000000" w:rsidR="00000000" w:rsidRPr="00000000">
        <w:rPr>
          <w:rtl w:val="0"/>
        </w:rPr>
        <w:t xml:space="preserve">. En </w:t>
      </w:r>
      <w:r w:rsidDel="00000000" w:rsidR="00000000" w:rsidRPr="00000000">
        <w:rPr>
          <w:i w:val="1"/>
          <w:iCs w:val="1"/>
          <w:rtl w:val="0"/>
        </w:rPr>
        <w:t xml:space="preserve">América Latina</w:t>
      </w:r>
      <w:r w:rsidDel="00000000" w:rsidR="00000000" w:rsidRPr="00000000">
        <w:rPr>
          <w:rtl w:val="0"/>
        </w:rPr>
        <w:t xml:space="preserve">, </w:t>
      </w:r>
      <w:r w:rsidDel="00000000" w:rsidR="00000000" w:rsidRPr="00000000">
        <w:rPr>
          <w:b w:val="1"/>
          <w:bCs w:val="1"/>
          <w:rtl w:val="0"/>
        </w:rPr>
        <w:t xml:space="preserve">México</w:t>
      </w:r>
      <w:r w:rsidDel="00000000" w:rsidR="00000000" w:rsidRPr="00000000">
        <w:rPr>
          <w:rtl w:val="0"/>
        </w:rPr>
        <w:t xml:space="preserve"> cuenta con una Ley Fintech que si bien no aborda tokens de inmueble directamente, sí regula el crowdfunding y podría dar cabida a proyectos tokenizados a través de Instituciones de Financiamiento Colectivo autorizadas</w:t>
      </w:r>
      <w:hyperlink r:id="rId26">
        <w:r w:rsidDel="00000000" w:rsidR="00000000" w:rsidRPr="00000000">
          <w:rPr>
            <w:color w:val="1155cc"/>
            <w:u w:val="single"/>
            <w:rtl w:val="0"/>
          </w:rPr>
          <w:t xml:space="preserve">forbes.co</w:t>
        </w:r>
      </w:hyperlink>
      <w:r w:rsidDel="00000000" w:rsidR="00000000" w:rsidRPr="00000000">
        <w:rPr>
          <w:rtl w:val="0"/>
        </w:rPr>
        <w:t xml:space="preserve">. </w:t>
      </w:r>
      <w:r w:rsidDel="00000000" w:rsidR="00000000" w:rsidRPr="00000000">
        <w:rPr>
          <w:b w:val="1"/>
          <w:bCs w:val="1"/>
          <w:rtl w:val="0"/>
        </w:rPr>
        <w:t xml:space="preserve">Colombia</w:t>
      </w:r>
      <w:r w:rsidDel="00000000" w:rsidR="00000000" w:rsidRPr="00000000">
        <w:rPr>
          <w:rtl w:val="0"/>
        </w:rPr>
        <w:t xml:space="preserve"> no tiene regulación específica aún, pero los proyectos están operando mediante fiduciarias (figura similar al fideicomiso peruano) reguladas por la Superintendencia Financiera, aunque allí enfrentan la cuestión de que la posesión del token </w:t>
      </w:r>
      <w:r w:rsidDel="00000000" w:rsidR="00000000" w:rsidRPr="00000000">
        <w:rPr>
          <w:i w:val="1"/>
          <w:iCs w:val="1"/>
          <w:rtl w:val="0"/>
        </w:rPr>
        <w:t xml:space="preserve">per se</w:t>
      </w:r>
      <w:r w:rsidDel="00000000" w:rsidR="00000000" w:rsidRPr="00000000">
        <w:rPr>
          <w:rtl w:val="0"/>
        </w:rPr>
        <w:t xml:space="preserve"> no otorga derecho real si no está reconocido legalmente</w:t>
      </w:r>
      <w:hyperlink r:id="rId27">
        <w:r w:rsidDel="00000000" w:rsidR="00000000" w:rsidRPr="00000000">
          <w:rPr>
            <w:color w:val="1155cc"/>
            <w:u w:val="single"/>
            <w:rtl w:val="0"/>
          </w:rPr>
          <w:t xml:space="preserve">forbes.co</w:t>
        </w:r>
      </w:hyperlink>
      <w:r w:rsidDel="00000000" w:rsidR="00000000" w:rsidRPr="00000000">
        <w:rPr>
          <w:rtl w:val="0"/>
        </w:rPr>
        <w:t xml:space="preserve">. Esto resalta la importancia de </w:t>
      </w:r>
      <w:r w:rsidDel="00000000" w:rsidR="00000000" w:rsidRPr="00000000">
        <w:rPr>
          <w:i w:val="1"/>
          <w:iCs w:val="1"/>
          <w:rtl w:val="0"/>
        </w:rPr>
        <w:t xml:space="preserve">“atar”</w:t>
      </w:r>
      <w:r w:rsidDel="00000000" w:rsidR="00000000" w:rsidRPr="00000000">
        <w:rPr>
          <w:rtl w:val="0"/>
        </w:rPr>
        <w:t xml:space="preserve"> el mundo blockchain con el real: en Colombia se discute que quizás las escrituras públicas incluyan referencias a tokens en el futuro, para validar esos derechos</w:t>
      </w:r>
      <w:hyperlink r:id="rId28">
        <w:r w:rsidDel="00000000" w:rsidR="00000000" w:rsidRPr="00000000">
          <w:rPr>
            <w:color w:val="1155cc"/>
            <w:u w:val="single"/>
            <w:rtl w:val="0"/>
          </w:rPr>
          <w:t xml:space="preserve">forbes.co</w:t>
        </w:r>
      </w:hyperlink>
      <w:r w:rsidDel="00000000" w:rsidR="00000000" w:rsidRPr="00000000">
        <w:rPr>
          <w:rtl w:val="0"/>
        </w:rPr>
        <w:t xml:space="preserve">. También es destacable que </w:t>
      </w:r>
      <w:r w:rsidDel="00000000" w:rsidR="00000000" w:rsidRPr="00000000">
        <w:rPr>
          <w:b w:val="1"/>
          <w:bCs w:val="1"/>
          <w:rtl w:val="0"/>
        </w:rPr>
        <w:t xml:space="preserve">varias jurisdicciones líderes (EE.UU., UE, Suiza, Singapur, Emiratos)</w:t>
      </w:r>
      <w:r w:rsidDel="00000000" w:rsidR="00000000" w:rsidRPr="00000000">
        <w:rPr>
          <w:rtl w:val="0"/>
        </w:rPr>
        <w:t xml:space="preserve"> ya </w:t>
      </w:r>
      <w:r w:rsidDel="00000000" w:rsidR="00000000" w:rsidRPr="00000000">
        <w:rPr>
          <w:b w:val="1"/>
          <w:bCs w:val="1"/>
          <w:rtl w:val="0"/>
        </w:rPr>
        <w:t xml:space="preserve">permiten emisiones tokenizadas</w:t>
      </w:r>
      <w:r w:rsidDel="00000000" w:rsidR="00000000" w:rsidRPr="00000000">
        <w:rPr>
          <w:rtl w:val="0"/>
        </w:rPr>
        <w:t xml:space="preserve"> bajo ciertos lineamientos</w:t>
      </w:r>
      <w:hyperlink r:id="rId29">
        <w:r w:rsidDel="00000000" w:rsidR="00000000" w:rsidRPr="00000000">
          <w:rPr>
            <w:color w:val="1155cc"/>
            <w:u w:val="single"/>
            <w:rtl w:val="0"/>
          </w:rPr>
          <w:t xml:space="preserve">es.cointelegraph.com</w:t>
        </w:r>
      </w:hyperlink>
      <w:r w:rsidDel="00000000" w:rsidR="00000000" w:rsidRPr="00000000">
        <w:rPr>
          <w:rtl w:val="0"/>
        </w:rPr>
        <w:t xml:space="preserve">, lo que legitima el concepto globalmente. Por otro lado, todas las autoridades alertan de </w:t>
      </w:r>
      <w:r w:rsidDel="00000000" w:rsidR="00000000" w:rsidRPr="00000000">
        <w:rPr>
          <w:b w:val="1"/>
          <w:bCs w:val="1"/>
          <w:rtl w:val="0"/>
        </w:rPr>
        <w:t xml:space="preserve">riesgos de fraude y volatilidad</w:t>
      </w:r>
      <w:r w:rsidDel="00000000" w:rsidR="00000000" w:rsidRPr="00000000">
        <w:rPr>
          <w:rtl w:val="0"/>
        </w:rPr>
        <w:t xml:space="preserve"> en cripto; de hecho, la SMV peruana en 2021 publicó un comunicado advirtiendo sobre estafas con cripto y exhortando al público a informarse antes de invertir en tokens</w:t>
      </w:r>
      <w:hyperlink r:id="rId30">
        <w:r w:rsidDel="00000000" w:rsidR="00000000" w:rsidRPr="00000000">
          <w:rPr>
            <w:color w:val="1155cc"/>
            <w:u w:val="single"/>
            <w:rtl w:val="0"/>
          </w:rPr>
          <w:t xml:space="preserve">gob.pe</w:t>
        </w:r>
      </w:hyperlink>
      <w:hyperlink r:id="rId31">
        <w:r w:rsidDel="00000000" w:rsidR="00000000" w:rsidRPr="00000000">
          <w:rPr>
            <w:color w:val="1155cc"/>
            <w:u w:val="single"/>
            <w:rtl w:val="0"/>
          </w:rPr>
          <w:t xml:space="preserve">gob.pe</w:t>
        </w:r>
      </w:hyperlink>
      <w:r w:rsidDel="00000000" w:rsidR="00000000" w:rsidRPr="00000000">
        <w:rPr>
          <w:rtl w:val="0"/>
        </w:rPr>
        <w:t xml:space="preserve">. Tomamos muy en serio estas advertencias: nuestro proyecto enfatizará la </w:t>
      </w:r>
      <w:r w:rsidDel="00000000" w:rsidR="00000000" w:rsidRPr="00000000">
        <w:rPr>
          <w:b w:val="1"/>
          <w:bCs w:val="1"/>
          <w:rtl w:val="0"/>
        </w:rPr>
        <w:t xml:space="preserve">transparencia total, educación al inversionista y protección legal</w:t>
      </w:r>
      <w:r w:rsidDel="00000000" w:rsidR="00000000" w:rsidRPr="00000000">
        <w:rPr>
          <w:rtl w:val="0"/>
        </w:rPr>
        <w:t xml:space="preserve"> para distinguirse como una iniciativa confiable.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Aspectos legales específicos del proyecto:</w:t>
      </w:r>
      <w:r w:rsidDel="00000000" w:rsidR="00000000" w:rsidRPr="00000000">
        <w:rPr>
          <w:rtl w:val="0"/>
        </w:rPr>
        <w:t xml:space="preserve"> Implementaremos un </w:t>
      </w:r>
      <w:r w:rsidDel="00000000" w:rsidR="00000000" w:rsidRPr="00000000">
        <w:rPr>
          <w:b w:val="1"/>
          <w:bCs w:val="1"/>
          <w:rtl w:val="0"/>
        </w:rPr>
        <w:t xml:space="preserve">marco contractual robusto</w:t>
      </w:r>
      <w:r w:rsidDel="00000000" w:rsidR="00000000" w:rsidRPr="00000000">
        <w:rPr>
          <w:rtl w:val="0"/>
        </w:rPr>
        <w:t xml:space="preserve"> que amarre los tokens al activo subyacente. Esto incluye un </w:t>
      </w:r>
      <w:r w:rsidDel="00000000" w:rsidR="00000000" w:rsidRPr="00000000">
        <w:rPr>
          <w:i w:val="1"/>
          <w:iCs w:val="1"/>
          <w:rtl w:val="0"/>
        </w:rPr>
        <w:t xml:space="preserve">Whitepaper legal</w:t>
      </w:r>
      <w:r w:rsidDel="00000000" w:rsidR="00000000" w:rsidRPr="00000000">
        <w:rPr>
          <w:rtl w:val="0"/>
        </w:rPr>
        <w:t xml:space="preserve"> o prospecto, donde se detallen los derechos de los tokenholders: derecho proporcional sobre la venta futura del terreno, mecanismos de voto (si los inversionistas deben aprobar ciertas decisiones, como vender el activo), política de liquidez (si habrá mercado secundario interno o uso de exchanges externos), y procedimientos de resolución de disputas. Cada inversionista deberá pasar por un proceso KYC/AML para cumplir con regulación de prevención de lavado de activos (la SBS ya ha emitido normas en 2024 reforzando controles a empresas cripto)</w:t>
      </w:r>
      <w:hyperlink r:id="rId32">
        <w:r w:rsidDel="00000000" w:rsidR="00000000" w:rsidRPr="00000000">
          <w:rPr>
            <w:color w:val="1155cc"/>
            <w:u w:val="single"/>
            <w:rtl w:val="0"/>
          </w:rPr>
          <w:t xml:space="preserve">sbs.gob.pe</w:t>
        </w:r>
      </w:hyperlink>
      <w:r w:rsidDel="00000000" w:rsidR="00000000" w:rsidRPr="00000000">
        <w:rPr>
          <w:rtl w:val="0"/>
        </w:rPr>
        <w:t xml:space="preserve">. Adicionalmente, nos sujetaremos a las leyes tributarias: las implicancias tributarias de la tokenización en Perú aún no son explícitas, pero probablemente la venta inicial de tokens tribute IGV (impuesto ventas) si se considera venta de activo, y las ganancias de capital para inversores podrían pagar impuesto a la renta. Consultores tributarios nos guiarán para estructurar eficientemente (posiblemente vía una sociedad en el extranjero si aporta ventajas, aunque idealmente mantener todo en Perú por confianza). En cuanto a </w:t>
      </w:r>
      <w:r w:rsidDel="00000000" w:rsidR="00000000" w:rsidRPr="00000000">
        <w:rPr>
          <w:b w:val="1"/>
          <w:bCs w:val="1"/>
          <w:rtl w:val="0"/>
        </w:rPr>
        <w:t xml:space="preserve">titulación</w:t>
      </w:r>
      <w:r w:rsidDel="00000000" w:rsidR="00000000" w:rsidRPr="00000000">
        <w:rPr>
          <w:rtl w:val="0"/>
        </w:rPr>
        <w:t xml:space="preserve"> del terreno: nos aseguraremos que el predio esté </w:t>
      </w:r>
      <w:r w:rsidDel="00000000" w:rsidR="00000000" w:rsidRPr="00000000">
        <w:rPr>
          <w:b w:val="1"/>
          <w:bCs w:val="1"/>
          <w:rtl w:val="0"/>
        </w:rPr>
        <w:t xml:space="preserve">100% saneado</w:t>
      </w:r>
      <w:r w:rsidDel="00000000" w:rsidR="00000000" w:rsidRPr="00000000">
        <w:rPr>
          <w:rtl w:val="0"/>
        </w:rPr>
        <w:t xml:space="preserve"> antes de tokenizar. Esto implica concluir cualquier trámite de cambio de uso de suelo si fuese necesario (de rústico a urbano, por ejemplo), verificar linderos exactos y registrar la propiedad a nombre del vehículo legal definido (sea el fideicomiso u otro). Todo este trabajo legal preparatorio garantiza que los tokens emitidos estén </w:t>
      </w:r>
      <w:r w:rsidDel="00000000" w:rsidR="00000000" w:rsidRPr="00000000">
        <w:rPr>
          <w:b w:val="1"/>
          <w:bCs w:val="1"/>
          <w:rtl w:val="0"/>
        </w:rPr>
        <w:t xml:space="preserve">respaldados por un activo real indiscutible</w:t>
      </w:r>
      <w:r w:rsidDel="00000000" w:rsidR="00000000" w:rsidRPr="00000000">
        <w:rPr>
          <w:rtl w:val="0"/>
        </w:rPr>
        <w:t xml:space="preserve">, brindando seguridad jurídica a los inversionistas, que en última instancia es lo que más les importará (saber que detrás del token hay tierra que pueden reclamar, y que no hay sorpresas legales ocultas).</w:t>
      </w:r>
    </w:p>
    <w:p w:rsidR="00000000" w:rsidDel="00000000" w:rsidP="00000000" w:rsidRDefault="00000000" w:rsidRPr="00000000" w14:paraId="0000003C">
      <w:pPr>
        <w:spacing w:after="240" w:before="240" w:lineRule="auto"/>
        <w:rPr/>
      </w:pPr>
      <w:r w:rsidDel="00000000" w:rsidR="00000000" w:rsidRPr="00000000">
        <w:rPr>
          <w:rtl w:val="0"/>
        </w:rPr>
        <w:t xml:space="preserve">En conclusión, </w:t>
      </w:r>
      <w:r w:rsidDel="00000000" w:rsidR="00000000" w:rsidRPr="00000000">
        <w:rPr>
          <w:b w:val="1"/>
          <w:bCs w:val="1"/>
          <w:rtl w:val="0"/>
        </w:rPr>
        <w:t xml:space="preserve">el marco legal y regulatorio presenta desafíos pero es abordable</w:t>
      </w:r>
      <w:r w:rsidDel="00000000" w:rsidR="00000000" w:rsidRPr="00000000">
        <w:rPr>
          <w:rtl w:val="0"/>
        </w:rPr>
        <w:t xml:space="preserve">. No hay ley específica de tokenización inmobiliaria en Perú, pero usando creatividad jurídica (fideicomisos, estructuras societarias) y cumpliendo las regulaciones de valores vigentes, el proyecto puede operar legítimamente. La asesoría continua de un </w:t>
      </w:r>
      <w:r w:rsidDel="00000000" w:rsidR="00000000" w:rsidRPr="00000000">
        <w:rPr>
          <w:b w:val="1"/>
          <w:bCs w:val="1"/>
          <w:rtl w:val="0"/>
        </w:rPr>
        <w:t xml:space="preserve">abogado especialista en RWA</w:t>
      </w:r>
      <w:r w:rsidDel="00000000" w:rsidR="00000000" w:rsidRPr="00000000">
        <w:rPr>
          <w:rtl w:val="0"/>
        </w:rPr>
        <w:t xml:space="preserve"> será indispensable, así como una comunicación fluida con la SMV para asegurar que nuestro modelo se ajuste a sus lineamientos o para buscar su visto bueno explícito. Al posicionarnos como pioneros, también abrimos camino para que este modelo se regule apropiadamente en el futuro, algo que sería beneficioso para todo el ecosistema fintech e inmobiliario del país.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rq4oz41cvivm" w:id="6"/>
      <w:bookmarkEnd w:id="6"/>
      <w:r w:rsidDel="00000000" w:rsidR="00000000" w:rsidRPr="00000000">
        <w:rPr>
          <w:b w:val="1"/>
          <w:bCs w:val="1"/>
          <w:sz w:val="34"/>
          <w:szCs w:val="34"/>
          <w:rtl w:val="0"/>
        </w:rPr>
        <w:t xml:space="preserve">6. Aspectos tecnológicos (selección de blockchain, seguridad, UX)</w:t>
      </w:r>
    </w:p>
    <w:p w:rsidR="00000000" w:rsidDel="00000000" w:rsidP="00000000" w:rsidRDefault="00000000" w:rsidRPr="00000000" w14:paraId="0000003E">
      <w:pPr>
        <w:spacing w:after="240" w:before="240" w:lineRule="auto"/>
        <w:rPr/>
      </w:pPr>
      <w:r w:rsidDel="00000000" w:rsidR="00000000" w:rsidRPr="00000000">
        <w:rPr>
          <w:rtl w:val="0"/>
        </w:rPr>
        <w:t xml:space="preserve">El éxito de un proyecto de tokenización depende en gran medida de la plataforma tecnológica utilizada. Desde la perspectiva del </w:t>
      </w:r>
      <w:r w:rsidDel="00000000" w:rsidR="00000000" w:rsidRPr="00000000">
        <w:rPr>
          <w:b w:val="1"/>
          <w:bCs w:val="1"/>
          <w:rtl w:val="0"/>
        </w:rPr>
        <w:t xml:space="preserve">ingeniero blockchain</w:t>
      </w:r>
      <w:r w:rsidDel="00000000" w:rsidR="00000000" w:rsidRPr="00000000">
        <w:rPr>
          <w:rtl w:val="0"/>
        </w:rPr>
        <w:t xml:space="preserve"> del equipo, debemos garantizar que la solución sea </w:t>
      </w:r>
      <w:r w:rsidDel="00000000" w:rsidR="00000000" w:rsidRPr="00000000">
        <w:rPr>
          <w:b w:val="1"/>
          <w:bCs w:val="1"/>
          <w:rtl w:val="0"/>
        </w:rPr>
        <w:t xml:space="preserve">segura (🔐)</w:t>
      </w:r>
      <w:r w:rsidDel="00000000" w:rsidR="00000000" w:rsidRPr="00000000">
        <w:rPr>
          <w:rtl w:val="0"/>
        </w:rPr>
        <w:t xml:space="preserve">, escalable, fácil de usar y cumpla requisitos tanto técnicos como de negocio. A continuación, detallamos los principales aspectos tecnológicos: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Selección de la blockchain:</w:t>
      </w:r>
      <w:r w:rsidDel="00000000" w:rsidR="00000000" w:rsidRPr="00000000">
        <w:rPr>
          <w:rtl w:val="0"/>
        </w:rPr>
        <w:t xml:space="preserve"> Tras evaluar distintas cadenas, la decisión se centra en usar una blockchain pública y ampliamente adoptada para maximizar la confianza y la liquidez de los tokens. La candidata natural es </w:t>
      </w:r>
      <w:r w:rsidDel="00000000" w:rsidR="00000000" w:rsidRPr="00000000">
        <w:rPr>
          <w:b w:val="1"/>
          <w:bCs w:val="1"/>
          <w:rtl w:val="0"/>
        </w:rPr>
        <w:t xml:space="preserve">Ethereum</w:t>
      </w:r>
      <w:r w:rsidDel="00000000" w:rsidR="00000000" w:rsidRPr="00000000">
        <w:rPr>
          <w:rtl w:val="0"/>
        </w:rPr>
        <w:t xml:space="preserve">, dado su ecosistema maduro de contratos inteligentes y estándares (ERC-20/ERC-721) aceptados globalmente. Ethereum aportaría seguridad (es una de las redes más descentralizadas y robustas) y compatibilidad con exchanges descentralizados donde listar los tokens. Sin embargo, Ethereum L1 tiene costos de transacción (gas) elevados en momentos de congestión, lo cual podría ser una barrera para pequeños inversionistas (nadie querrá pagar $20 de comisión para comprar $50 en tokens). Por ello, exploraremos soluciones de </w:t>
      </w:r>
      <w:r w:rsidDel="00000000" w:rsidR="00000000" w:rsidRPr="00000000">
        <w:rPr>
          <w:b w:val="1"/>
          <w:bCs w:val="1"/>
          <w:rtl w:val="0"/>
        </w:rPr>
        <w:t xml:space="preserve">capa 2 o sidechains</w:t>
      </w:r>
      <w:r w:rsidDel="00000000" w:rsidR="00000000" w:rsidRPr="00000000">
        <w:rPr>
          <w:rtl w:val="0"/>
        </w:rPr>
        <w:t xml:space="preserve">: por ejemplo, implementar los tokens en </w:t>
      </w:r>
      <w:r w:rsidDel="00000000" w:rsidR="00000000" w:rsidRPr="00000000">
        <w:rPr>
          <w:b w:val="1"/>
          <w:bCs w:val="1"/>
          <w:rtl w:val="0"/>
        </w:rPr>
        <w:t xml:space="preserve">Polygon (Matic)</w:t>
      </w:r>
      <w:r w:rsidDel="00000000" w:rsidR="00000000" w:rsidRPr="00000000">
        <w:rPr>
          <w:rtl w:val="0"/>
        </w:rPr>
        <w:t xml:space="preserve">, </w:t>
      </w:r>
      <w:r w:rsidDel="00000000" w:rsidR="00000000" w:rsidRPr="00000000">
        <w:rPr>
          <w:b w:val="1"/>
          <w:bCs w:val="1"/>
          <w:rtl w:val="0"/>
        </w:rPr>
        <w:t xml:space="preserve">Arbitrum</w:t>
      </w:r>
      <w:r w:rsidDel="00000000" w:rsidR="00000000" w:rsidRPr="00000000">
        <w:rPr>
          <w:rtl w:val="0"/>
        </w:rPr>
        <w:t xml:space="preserve"> u otra red compatible con Ethereum pero de comisiones muy bajas. Esto permitiría que el trading de tokens y micropagos (compras fraccionadas) sean viables con costos centavos de dólar, mejorando la experiencia. Otra opción es usar blockchain especializadas en activos reales; existen proyectos como </w:t>
      </w:r>
      <w:r w:rsidDel="00000000" w:rsidR="00000000" w:rsidRPr="00000000">
        <w:rPr>
          <w:b w:val="1"/>
          <w:bCs w:val="1"/>
          <w:rtl w:val="0"/>
        </w:rPr>
        <w:t xml:space="preserve">Algorand, Tezos, Stellar</w:t>
      </w:r>
      <w:r w:rsidDel="00000000" w:rsidR="00000000" w:rsidRPr="00000000">
        <w:rPr>
          <w:rtl w:val="0"/>
        </w:rPr>
        <w:t xml:space="preserve"> que han sido utilizados para tokenización inmobiliaria por su eficiencia y marcos de seguridad. Cualquiera sea la red elegida, aseguraremos que ofrezca </w:t>
      </w:r>
      <w:r w:rsidDel="00000000" w:rsidR="00000000" w:rsidRPr="00000000">
        <w:rPr>
          <w:b w:val="1"/>
          <w:bCs w:val="1"/>
          <w:rtl w:val="0"/>
        </w:rPr>
        <w:t xml:space="preserve">finalidad rápida</w:t>
      </w:r>
      <w:r w:rsidDel="00000000" w:rsidR="00000000" w:rsidRPr="00000000">
        <w:rPr>
          <w:rtl w:val="0"/>
        </w:rPr>
        <w:t xml:space="preserve"> (que las transacciones se confirmen en segundos o minutos) y que tenga </w:t>
      </w:r>
      <w:r w:rsidDel="00000000" w:rsidR="00000000" w:rsidRPr="00000000">
        <w:rPr>
          <w:b w:val="1"/>
          <w:bCs w:val="1"/>
          <w:rtl w:val="0"/>
        </w:rPr>
        <w:t xml:space="preserve">soporte para smart contracts complejos</w:t>
      </w:r>
      <w:r w:rsidDel="00000000" w:rsidR="00000000" w:rsidRPr="00000000">
        <w:rPr>
          <w:rtl w:val="0"/>
        </w:rPr>
        <w:t xml:space="preserve"> (necesitaremos programar las reglas de negocio: p.ej., restricción de transferencia a solo billeteras KYC verificadas, emisión controlada, etc.). Además, al ser la propiedad un activo de alto valor, preferimos redes </w:t>
      </w:r>
      <w:r w:rsidDel="00000000" w:rsidR="00000000" w:rsidRPr="00000000">
        <w:rPr>
          <w:b w:val="1"/>
          <w:bCs w:val="1"/>
          <w:rtl w:val="0"/>
        </w:rPr>
        <w:t xml:space="preserve">probadas y con bajo riesgo de bifurcación o ataques</w:t>
      </w:r>
      <w:r w:rsidDel="00000000" w:rsidR="00000000" w:rsidRPr="00000000">
        <w:rPr>
          <w:rtl w:val="0"/>
        </w:rPr>
        <w:t xml:space="preserve">. Por tanto, la balanza se inclina hacia usar </w:t>
      </w:r>
      <w:r w:rsidDel="00000000" w:rsidR="00000000" w:rsidRPr="00000000">
        <w:rPr>
          <w:b w:val="1"/>
          <w:bCs w:val="1"/>
          <w:rtl w:val="0"/>
        </w:rPr>
        <w:t xml:space="preserve">Ethereum + una solución L2</w:t>
      </w:r>
      <w:r w:rsidDel="00000000" w:rsidR="00000000" w:rsidRPr="00000000">
        <w:rPr>
          <w:rtl w:val="0"/>
        </w:rPr>
        <w:t xml:space="preserve"> (por ejemplo, emitir los tokens como ERC-20 en Polygon, lo que permite también eventualmente migrarlos 1:1 a Ethereum mainnet si fuera necesario para liquidez en un DEX mayor).</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Desarrollo de los </w:t>
      </w:r>
      <w:r w:rsidDel="00000000" w:rsidR="00000000" w:rsidRPr="00000000">
        <w:rPr>
          <w:b w:val="1"/>
          <w:bCs w:val="1"/>
          <w:i w:val="1"/>
          <w:iCs w:val="1"/>
          <w:rtl w:val="0"/>
        </w:rPr>
        <w:t xml:space="preserve">smart contracts</w:t>
      </w:r>
      <w:r w:rsidDel="00000000" w:rsidR="00000000" w:rsidRPr="00000000">
        <w:rPr>
          <w:b w:val="1"/>
          <w:bCs w:val="1"/>
          <w:rtl w:val="0"/>
        </w:rPr>
        <w:t xml:space="preserve">:</w:t>
      </w:r>
      <w:r w:rsidDel="00000000" w:rsidR="00000000" w:rsidRPr="00000000">
        <w:rPr>
          <w:rtl w:val="0"/>
        </w:rPr>
        <w:t xml:space="preserve"> Construiremos contratos inteligentes para la </w:t>
      </w:r>
      <w:r w:rsidDel="00000000" w:rsidR="00000000" w:rsidRPr="00000000">
        <w:rPr>
          <w:b w:val="1"/>
          <w:bCs w:val="1"/>
          <w:rtl w:val="0"/>
        </w:rPr>
        <w:t xml:space="preserve">emisión y gestión de los tokens</w:t>
      </w:r>
      <w:r w:rsidDel="00000000" w:rsidR="00000000" w:rsidRPr="00000000">
        <w:rPr>
          <w:rtl w:val="0"/>
        </w:rPr>
        <w:t xml:space="preserve">. Un contrato principal se encargará de emitir los </w:t>
      </w:r>
      <w:r w:rsidDel="00000000" w:rsidR="00000000" w:rsidRPr="00000000">
        <w:rPr>
          <w:b w:val="1"/>
          <w:bCs w:val="1"/>
          <w:rtl w:val="0"/>
        </w:rPr>
        <w:t xml:space="preserve">50,000 tokens (equivalentes a 50,000 m²)</w:t>
      </w:r>
      <w:r w:rsidDel="00000000" w:rsidR="00000000" w:rsidRPr="00000000">
        <w:rPr>
          <w:rtl w:val="0"/>
        </w:rPr>
        <w:t xml:space="preserve"> correspondientes a las 5 ha, y asignarlos a los compradores según sus aportes. Este contrato incluirá funcionalidades como: registro de los tokenholders, transferencia de tokens entre billeteras, y posiblemente funciones de </w:t>
      </w:r>
      <w:r w:rsidDel="00000000" w:rsidR="00000000" w:rsidRPr="00000000">
        <w:rPr>
          <w:i w:val="1"/>
          <w:iCs w:val="1"/>
          <w:rtl w:val="0"/>
        </w:rPr>
        <w:t xml:space="preserve">pausa</w:t>
      </w:r>
      <w:r w:rsidDel="00000000" w:rsidR="00000000" w:rsidRPr="00000000">
        <w:rPr>
          <w:rtl w:val="0"/>
        </w:rPr>
        <w:t xml:space="preserve"> o </w:t>
      </w:r>
      <w:r w:rsidDel="00000000" w:rsidR="00000000" w:rsidRPr="00000000">
        <w:rPr>
          <w:i w:val="1"/>
          <w:iCs w:val="1"/>
          <w:rtl w:val="0"/>
        </w:rPr>
        <w:t xml:space="preserve">congelamiento</w:t>
      </w:r>
      <w:r w:rsidDel="00000000" w:rsidR="00000000" w:rsidRPr="00000000">
        <w:rPr>
          <w:rtl w:val="0"/>
        </w:rPr>
        <w:t xml:space="preserve"> en caso de detección de fraude (esto se considera una buena práctica para poder reaccionar ante incidentes de seguridad o requerimientos regulatorios, aunque habrá políticas claras de cuándo se usaría). Los smart contracts también podrían automatizar distribuciones de beneficios en caso de rentas o venta (aunque en nuestro caso, sin rentas periódicas, su uso principal será para la propiedad en sí). Se implementarán estándares conocidos para facilidad: probablemente </w:t>
      </w:r>
      <w:r w:rsidDel="00000000" w:rsidR="00000000" w:rsidRPr="00000000">
        <w:rPr>
          <w:b w:val="1"/>
          <w:bCs w:val="1"/>
          <w:rtl w:val="0"/>
        </w:rPr>
        <w:t xml:space="preserve">ERC-20</w:t>
      </w:r>
      <w:r w:rsidDel="00000000" w:rsidR="00000000" w:rsidRPr="00000000">
        <w:rPr>
          <w:rtl w:val="0"/>
        </w:rPr>
        <w:t xml:space="preserve"> si hacemos tokens fungibles (cada token = 1 m² indistinguible de otro), o </w:t>
      </w:r>
      <w:r w:rsidDel="00000000" w:rsidR="00000000" w:rsidRPr="00000000">
        <w:rPr>
          <w:b w:val="1"/>
          <w:bCs w:val="1"/>
          <w:rtl w:val="0"/>
        </w:rPr>
        <w:t xml:space="preserve">ERC-721/ERC-1155</w:t>
      </w:r>
      <w:r w:rsidDel="00000000" w:rsidR="00000000" w:rsidRPr="00000000">
        <w:rPr>
          <w:rtl w:val="0"/>
        </w:rPr>
        <w:t xml:space="preserve"> si optáramos por NFTs para cada metro cuadrado único. La fungibilidad tiene sentido porque todos los metros de terreno valen igual en este modelo, simplificando el intercambio (se trataría como 50,000 “acciones” idénticas). En cuanto al </w:t>
      </w:r>
      <w:r w:rsidDel="00000000" w:rsidR="00000000" w:rsidRPr="00000000">
        <w:rPr>
          <w:i w:val="1"/>
          <w:iCs w:val="1"/>
          <w:rtl w:val="0"/>
        </w:rPr>
        <w:t xml:space="preserve">backend</w:t>
      </w:r>
      <w:r w:rsidDel="00000000" w:rsidR="00000000" w:rsidRPr="00000000">
        <w:rPr>
          <w:rtl w:val="0"/>
        </w:rPr>
        <w:t xml:space="preserve"> del proyecto, necesitaremos integrar la blockchain con una plataforma web/app que permita a usuarios no expertos interactuar fácilmente. Esto implica usar bibliotecas como </w:t>
      </w:r>
      <w:r w:rsidDel="00000000" w:rsidR="00000000" w:rsidRPr="00000000">
        <w:rPr>
          <w:b w:val="1"/>
          <w:bCs w:val="1"/>
          <w:rtl w:val="0"/>
        </w:rPr>
        <w:t xml:space="preserve">Web3.js</w:t>
      </w:r>
      <w:r w:rsidDel="00000000" w:rsidR="00000000" w:rsidRPr="00000000">
        <w:rPr>
          <w:rtl w:val="0"/>
        </w:rPr>
        <w:t xml:space="preserve"> o SDKs según la cadena elegida, construir una </w:t>
      </w:r>
      <w:r w:rsidDel="00000000" w:rsidR="00000000" w:rsidRPr="00000000">
        <w:rPr>
          <w:b w:val="1"/>
          <w:bCs w:val="1"/>
          <w:rtl w:val="0"/>
        </w:rPr>
        <w:t xml:space="preserve">wallet integrada o custodial</w:t>
      </w:r>
      <w:r w:rsidDel="00000000" w:rsidR="00000000" w:rsidRPr="00000000">
        <w:rPr>
          <w:rtl w:val="0"/>
        </w:rPr>
        <w:t xml:space="preserve"> para quienes no tengan experiencia cripto, y vincular con servicios de pago (por ejemplo, que alguien pueda comprar tokens con tarjeta de crédito o transferencia bancaria, no solo con criptomonedas).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Seguridad informática:</w:t>
      </w:r>
      <w:r w:rsidDel="00000000" w:rsidR="00000000" w:rsidRPr="00000000">
        <w:rPr>
          <w:rtl w:val="0"/>
        </w:rPr>
        <w:t xml:space="preserve"> La seguridad es un pilar </w:t>
      </w:r>
      <w:r w:rsidDel="00000000" w:rsidR="00000000" w:rsidRPr="00000000">
        <w:rPr>
          <w:b w:val="1"/>
          <w:bCs w:val="1"/>
          <w:rtl w:val="0"/>
        </w:rPr>
        <w:t xml:space="preserve">fundamental</w:t>
      </w:r>
      <w:r w:rsidDel="00000000" w:rsidR="00000000" w:rsidRPr="00000000">
        <w:rPr>
          <w:rtl w:val="0"/>
        </w:rPr>
        <w:t xml:space="preserve"> – cualquier falla podría comprometer fondos de inversionistas y la reputación del proyecto. Implementaremos auditorías externas de los smart contracts con firmas especializadas antes de lanzar (empresas de </w:t>
      </w:r>
      <w:r w:rsidDel="00000000" w:rsidR="00000000" w:rsidRPr="00000000">
        <w:rPr>
          <w:i w:val="1"/>
          <w:iCs w:val="1"/>
          <w:rtl w:val="0"/>
        </w:rPr>
        <w:t xml:space="preserve">smart contract auditing</w:t>
      </w:r>
      <w:r w:rsidDel="00000000" w:rsidR="00000000" w:rsidRPr="00000000">
        <w:rPr>
          <w:rtl w:val="0"/>
        </w:rPr>
        <w:t xml:space="preserve"> como CertiK, OpenZeppelin, etc.). También emplearemos </w:t>
      </w:r>
      <w:r w:rsidDel="00000000" w:rsidR="00000000" w:rsidRPr="00000000">
        <w:rPr>
          <w:b w:val="1"/>
          <w:bCs w:val="1"/>
          <w:rtl w:val="0"/>
        </w:rPr>
        <w:t xml:space="preserve">buenas prácticas de desarrollo</w:t>
      </w:r>
      <w:r w:rsidDel="00000000" w:rsidR="00000000" w:rsidRPr="00000000">
        <w:rPr>
          <w:rtl w:val="0"/>
        </w:rPr>
        <w:t xml:space="preserve">: contratos simples, reduciendo complejidad para minimizar superficie de ataque; uso de bibliotecas estándar (por ejemplo, la librería OpenZeppelin ERC20 para garantizar robustez); y tests exhaustivos en diferentes escenarios (intentando hackeos simulados, estrés de transacciones, etc.). A nivel de plataforma web, protegeremos los datos de los usuarios (KYC, cuentas) con cifrado y cumpliremos estándares de seguridad (SSL, 2FA para accesos, protección contra inyecciones SQL, etc.). Dado que manejaremos potencialmente contribuciones internacionales, el sitio seguirá lineamientos de </w:t>
      </w:r>
      <w:r w:rsidDel="00000000" w:rsidR="00000000" w:rsidRPr="00000000">
        <w:rPr>
          <w:b w:val="1"/>
          <w:bCs w:val="1"/>
          <w:rtl w:val="0"/>
        </w:rPr>
        <w:t xml:space="preserve">OWASP</w:t>
      </w:r>
      <w:r w:rsidDel="00000000" w:rsidR="00000000" w:rsidRPr="00000000">
        <w:rPr>
          <w:rtl w:val="0"/>
        </w:rPr>
        <w:t xml:space="preserve"> para aplicaciones financieras. En paralelo, habrá que asegurar la </w:t>
      </w:r>
      <w:r w:rsidDel="00000000" w:rsidR="00000000" w:rsidRPr="00000000">
        <w:rPr>
          <w:b w:val="1"/>
          <w:bCs w:val="1"/>
          <w:rtl w:val="0"/>
        </w:rPr>
        <w:t xml:space="preserve">custodia de los activos digitales</w:t>
      </w:r>
      <w:r w:rsidDel="00000000" w:rsidR="00000000" w:rsidRPr="00000000">
        <w:rPr>
          <w:rtl w:val="0"/>
        </w:rPr>
        <w:t xml:space="preserve">: muchos inversionistas quizás no tengan billetera propia como Metamask; en esos casos podríamos ofrecer una </w:t>
      </w:r>
      <w:r w:rsidDel="00000000" w:rsidR="00000000" w:rsidRPr="00000000">
        <w:rPr>
          <w:b w:val="1"/>
          <w:bCs w:val="1"/>
          <w:rtl w:val="0"/>
        </w:rPr>
        <w:t xml:space="preserve">custodia integrada</w:t>
      </w:r>
      <w:r w:rsidDel="00000000" w:rsidR="00000000" w:rsidRPr="00000000">
        <w:rPr>
          <w:rtl w:val="0"/>
        </w:rPr>
        <w:t xml:space="preserve"> donde el token se les “almacena” en una cuenta a su nombre dentro de nuestra plataforma. Esto implica la empresa gestionando claves privadas por ellos, lo cual agrega responsabilidad – en ese caso, usaríamos módulos de custodia de grado institucional, posiblemente servicios de </w:t>
      </w:r>
      <w:r w:rsidDel="00000000" w:rsidR="00000000" w:rsidRPr="00000000">
        <w:rPr>
          <w:i w:val="1"/>
          <w:iCs w:val="1"/>
          <w:rtl w:val="0"/>
        </w:rPr>
        <w:t xml:space="preserve">wallet custody</w:t>
      </w:r>
      <w:r w:rsidDel="00000000" w:rsidR="00000000" w:rsidRPr="00000000">
        <w:rPr>
          <w:rtl w:val="0"/>
        </w:rPr>
        <w:t xml:space="preserve"> de terceros, o hardware security modules (HSM) para almacenar claves en forma segura. Para inversionistas cripto avanzados que quieran manejar sus propios tokens, permitiremos retiros a sus wallets personales, pero igualmente habrá restricciones de transferencia a solo direcciones permitidas (lista blanca) si lo exige la regulación KYC.</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Experiencia de usuario (UX):</w:t>
      </w:r>
      <w:r w:rsidDel="00000000" w:rsidR="00000000" w:rsidRPr="00000000">
        <w:rPr>
          <w:rtl w:val="0"/>
        </w:rPr>
        <w:t xml:space="preserve"> Uno de los retos tecnológicos será hacer que todo el proceso sea </w:t>
      </w:r>
      <w:r w:rsidDel="00000000" w:rsidR="00000000" w:rsidRPr="00000000">
        <w:rPr>
          <w:b w:val="1"/>
          <w:bCs w:val="1"/>
          <w:rtl w:val="0"/>
        </w:rPr>
        <w:t xml:space="preserve">intuitivo y amigable</w:t>
      </w:r>
      <w:r w:rsidDel="00000000" w:rsidR="00000000" w:rsidRPr="00000000">
        <w:rPr>
          <w:rtl w:val="0"/>
        </w:rPr>
        <w:t xml:space="preserve">, dado que apuntamos a usuarios quizá novatos en blockchain. La plataforma presentará la inversión en términos sencillos: por ejemplo, un usuario verá “Terreno en San Bartolo – $25 por m², compra mínima 1 m²” y podrá ingresar “comprar 10 m²”, sin necesariamente saber que por detrás está adquiriendo tokens ERC-20. La interfaz se encargará de toda la complejidad: creación automática de una billetera si no la tiene, generación de claves (respaldadas con seguridad), conversión de moneda (aceptaremos pagos en soles, dólares, posiblemente criptomonedas populares como USDT), etc. Incorporaremos elementos educativos en la UI – pequeñas explicaciones de qué es tokenización, por qué usar blockchain, etc., para generar confianza en tiempo real. Asimismo, habilitaremos un </w:t>
      </w:r>
      <w:r w:rsidDel="00000000" w:rsidR="00000000" w:rsidRPr="00000000">
        <w:rPr>
          <w:b w:val="1"/>
          <w:bCs w:val="1"/>
          <w:rtl w:val="0"/>
        </w:rPr>
        <w:t xml:space="preserve">dashboard para inversionistas</w:t>
      </w:r>
      <w:r w:rsidDel="00000000" w:rsidR="00000000" w:rsidRPr="00000000">
        <w:rPr>
          <w:rtl w:val="0"/>
        </w:rPr>
        <w:t xml:space="preserve"> donde puedan ver sus tokens equivalentes a metros cuadrados, el valor actualizado estimado (para lo cual podríamos mostrar un índice de precios de terrenos en Lima Sur), y cualquier comunicación relevante (ej. noticias del proyecto: avance del tren, nueva zonificación aprobada, etc., que respalden la valorización). Una buena UX también implica soporte multi-idioma (español e inglés, dado que apuntamos a público local y global) y omnicanal (web responsive y quizás app móvil a mediano plazo).</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Infraestructura y escalabilidad:</w:t>
      </w:r>
      <w:r w:rsidDel="00000000" w:rsidR="00000000" w:rsidRPr="00000000">
        <w:rPr>
          <w:rtl w:val="0"/>
        </w:rPr>
        <w:t xml:space="preserve"> Aunque se trata de un proyecto inmobiliario, debemos prever escalabilidad en términos de usuarios y transacciones. Si la venta de tokens resulta muy demandada, podríamos tener miles de transacciones iniciales; luego en el mercado secundario, los trades podrían ser frecuentes. Usar una blockchain de alta capacidad (como Polygon, con throughput de varias cientos de TPS) debería ser suficiente. Montaremos la plataforma en la nube (AWS, Azure u otra) con arquitectura escalable (microservicios, auto-scaling) para manejar picos durante la oferta inicial o campañas de marketing. Implementaremos un entorno de pruebas robusto (testnet) antes de producción, para corregir cualquier bug. En cuanto a integración tecnológica, aparte de la blockchain, necesitaremos componentes como: </w:t>
      </w:r>
      <w:r w:rsidDel="00000000" w:rsidR="00000000" w:rsidRPr="00000000">
        <w:rPr>
          <w:b w:val="1"/>
          <w:bCs w:val="1"/>
          <w:rtl w:val="0"/>
        </w:rPr>
        <w:t xml:space="preserve">pasarelas de pago fiat</w:t>
      </w:r>
      <w:r w:rsidDel="00000000" w:rsidR="00000000" w:rsidRPr="00000000">
        <w:rPr>
          <w:rtl w:val="0"/>
        </w:rPr>
        <w:t xml:space="preserve"> (por ej. integraciones con procesadores locales para recibir pagos en soles, o uso de stablecoins para procesar pagos cripto equivalentes), </w:t>
      </w:r>
      <w:r w:rsidDel="00000000" w:rsidR="00000000" w:rsidRPr="00000000">
        <w:rPr>
          <w:b w:val="1"/>
          <w:bCs w:val="1"/>
          <w:rtl w:val="0"/>
        </w:rPr>
        <w:t xml:space="preserve">servicios de e-mail/SMS</w:t>
      </w:r>
      <w:r w:rsidDel="00000000" w:rsidR="00000000" w:rsidRPr="00000000">
        <w:rPr>
          <w:rtl w:val="0"/>
        </w:rPr>
        <w:t xml:space="preserve"> para notificaciones a inversores, y APIs con Registros Públicos o plataformas legales si logramos automatizar consulta de datos de la propiedad.</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Mantenimiento y actualización:</w:t>
      </w:r>
      <w:r w:rsidDel="00000000" w:rsidR="00000000" w:rsidRPr="00000000">
        <w:rPr>
          <w:rtl w:val="0"/>
        </w:rPr>
        <w:t xml:space="preserve"> La tecnología blockchain una vez desplegada (smart contracts) es inmutable en teoría. Sin embargo, planificaremos mecanismos de upgrade si hiciere falta (p.ej., contratos proxy que permitan actualización lógica bajo ciertas condiciones, aunque esto debe usarse con cuidado porque centraliza control). Mantendremos un equipo de desarrolladores blockchain para soporte continuo, monitorizando la red por si hay bifurcaciones o cambios (Ethereum está en constante evolución, aunque tras The Merge se ha estabilizado). También monitorearemos la </w:t>
      </w:r>
      <w:r w:rsidDel="00000000" w:rsidR="00000000" w:rsidRPr="00000000">
        <w:rPr>
          <w:b w:val="1"/>
          <w:bCs w:val="1"/>
          <w:rtl w:val="0"/>
        </w:rPr>
        <w:t xml:space="preserve">ciberseguridad 24/7</w:t>
      </w:r>
      <w:r w:rsidDel="00000000" w:rsidR="00000000" w:rsidRPr="00000000">
        <w:rPr>
          <w:rtl w:val="0"/>
        </w:rPr>
        <w:t xml:space="preserve"> – la custodia y la plataforma deben estar vigiladas contra intentos de intrusión. En caso de detectar actividad sospechosa (intento de hackeo), tendremos planes de respuesta (pausar contratos si es urgente, notificar a usuarios, etc.).</w:t>
      </w:r>
    </w:p>
    <w:p w:rsidR="00000000" w:rsidDel="00000000" w:rsidP="00000000" w:rsidRDefault="00000000" w:rsidRPr="00000000" w14:paraId="00000045">
      <w:pPr>
        <w:spacing w:after="240" w:before="240" w:lineRule="auto"/>
        <w:rPr/>
      </w:pPr>
      <w:r w:rsidDel="00000000" w:rsidR="00000000" w:rsidRPr="00000000">
        <w:rPr>
          <w:rtl w:val="0"/>
        </w:rPr>
        <w:t xml:space="preserve">En resumen, el </w:t>
      </w:r>
      <w:r w:rsidDel="00000000" w:rsidR="00000000" w:rsidRPr="00000000">
        <w:rPr>
          <w:b w:val="1"/>
          <w:bCs w:val="1"/>
          <w:rtl w:val="0"/>
        </w:rPr>
        <w:t xml:space="preserve">stack tecnológico</w:t>
      </w:r>
      <w:r w:rsidDel="00000000" w:rsidR="00000000" w:rsidRPr="00000000">
        <w:rPr>
          <w:rtl w:val="0"/>
        </w:rPr>
        <w:t xml:space="preserve"> se basa en: </w:t>
      </w:r>
      <w:r w:rsidDel="00000000" w:rsidR="00000000" w:rsidRPr="00000000">
        <w:rPr>
          <w:b w:val="1"/>
          <w:bCs w:val="1"/>
          <w:rtl w:val="0"/>
        </w:rPr>
        <w:t xml:space="preserve">blockchain pública confiable (Ethereum/Polygon)</w:t>
      </w:r>
      <w:r w:rsidDel="00000000" w:rsidR="00000000" w:rsidRPr="00000000">
        <w:rPr>
          <w:rtl w:val="0"/>
        </w:rPr>
        <w:t xml:space="preserve">, </w:t>
      </w:r>
      <w:r w:rsidDel="00000000" w:rsidR="00000000" w:rsidRPr="00000000">
        <w:rPr>
          <w:b w:val="1"/>
          <w:bCs w:val="1"/>
          <w:rtl w:val="0"/>
        </w:rPr>
        <w:t xml:space="preserve">smart contracts auditados</w:t>
      </w:r>
      <w:r w:rsidDel="00000000" w:rsidR="00000000" w:rsidRPr="00000000">
        <w:rPr>
          <w:rtl w:val="0"/>
        </w:rPr>
        <w:t xml:space="preserve">, </w:t>
      </w:r>
      <w:r w:rsidDel="00000000" w:rsidR="00000000" w:rsidRPr="00000000">
        <w:rPr>
          <w:b w:val="1"/>
          <w:bCs w:val="1"/>
          <w:rtl w:val="0"/>
        </w:rPr>
        <w:t xml:space="preserve">integración web con UX amigable</w:t>
      </w:r>
      <w:r w:rsidDel="00000000" w:rsidR="00000000" w:rsidRPr="00000000">
        <w:rPr>
          <w:rtl w:val="0"/>
        </w:rPr>
        <w:t xml:space="preserve">, y </w:t>
      </w:r>
      <w:r w:rsidDel="00000000" w:rsidR="00000000" w:rsidRPr="00000000">
        <w:rPr>
          <w:b w:val="1"/>
          <w:bCs w:val="1"/>
          <w:rtl w:val="0"/>
        </w:rPr>
        <w:t xml:space="preserve">protocolos fuertes de seguridad</w:t>
      </w:r>
      <w:r w:rsidDel="00000000" w:rsidR="00000000" w:rsidRPr="00000000">
        <w:rPr>
          <w:rtl w:val="0"/>
        </w:rPr>
        <w:t xml:space="preserve"> en todos los niveles. Esto garantizará que el proyecto no solo sea innovador en concepto sino también sólido en su ejecución técnica, dando confianza tanto a inversionistas criptoexperts como a los novatos. La inversión en tecnología es significativa (estimada en ~USD $60,000 según nuestro plan financiero), pero es imprescindible para construir un producto robusto. Al final, queremos que el usuario quizás ni note que “está usando blockchain”; solo debe sentir que compró parte de un terreno de forma fácil, segura y transparente.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d862cqmvz64k" w:id="7"/>
      <w:bookmarkEnd w:id="7"/>
      <w:r w:rsidDel="00000000" w:rsidR="00000000" w:rsidRPr="00000000">
        <w:rPr>
          <w:b w:val="1"/>
          <w:bCs w:val="1"/>
          <w:sz w:val="34"/>
          <w:szCs w:val="34"/>
          <w:rtl w:val="0"/>
        </w:rPr>
        <w:t xml:space="preserve">7. Benchmarking global de proyectos RWA</w:t>
      </w:r>
    </w:p>
    <w:p w:rsidR="00000000" w:rsidDel="00000000" w:rsidP="00000000" w:rsidRDefault="00000000" w:rsidRPr="00000000" w14:paraId="00000047">
      <w:pPr>
        <w:spacing w:after="240" w:before="240" w:lineRule="auto"/>
        <w:rPr/>
      </w:pPr>
      <w:r w:rsidDel="00000000" w:rsidR="00000000" w:rsidRPr="00000000">
        <w:rPr>
          <w:rtl w:val="0"/>
        </w:rPr>
        <w:t xml:space="preserve">El concepto de tokenizar activos del mundo real (Real World Assets – RWA) se ha expandido globalmente en los últimos años, sentando precedentes útiles para nuestro proyecto. A continuación, realizamos un </w:t>
      </w:r>
      <w:r w:rsidDel="00000000" w:rsidR="00000000" w:rsidRPr="00000000">
        <w:rPr>
          <w:b w:val="1"/>
          <w:bCs w:val="1"/>
          <w:rtl w:val="0"/>
        </w:rPr>
        <w:t xml:space="preserve">benchmarking</w:t>
      </w:r>
      <w:r w:rsidDel="00000000" w:rsidR="00000000" w:rsidRPr="00000000">
        <w:rPr>
          <w:rtl w:val="0"/>
        </w:rPr>
        <w:t xml:space="preserve"> con algunos casos destacados y las lecciones que aportan:</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b w:val="1"/>
          <w:bCs w:val="1"/>
          <w:rtl w:val="0"/>
        </w:rPr>
        <w:t xml:space="preserve">RealT (Estados Unidos):</w:t>
      </w:r>
      <w:r w:rsidDel="00000000" w:rsidR="00000000" w:rsidRPr="00000000">
        <w:rPr>
          <w:rtl w:val="0"/>
        </w:rPr>
        <w:t xml:space="preserve"> Plataforma pionera que tokeniza propiedades residenciales (principalmente casas en alquiler en ciudades como Detroit). Cada token representa participaciones de una LLC que es dueña del inmueble, y los tokenholders reciben proporcionalmente los alquileres mensuales (pagados en stablecoin). RealT demostró la viabilidad de distribuir rendimientos vía blockchain y la demanda latente: en sus inicios, propiedades completas (valores ~USD 100k) se financiaban en minutos con cientos de inversores globales. Claves del éxito: cumplimiento legal (se acogen a excepciones Reg D/Reg S de la SEC, vendiendo a inversores acreditados o no estadounidenses), uso de Ethereum (inicialmente ERC-20 en mainnet, luego migraron a xDai chain para minimizar fees), y creación de una comunidad Web3 entusiasta. Para nuestro benchmark, RealT confirma que </w:t>
      </w:r>
      <w:r w:rsidDel="00000000" w:rsidR="00000000" w:rsidRPr="00000000">
        <w:rPr>
          <w:b w:val="1"/>
          <w:bCs w:val="1"/>
          <w:rtl w:val="0"/>
        </w:rPr>
        <w:t xml:space="preserve">existe apetito global por invertir en real estate tokenizado</w:t>
      </w:r>
      <w:r w:rsidDel="00000000" w:rsidR="00000000" w:rsidRPr="00000000">
        <w:rPr>
          <w:rtl w:val="0"/>
        </w:rPr>
        <w:t xml:space="preserve"> y que fracciones pequeñas ($50-$100) pueden ser vendidas masivamente si el proceso es ágil. También muestra la importancia de la </w:t>
      </w:r>
      <w:r w:rsidDel="00000000" w:rsidR="00000000" w:rsidRPr="00000000">
        <w:rPr>
          <w:b w:val="1"/>
          <w:bCs w:val="1"/>
          <w:rtl w:val="0"/>
        </w:rPr>
        <w:t xml:space="preserve">liquidez secundaria</w:t>
      </w:r>
      <w:r w:rsidDel="00000000" w:rsidR="00000000" w:rsidRPr="00000000">
        <w:rPr>
          <w:rtl w:val="0"/>
        </w:rPr>
        <w:t xml:space="preserve">: RealT facilita trading peer-to-peer de tokens y algunos se han listado en exchanges descentralizados, dando salida a inversores.</w:t>
        <w:br w:type="textWrapping"/>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bCs w:val="1"/>
          <w:rtl w:val="0"/>
        </w:rPr>
        <w:t xml:space="preserve">Reental (España):</w:t>
      </w:r>
      <w:r w:rsidDel="00000000" w:rsidR="00000000" w:rsidRPr="00000000">
        <w:rPr>
          <w:rtl w:val="0"/>
        </w:rPr>
        <w:t xml:space="preserve"> Startup española enfocada en tokenización de inmuebles para flip (compra-remodelación-venta) y renta vacacional. Ha tokenizado desde departamentos hasta plazas de garaje. A cierre de 2024, </w:t>
      </w:r>
      <w:r w:rsidDel="00000000" w:rsidR="00000000" w:rsidRPr="00000000">
        <w:rPr>
          <w:b w:val="1"/>
          <w:bCs w:val="1"/>
          <w:rtl w:val="0"/>
        </w:rPr>
        <w:t xml:space="preserve">Reental superó €32.5 millones en activos tokenizados, creciendo 130% en un año</w:t>
      </w:r>
      <w:r w:rsidDel="00000000" w:rsidR="00000000" w:rsidRPr="00000000">
        <w:rPr>
          <w:rtl w:val="0"/>
        </w:rPr>
        <w:t xml:space="preserve">, con ~22k inversores registrados</w:t>
      </w:r>
      <w:hyperlink r:id="rId33">
        <w:r w:rsidDel="00000000" w:rsidR="00000000" w:rsidRPr="00000000">
          <w:rPr>
            <w:color w:val="1155cc"/>
            <w:u w:val="single"/>
            <w:rtl w:val="0"/>
          </w:rPr>
          <w:t xml:space="preserve">elespanol.com</w:t>
        </w:r>
      </w:hyperlink>
      <w:r w:rsidDel="00000000" w:rsidR="00000000" w:rsidRPr="00000000">
        <w:rPr>
          <w:rtl w:val="0"/>
        </w:rPr>
        <w:t xml:space="preserve">. Ofrece rentabilidades atractivas (renta + plusvalía) alrededor del 10-15% anual</w:t>
      </w:r>
      <w:hyperlink r:id="rId34">
        <w:r w:rsidDel="00000000" w:rsidR="00000000" w:rsidRPr="00000000">
          <w:rPr>
            <w:color w:val="1155cc"/>
            <w:u w:val="single"/>
            <w:rtl w:val="0"/>
          </w:rPr>
          <w:t xml:space="preserve">elespanol.com</w:t>
        </w:r>
      </w:hyperlink>
      <w:r w:rsidDel="00000000" w:rsidR="00000000" w:rsidRPr="00000000">
        <w:rPr>
          <w:rtl w:val="0"/>
        </w:rPr>
        <w:t xml:space="preserve">. Reental opera bajo el marco del </w:t>
      </w:r>
      <w:r w:rsidDel="00000000" w:rsidR="00000000" w:rsidRPr="00000000">
        <w:rPr>
          <w:i w:val="1"/>
          <w:iCs w:val="1"/>
          <w:rtl w:val="0"/>
        </w:rPr>
        <w:t xml:space="preserve">crowdfunding</w:t>
      </w:r>
      <w:r w:rsidDel="00000000" w:rsidR="00000000" w:rsidRPr="00000000">
        <w:rPr>
          <w:rtl w:val="0"/>
        </w:rPr>
        <w:t xml:space="preserve"> regulado por la CNMV española, y fue de las primeras en encajar bajo la regulación europea MiCA. Lecciones para nosotros: la </w:t>
      </w:r>
      <w:r w:rsidDel="00000000" w:rsidR="00000000" w:rsidRPr="00000000">
        <w:rPr>
          <w:b w:val="1"/>
          <w:bCs w:val="1"/>
          <w:rtl w:val="0"/>
        </w:rPr>
        <w:t xml:space="preserve">escala es posible</w:t>
      </w:r>
      <w:r w:rsidDel="00000000" w:rsidR="00000000" w:rsidRPr="00000000">
        <w:rPr>
          <w:rtl w:val="0"/>
        </w:rPr>
        <w:t xml:space="preserve"> si se construye confianza (Reental cuenta con auditores externos, informes periódicos y casos de éxito que han devuelto capital a inversionistas). Además, evidencia que el mercado hispano (España y LatAm) adopta bien estas plataformas cuando se comunican beneficios claros (“invierte en ladrillo desde €100, con liquidez”). Reental también ha invertido en educación financiera, usando embajadores (incluso deportistas famosos) para promover la democratización inmobiliaria, estrategia de marketing que podríamos emular.</w:t>
        <w:br w:type="textWrapping"/>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b w:val="1"/>
          <w:bCs w:val="1"/>
          <w:rtl w:val="0"/>
        </w:rPr>
        <w:t xml:space="preserve">AspenCoin (EE.UU.):</w:t>
      </w:r>
      <w:r w:rsidDel="00000000" w:rsidR="00000000" w:rsidRPr="00000000">
        <w:rPr>
          <w:rtl w:val="0"/>
        </w:rPr>
        <w:t xml:space="preserve"> Fue uno de los primeros security tokens inmobiliarios: representaba acciones del resort St. Regis Aspen. Lanzado en 2018, recaudó ~$18 millones a través de tokens en una blockchain especializada. Aunque no fue un proyecto de venta masiva al público (orientado a inversores calificados), sirvió de prueba de concepto de que un activo de lujo podía fraccionarse digitalmente. AspenCoin posteriormente migró a ser listado en tZERO (un ATS regulado) demostrando que los tokens pueden integrarse a infraestructuras financieras existentes. Para nosotros, la enseñanza es que </w:t>
      </w:r>
      <w:r w:rsidDel="00000000" w:rsidR="00000000" w:rsidRPr="00000000">
        <w:rPr>
          <w:b w:val="1"/>
          <w:bCs w:val="1"/>
          <w:rtl w:val="0"/>
        </w:rPr>
        <w:t xml:space="preserve">activos premium tokenizados pueden atraer institucionales</w:t>
      </w:r>
      <w:r w:rsidDel="00000000" w:rsidR="00000000" w:rsidRPr="00000000">
        <w:rPr>
          <w:rtl w:val="0"/>
        </w:rPr>
        <w:t xml:space="preserve">, y que a futuro podríamos considerar listar los tokens en sistemas regulados si deseamos mayor liquidez y alcance (por ej., BVL si habilitara sección para activos digitales, o mercados internacionales).</w:t>
        <w:br w:type="textWrapping"/>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b w:val="1"/>
          <w:bCs w:val="1"/>
          <w:rtl w:val="0"/>
        </w:rPr>
        <w:t xml:space="preserve">Landshare (BNB Chain):</w:t>
      </w:r>
      <w:r w:rsidDel="00000000" w:rsidR="00000000" w:rsidRPr="00000000">
        <w:rPr>
          <w:rtl w:val="0"/>
        </w:rPr>
        <w:t xml:space="preserve"> Un ejemplo más reciente en DeFi: Landshare tokeniza propiedades y combina yield farming con bienes raíces, en la blockchain de Binance. Ofrece a usuarios “farmear” con tokens respaldados en real estate. Este modelo híbrido ha logrado atención en la comunidad cripto, aunque es más experimental. La lección aquí es la </w:t>
      </w:r>
      <w:r w:rsidDel="00000000" w:rsidR="00000000" w:rsidRPr="00000000">
        <w:rPr>
          <w:b w:val="1"/>
          <w:bCs w:val="1"/>
          <w:rtl w:val="0"/>
        </w:rPr>
        <w:t xml:space="preserve">innovación financiera</w:t>
      </w:r>
      <w:r w:rsidDel="00000000" w:rsidR="00000000" w:rsidRPr="00000000">
        <w:rPr>
          <w:rtl w:val="0"/>
        </w:rPr>
        <w:t xml:space="preserve">: integrar DeFi (finanzas descentralizadas) con RWA para potenciar rendimientos. Si bien nuestro proyecto inicialmente es straightforward (propiedad -&gt; token -&gt; apreciación), podríamos en el futuro agregar funcionalidades DeFi como </w:t>
      </w:r>
      <w:r w:rsidDel="00000000" w:rsidR="00000000" w:rsidRPr="00000000">
        <w:rPr>
          <w:b w:val="1"/>
          <w:bCs w:val="1"/>
          <w:rtl w:val="0"/>
        </w:rPr>
        <w:t xml:space="preserve">préstamos colateralizados en tokens</w:t>
      </w:r>
      <w:r w:rsidDel="00000000" w:rsidR="00000000" w:rsidRPr="00000000">
        <w:rPr>
          <w:rtl w:val="0"/>
        </w:rPr>
        <w:t xml:space="preserve"> (un inversionista pueda pedir un préstamo usando sus tokens de terreno como garantía) o </w:t>
      </w:r>
      <w:r w:rsidDel="00000000" w:rsidR="00000000" w:rsidRPr="00000000">
        <w:rPr>
          <w:b w:val="1"/>
          <w:bCs w:val="1"/>
          <w:rtl w:val="0"/>
        </w:rPr>
        <w:t xml:space="preserve">staking</w:t>
      </w:r>
      <w:r w:rsidDel="00000000" w:rsidR="00000000" w:rsidRPr="00000000">
        <w:rPr>
          <w:rtl w:val="0"/>
        </w:rPr>
        <w:t xml:space="preserve"> (recompensas por mantener tokens X tiempo, quizás fondeadas con parte de los ingresos del proyecto). Estas ideas vienen de observar plataformas como Landshare, Lofty, etc., que tratan de hacer el holding de RWA más atractivo con ingresos pasivos adicionales.</w:t>
        <w:br w:type="textWrapping"/>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b w:val="1"/>
          <w:bCs w:val="1"/>
          <w:rtl w:val="0"/>
        </w:rPr>
        <w:t xml:space="preserve">Proyecto Mattereum</w:t>
      </w:r>
      <w:r w:rsidDel="00000000" w:rsidR="00000000" w:rsidRPr="00000000">
        <w:rPr>
          <w:rtl w:val="0"/>
        </w:rPr>
        <w:t xml:space="preserve"> (Reino Unido):** En lugar de una plataforma de inversión en sí, Mattereum es una firma que desarrolla </w:t>
      </w:r>
      <w:r w:rsidDel="00000000" w:rsidR="00000000" w:rsidRPr="00000000">
        <w:rPr>
          <w:b w:val="1"/>
          <w:bCs w:val="1"/>
          <w:rtl w:val="0"/>
        </w:rPr>
        <w:t xml:space="preserve">“contratos inteligentes legales”</w:t>
      </w:r>
      <w:r w:rsidDel="00000000" w:rsidR="00000000" w:rsidRPr="00000000">
        <w:rPr>
          <w:rtl w:val="0"/>
        </w:rPr>
        <w:t xml:space="preserve"> para vincular activos físicos a NFTs con validez jurídica. Han tokenizado desde violines Stradivarius hasta bienes raíces, creando un “Mattereum Asset Passport” con información legal y técnica del activo. El aprendizaje para nosotros es la importancia de la </w:t>
      </w:r>
      <w:r w:rsidDel="00000000" w:rsidR="00000000" w:rsidRPr="00000000">
        <w:rPr>
          <w:b w:val="1"/>
          <w:bCs w:val="1"/>
          <w:rtl w:val="0"/>
        </w:rPr>
        <w:t xml:space="preserve">due diligence y documentación</w:t>
      </w:r>
      <w:r w:rsidDel="00000000" w:rsidR="00000000" w:rsidRPr="00000000">
        <w:rPr>
          <w:rtl w:val="0"/>
        </w:rPr>
        <w:t xml:space="preserve">: cada token de nuestro proyecto debería ir acompañado de un documento digital que certifique qué representa (ubicación del terreno, número de partida registral, etc.), algo así como un “pasaporte del activo”. Esto genera confianza y liquidez, porque cualquier comprador puede verificar al instante las características y legitimidad del token. Mattereum nos inspira a robustecer el aspecto legal-tecnológico: integrando oráculos o registros digitales que conecten la blockchain con la información en Registros Públicos (por ejemplo, podríamos usar un hash de la partida registral incorporado en el smart contract).</w:t>
        <w:br w:type="textWrapping"/>
      </w:r>
    </w:p>
    <w:p w:rsidR="00000000" w:rsidDel="00000000" w:rsidP="00000000" w:rsidRDefault="00000000" w:rsidRPr="00000000" w14:paraId="0000004D">
      <w:pPr>
        <w:numPr>
          <w:ilvl w:val="0"/>
          <w:numId w:val="8"/>
        </w:numPr>
        <w:spacing w:after="240" w:before="0" w:beforeAutospacing="0" w:lineRule="auto"/>
        <w:ind w:left="720" w:hanging="360"/>
      </w:pPr>
      <w:r w:rsidDel="00000000" w:rsidR="00000000" w:rsidRPr="00000000">
        <w:rPr>
          <w:b w:val="1"/>
          <w:bCs w:val="1"/>
          <w:rtl w:val="0"/>
        </w:rPr>
        <w:t xml:space="preserve">Otras iniciativas globales:</w:t>
      </w:r>
      <w:r w:rsidDel="00000000" w:rsidR="00000000" w:rsidRPr="00000000">
        <w:rPr>
          <w:rtl w:val="0"/>
        </w:rPr>
        <w:t xml:space="preserve"> Podemos mencionar </w:t>
      </w:r>
      <w:r w:rsidDel="00000000" w:rsidR="00000000" w:rsidRPr="00000000">
        <w:rPr>
          <w:b w:val="1"/>
          <w:bCs w:val="1"/>
          <w:rtl w:val="0"/>
        </w:rPr>
        <w:t xml:space="preserve">Tangible</w:t>
      </w:r>
      <w:r w:rsidDel="00000000" w:rsidR="00000000" w:rsidRPr="00000000">
        <w:rPr>
          <w:rtl w:val="0"/>
        </w:rPr>
        <w:t xml:space="preserve"> (un marketplace donde se tokenizan activos físicos como oro, bienes raíces y se pueden intercambiar como NFTs respaldados), </w:t>
      </w:r>
      <w:r w:rsidDel="00000000" w:rsidR="00000000" w:rsidRPr="00000000">
        <w:rPr>
          <w:b w:val="1"/>
          <w:bCs w:val="1"/>
          <w:rtl w:val="0"/>
        </w:rPr>
        <w:t xml:space="preserve">Brickken</w:t>
      </w:r>
      <w:r w:rsidDel="00000000" w:rsidR="00000000" w:rsidRPr="00000000">
        <w:rPr>
          <w:rtl w:val="0"/>
        </w:rPr>
        <w:t xml:space="preserve"> (proyecto español que ofrece infraestructura para tokenizar empresas y real estate, apuntando a que cualquiera pueda crear su STO fácilmente), y casos en LatAm como </w:t>
      </w:r>
      <w:r w:rsidDel="00000000" w:rsidR="00000000" w:rsidRPr="00000000">
        <w:rPr>
          <w:b w:val="1"/>
          <w:bCs w:val="1"/>
          <w:rtl w:val="0"/>
        </w:rPr>
        <w:t xml:space="preserve">LaProp</w:t>
      </w:r>
      <w:r w:rsidDel="00000000" w:rsidR="00000000" w:rsidRPr="00000000">
        <w:rPr>
          <w:rtl w:val="0"/>
        </w:rPr>
        <w:t xml:space="preserve"> en Argentina o </w:t>
      </w:r>
      <w:r w:rsidDel="00000000" w:rsidR="00000000" w:rsidRPr="00000000">
        <w:rPr>
          <w:b w:val="1"/>
          <w:bCs w:val="1"/>
          <w:rtl w:val="0"/>
        </w:rPr>
        <w:t xml:space="preserve">Fundeo</w:t>
      </w:r>
      <w:r w:rsidDel="00000000" w:rsidR="00000000" w:rsidRPr="00000000">
        <w:rPr>
          <w:rtl w:val="0"/>
        </w:rPr>
        <w:t xml:space="preserve"> en México, que están comenzando a tokenizar propiedades localmente. Muchas de estas están aún en fase inicial, lo que indica que </w:t>
      </w:r>
      <w:r w:rsidDel="00000000" w:rsidR="00000000" w:rsidRPr="00000000">
        <w:rPr>
          <w:b w:val="1"/>
          <w:bCs w:val="1"/>
          <w:rtl w:val="0"/>
        </w:rPr>
        <w:t xml:space="preserve">nuestro proyecto se sitúa en la vanguardia regional</w:t>
      </w:r>
      <w:r w:rsidDel="00000000" w:rsidR="00000000" w:rsidRPr="00000000">
        <w:rPr>
          <w:rtl w:val="0"/>
        </w:rPr>
        <w:t xml:space="preserve">. Vale resaltar que el interés institucional está creciendo: informes de Boston Consulting Group predicen que la tokenización de activos ilíquidos podría alcanzar $16 billones (trillions) para 2030</w:t>
      </w:r>
      <w:hyperlink r:id="rId35">
        <w:r w:rsidDel="00000000" w:rsidR="00000000" w:rsidRPr="00000000">
          <w:rPr>
            <w:color w:val="1155cc"/>
            <w:u w:val="single"/>
            <w:rtl w:val="0"/>
          </w:rPr>
          <w:t xml:space="preserve">es.cointelegraph.com</w:t>
        </w:r>
      </w:hyperlink>
      <w:r w:rsidDel="00000000" w:rsidR="00000000" w:rsidRPr="00000000">
        <w:rPr>
          <w:rtl w:val="0"/>
        </w:rPr>
        <w:t xml:space="preserve">, con bienes raíces representando gran parte de ese mercado potencial. Grandes bancos (JPMorgan, UBS) y bolsas de valores (como la de </w:t>
      </w:r>
      <w:r w:rsidDel="00000000" w:rsidR="00000000" w:rsidRPr="00000000">
        <w:rPr>
          <w:b w:val="1"/>
          <w:bCs w:val="1"/>
          <w:rtl w:val="0"/>
        </w:rPr>
        <w:t xml:space="preserve">SIX en Suiza</w:t>
      </w:r>
      <w:r w:rsidDel="00000000" w:rsidR="00000000" w:rsidRPr="00000000">
        <w:rPr>
          <w:rtl w:val="0"/>
        </w:rPr>
        <w:t xml:space="preserve">) han lanzado plataformas piloto para negociar títulos tokenizados, incluyendo inmobiliarios. Esto valida que la tokenización no es moda pasajera sino posiblemente el futuro de los mercados de capitales.</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En conclusión, el </w:t>
      </w:r>
      <w:r w:rsidDel="00000000" w:rsidR="00000000" w:rsidRPr="00000000">
        <w:rPr>
          <w:b w:val="1"/>
          <w:bCs w:val="1"/>
          <w:rtl w:val="0"/>
        </w:rPr>
        <w:t xml:space="preserve">benchmark global</w:t>
      </w:r>
      <w:r w:rsidDel="00000000" w:rsidR="00000000" w:rsidRPr="00000000">
        <w:rPr>
          <w:rtl w:val="0"/>
        </w:rPr>
        <w:t xml:space="preserve"> nos muestra un panorama alentador: proyectos en diversas geografías han probado que la tokenización inmobiliaria funciona, </w:t>
      </w:r>
      <w:r w:rsidDel="00000000" w:rsidR="00000000" w:rsidRPr="00000000">
        <w:rPr>
          <w:i w:val="1"/>
          <w:iCs w:val="1"/>
          <w:rtl w:val="0"/>
        </w:rPr>
        <w:t xml:space="preserve">siempre que se cumpla con el marco legal y se ofrezca una buena experiencia al inversor</w:t>
      </w:r>
      <w:r w:rsidDel="00000000" w:rsidR="00000000" w:rsidRPr="00000000">
        <w:rPr>
          <w:rtl w:val="0"/>
        </w:rPr>
        <w:t xml:space="preserve">. Los casos de éxito enfatizan: </w:t>
      </w:r>
      <w:r w:rsidDel="00000000" w:rsidR="00000000" w:rsidRPr="00000000">
        <w:rPr>
          <w:b w:val="1"/>
          <w:bCs w:val="1"/>
          <w:rtl w:val="0"/>
        </w:rPr>
        <w:t xml:space="preserve">1)</w:t>
      </w:r>
      <w:r w:rsidDel="00000000" w:rsidR="00000000" w:rsidRPr="00000000">
        <w:rPr>
          <w:rtl w:val="0"/>
        </w:rPr>
        <w:t xml:space="preserve"> la importancia de la confianza (transparencia, cumplimiento), </w:t>
      </w:r>
      <w:r w:rsidDel="00000000" w:rsidR="00000000" w:rsidRPr="00000000">
        <w:rPr>
          <w:b w:val="1"/>
          <w:bCs w:val="1"/>
          <w:rtl w:val="0"/>
        </w:rPr>
        <w:t xml:space="preserve">2)</w:t>
      </w:r>
      <w:r w:rsidDel="00000000" w:rsidR="00000000" w:rsidRPr="00000000">
        <w:rPr>
          <w:rtl w:val="0"/>
        </w:rPr>
        <w:t xml:space="preserve"> la creación de liquidez (mercados secundarios activos), </w:t>
      </w:r>
      <w:r w:rsidDel="00000000" w:rsidR="00000000" w:rsidRPr="00000000">
        <w:rPr>
          <w:b w:val="1"/>
          <w:bCs w:val="1"/>
          <w:rtl w:val="0"/>
        </w:rPr>
        <w:t xml:space="preserve">3)</w:t>
      </w:r>
      <w:r w:rsidDel="00000000" w:rsidR="00000000" w:rsidRPr="00000000">
        <w:rPr>
          <w:rtl w:val="0"/>
        </w:rPr>
        <w:t xml:space="preserve"> el marketing y educación (demostrar caso de uso, asociarse con figuras de confianza), y </w:t>
      </w:r>
      <w:r w:rsidDel="00000000" w:rsidR="00000000" w:rsidRPr="00000000">
        <w:rPr>
          <w:b w:val="1"/>
          <w:bCs w:val="1"/>
          <w:rtl w:val="0"/>
        </w:rPr>
        <w:t xml:space="preserve">4)</w:t>
      </w:r>
      <w:r w:rsidDel="00000000" w:rsidR="00000000" w:rsidRPr="00000000">
        <w:rPr>
          <w:rtl w:val="0"/>
        </w:rPr>
        <w:t xml:space="preserve"> la innovación continua (integrarse con DeFi, mejorar producto). Aplicando estas lecciones, nuestro proyecto puede posicionarse no solo como un desarrollador de terreno en Lima, sino como un actor destacado en la revolución de RWA en Latinoamérica.</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llhtqekr5ck9" w:id="8"/>
      <w:bookmarkEnd w:id="8"/>
      <w:r w:rsidDel="00000000" w:rsidR="00000000" w:rsidRPr="00000000">
        <w:rPr>
          <w:b w:val="1"/>
          <w:bCs w:val="1"/>
          <w:sz w:val="34"/>
          <w:szCs w:val="34"/>
          <w:rtl w:val="0"/>
        </w:rPr>
        <w:t xml:space="preserve">8. Riesgos y oportunidades</w:t>
      </w:r>
    </w:p>
    <w:p w:rsidR="00000000" w:rsidDel="00000000" w:rsidP="00000000" w:rsidRDefault="00000000" w:rsidRPr="00000000" w14:paraId="00000050">
      <w:pPr>
        <w:spacing w:after="240" w:before="240" w:lineRule="auto"/>
        <w:rPr/>
      </w:pPr>
      <w:r w:rsidDel="00000000" w:rsidR="00000000" w:rsidRPr="00000000">
        <w:rPr>
          <w:rtl w:val="0"/>
        </w:rPr>
        <w:t xml:space="preserve">Como todo emprendimiento disruptivo, nuestro proyecto enfrenta una serie de </w:t>
      </w:r>
      <w:r w:rsidDel="00000000" w:rsidR="00000000" w:rsidRPr="00000000">
        <w:rPr>
          <w:b w:val="1"/>
          <w:bCs w:val="1"/>
          <w:rtl w:val="0"/>
        </w:rPr>
        <w:t xml:space="preserve">riesgos</w:t>
      </w:r>
      <w:r w:rsidDel="00000000" w:rsidR="00000000" w:rsidRPr="00000000">
        <w:rPr>
          <w:rtl w:val="0"/>
        </w:rPr>
        <w:t xml:space="preserve"> que deben gestionarse proactivamente, así como </w:t>
      </w:r>
      <w:r w:rsidDel="00000000" w:rsidR="00000000" w:rsidRPr="00000000">
        <w:rPr>
          <w:b w:val="1"/>
          <w:bCs w:val="1"/>
          <w:rtl w:val="0"/>
        </w:rPr>
        <w:t xml:space="preserve">oportunidades</w:t>
      </w:r>
      <w:r w:rsidDel="00000000" w:rsidR="00000000" w:rsidRPr="00000000">
        <w:rPr>
          <w:rtl w:val="0"/>
        </w:rPr>
        <w:t xml:space="preserve"> que podemos capitalizar. A continuación, presentamos un análisis resumido de los principales riesgos identificados (según diferentes ámbitos: legal⚖️, de mercado📉, tecnológico💻, etc.) junto con estrategias de mitigación, seguido de las oportunidades estratégicas: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Principales Riesgos (⚠️) y medidas de mitigación:</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Riesgo regulatorio o cambios normativos:</w:t>
      </w:r>
      <w:r w:rsidDel="00000000" w:rsidR="00000000" w:rsidRPr="00000000">
        <w:rPr>
          <w:rtl w:val="0"/>
        </w:rPr>
        <w:t xml:space="preserve"> La ausencia de regulación específica en Perú podría tornarse en una regulación restrictiva futura (por ejemplo, que la SMV exija licencia para tokenizaciones, o prohíba a no autorizados). Mitigación: mantener </w:t>
      </w:r>
      <w:r w:rsidDel="00000000" w:rsidR="00000000" w:rsidRPr="00000000">
        <w:rPr>
          <w:i w:val="1"/>
          <w:iCs w:val="1"/>
          <w:rtl w:val="0"/>
        </w:rPr>
        <w:t xml:space="preserve">diálogo cercano con reguladores</w:t>
      </w:r>
      <w:r w:rsidDel="00000000" w:rsidR="00000000" w:rsidRPr="00000000">
        <w:rPr>
          <w:rtl w:val="0"/>
        </w:rPr>
        <w:t xml:space="preserve">, quizás participar en la elaboración de normativa como caso de estudio; estructurar el proyecto bajo figuras existentes (fideicomiso, crowdfunding licenciado) para estar un paso adelante en cumplimiento; y tener flexibilidad para reubicación (en caso extremo, podríamos migrar la parte corporativa a una jurisdicción más amigable si Perú se pusiera muy restrictivo, aunque esa es última instancia). También contrataremos </w:t>
      </w:r>
      <w:r w:rsidDel="00000000" w:rsidR="00000000" w:rsidRPr="00000000">
        <w:rPr>
          <w:i w:val="1"/>
          <w:iCs w:val="1"/>
          <w:rtl w:val="0"/>
        </w:rPr>
        <w:t xml:space="preserve">asesoría legal continua</w:t>
      </w:r>
      <w:r w:rsidDel="00000000" w:rsidR="00000000" w:rsidRPr="00000000">
        <w:rPr>
          <w:rtl w:val="0"/>
        </w:rPr>
        <w:t xml:space="preserve"> y monitorización de cambios legislativos.</w:t>
        <w:br w:type="textWrapping"/>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Riesgo legal de propiedad:</w:t>
      </w:r>
      <w:r w:rsidDel="00000000" w:rsidR="00000000" w:rsidRPr="00000000">
        <w:rPr>
          <w:rtl w:val="0"/>
        </w:rPr>
        <w:t xml:space="preserve"> Algún problema con el título del terreno (litigio, reivindicación, gravamen no detectado) que afecte el respaldo de los tokens. Mitigación: </w:t>
      </w:r>
      <w:r w:rsidDel="00000000" w:rsidR="00000000" w:rsidRPr="00000000">
        <w:rPr>
          <w:b w:val="1"/>
          <w:bCs w:val="1"/>
          <w:rtl w:val="0"/>
        </w:rPr>
        <w:t xml:space="preserve">due diligence exhaustiva</w:t>
      </w:r>
      <w:r w:rsidDel="00000000" w:rsidR="00000000" w:rsidRPr="00000000">
        <w:rPr>
          <w:rtl w:val="0"/>
        </w:rPr>
        <w:t xml:space="preserve"> del predio antes de tokenizar (estudios registrales, verificación en SUNARP de cargas, obtención de certificados de dominio y gravamen limpios). Adicionalmente, contratar un </w:t>
      </w:r>
      <w:r w:rsidDel="00000000" w:rsidR="00000000" w:rsidRPr="00000000">
        <w:rPr>
          <w:b w:val="1"/>
          <w:bCs w:val="1"/>
          <w:rtl w:val="0"/>
        </w:rPr>
        <w:t xml:space="preserve">seguro de título</w:t>
      </w:r>
      <w:r w:rsidDel="00000000" w:rsidR="00000000" w:rsidRPr="00000000">
        <w:rPr>
          <w:rtl w:val="0"/>
        </w:rPr>
        <w:t xml:space="preserve"> podría considerarse, para proteger contra sorpresas (es un costo pero brinda tranquilidad a inversionistas). También, mantener fondos de reserva para afrontar cualquier acción legal imprevista.</w:t>
        <w:br w:type="textWrapping"/>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Riesgo de escasa liquidez inicial:</w:t>
      </w:r>
      <w:r w:rsidDel="00000000" w:rsidR="00000000" w:rsidRPr="00000000">
        <w:rPr>
          <w:rtl w:val="0"/>
        </w:rPr>
        <w:t xml:space="preserve"> Si tras la venta inicial los tokens no tienen suficiente volumen de negociación, los inversionistas podrían verse atrapados sin poder vender cuando deseen, erosionando la confianza en el proyecto. Mitigación: fomentar la liquidez mediante </w:t>
      </w:r>
      <w:r w:rsidDel="00000000" w:rsidR="00000000" w:rsidRPr="00000000">
        <w:rPr>
          <w:b w:val="1"/>
          <w:bCs w:val="1"/>
          <w:rtl w:val="0"/>
        </w:rPr>
        <w:t xml:space="preserve">market making interno</w:t>
      </w:r>
      <w:r w:rsidDel="00000000" w:rsidR="00000000" w:rsidRPr="00000000">
        <w:rPr>
          <w:rtl w:val="0"/>
        </w:rPr>
        <w:t xml:space="preserve"> (crear un fondo de liquidez, previsto ya con unos $50,000, para ofrecer contrapartida de compra/venta en el mercado secundario), incentivos a early adopters (ej. descuentos o bonus tokens a quienes mantengan sus tokens cierto tiempo para evitar ventas masivas al inicio), y buscar listing en algún exchange/DEX reconocido para ampliar la base de traders. También planificación de programas de </w:t>
      </w:r>
      <w:r w:rsidDel="00000000" w:rsidR="00000000" w:rsidRPr="00000000">
        <w:rPr>
          <w:i w:val="1"/>
          <w:iCs w:val="1"/>
          <w:rtl w:val="0"/>
        </w:rPr>
        <w:t xml:space="preserve">buyback</w:t>
      </w:r>
      <w:r w:rsidDel="00000000" w:rsidR="00000000" w:rsidRPr="00000000">
        <w:rPr>
          <w:rtl w:val="0"/>
        </w:rPr>
        <w:t xml:space="preserve"> escalonados: por ejemplo, destinar parte de ingresos futuros para recomprar tokens en mercado abierto si el precio cae demasiado, brindando piso de liquidez.</w:t>
        <w:br w:type="textWrapping"/>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Riesgo de mercado inmobiliario:</w:t>
      </w:r>
      <w:r w:rsidDel="00000000" w:rsidR="00000000" w:rsidRPr="00000000">
        <w:rPr>
          <w:rtl w:val="0"/>
        </w:rPr>
        <w:t xml:space="preserve"> Si la esperada valorización no se concreta o se retrasa (por ejemplo, si el tren Lima–Ica sufre atrasos significativos o se reduce su alcance), los terrenos podrían no subir de valor al ritmo proyectado. También, factores macroeconómicos (recesión, crisis política) podrían deprimir los precios de suelo o la demanda de inversión. Mitigación: presentar </w:t>
      </w:r>
      <w:r w:rsidDel="00000000" w:rsidR="00000000" w:rsidRPr="00000000">
        <w:rPr>
          <w:b w:val="1"/>
          <w:bCs w:val="1"/>
          <w:rtl w:val="0"/>
        </w:rPr>
        <w:t xml:space="preserve">escenarios realistas</w:t>
      </w:r>
      <w:r w:rsidDel="00000000" w:rsidR="00000000" w:rsidRPr="00000000">
        <w:rPr>
          <w:rtl w:val="0"/>
        </w:rPr>
        <w:t xml:space="preserve"> (como hicimos con caso pesimista $35/m²) para que inversionistas entiendan que hay variabilidad; diversificar en lo posible el portafolio (a futuro tokenizar otros terrenos en zonas distintas para no depender de un solo proyecto); y enfatizar el valor intrínseco – en el peor caso el inversor sigue poseyendo tierra en propiedad, un activo real y limitado en oferta, lo cual históricamente tiende a conservar valor a largo plazo. Adicionalmente, contar con un plan B de </w:t>
      </w:r>
      <w:r w:rsidDel="00000000" w:rsidR="00000000" w:rsidRPr="00000000">
        <w:rPr>
          <w:b w:val="1"/>
          <w:bCs w:val="1"/>
          <w:rtl w:val="0"/>
        </w:rPr>
        <w:t xml:space="preserve">desarrollo</w:t>
      </w:r>
      <w:r w:rsidDel="00000000" w:rsidR="00000000" w:rsidRPr="00000000">
        <w:rPr>
          <w:rtl w:val="0"/>
        </w:rPr>
        <w:t xml:space="preserve">: si el valor no sube simplemente manteniendo el terreno, podríamos evaluar desarrollar parcialmente (ej. lotear una parte para venta tradicional o construir algún atractivo) para forzar un aumento de valor.</w:t>
        <w:br w:type="textWrapping"/>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Riesgo tecnológico:</w:t>
      </w:r>
      <w:r w:rsidDel="00000000" w:rsidR="00000000" w:rsidRPr="00000000">
        <w:rPr>
          <w:rtl w:val="0"/>
        </w:rPr>
        <w:t xml:space="preserve"> Fallas en los smart contracts (bugs explotables) o ciberataques que comprometan los fondos/token. Mitigación: </w:t>
      </w:r>
      <w:r w:rsidDel="00000000" w:rsidR="00000000" w:rsidRPr="00000000">
        <w:rPr>
          <w:i w:val="1"/>
          <w:iCs w:val="1"/>
          <w:rtl w:val="0"/>
        </w:rPr>
        <w:t xml:space="preserve">auditorías profesionales</w:t>
      </w:r>
      <w:r w:rsidDel="00000000" w:rsidR="00000000" w:rsidRPr="00000000">
        <w:rPr>
          <w:rtl w:val="0"/>
        </w:rPr>
        <w:t xml:space="preserve"> de contratos antes del despliegue; implementar pruebas en testnet y quizás un bounty program para que la comunidad intente hackear en ambiente controlado; infra de seguridad robusta (ya detallada en sección 6). También tener planes de contingencia: por ejemplo, si algo crítico ocurre, tener la capacidad de pausar contratos (multisig de emergencia) para evitar mayor daño mientras se resuelve.</w:t>
        <w:br w:type="textWrapping"/>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Riesgo de desconfianza del público:</w:t>
      </w:r>
      <w:r w:rsidDel="00000000" w:rsidR="00000000" w:rsidRPr="00000000">
        <w:rPr>
          <w:rtl w:val="0"/>
        </w:rPr>
        <w:t xml:space="preserve"> Al ser algo novedoso, muchos podrían temer que se trate de un </w:t>
      </w:r>
      <w:r w:rsidDel="00000000" w:rsidR="00000000" w:rsidRPr="00000000">
        <w:rPr>
          <w:b w:val="1"/>
          <w:bCs w:val="1"/>
          <w:rtl w:val="0"/>
        </w:rPr>
        <w:t xml:space="preserve">esquema fraudulento</w:t>
      </w:r>
      <w:r w:rsidDel="00000000" w:rsidR="00000000" w:rsidRPr="00000000">
        <w:rPr>
          <w:rtl w:val="0"/>
        </w:rPr>
        <w:t xml:space="preserve"> o simplemente no entenderlo y no participar. Mitigación: </w:t>
      </w:r>
      <w:r w:rsidDel="00000000" w:rsidR="00000000" w:rsidRPr="00000000">
        <w:rPr>
          <w:b w:val="1"/>
          <w:bCs w:val="1"/>
          <w:rtl w:val="0"/>
        </w:rPr>
        <w:t xml:space="preserve">transparencia absoluta</w:t>
      </w:r>
      <w:r w:rsidDel="00000000" w:rsidR="00000000" w:rsidRPr="00000000">
        <w:rPr>
          <w:rtl w:val="0"/>
        </w:rPr>
        <w:t xml:space="preserve"> en nuestras comunicaciones, mostrando cara (equipo con nombres y trayectorias), publicando el whitepaper con todos los detalles, haciendo AMA (Ask Me Anything) y charlas educativas. Además, buscar </w:t>
      </w:r>
      <w:r w:rsidDel="00000000" w:rsidR="00000000" w:rsidRPr="00000000">
        <w:rPr>
          <w:i w:val="1"/>
          <w:iCs w:val="1"/>
          <w:rtl w:val="0"/>
        </w:rPr>
        <w:t xml:space="preserve">respaldo de terceros confiables</w:t>
      </w:r>
      <w:r w:rsidDel="00000000" w:rsidR="00000000" w:rsidRPr="00000000">
        <w:rPr>
          <w:rtl w:val="0"/>
        </w:rPr>
        <w:t xml:space="preserve">: alianzas con instituciones (p.ej. una universidad, o incubadora fintech reconocida), y obviamente cumplimiento KYC/AML para dar seriedad. La educación será clave: explicar en términos simples cómo el token está respaldado por tierra real y qué derechos confiere, para ganar la confianza incluso de inversionistas tradicionales. También podemos ofrecer un periodo de garantía de recompra para los primeros inversores (ej., si después de 1 año no están a gusto, la empresa recompra sus tokens al precio compra inicial); esto reduciría la percepción de riesgo al entrar.</w:t>
        <w:br w:type="textWrapping"/>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Riesgo operativo y de ejecución:</w:t>
      </w:r>
      <w:r w:rsidDel="00000000" w:rsidR="00000000" w:rsidRPr="00000000">
        <w:rPr>
          <w:rtl w:val="0"/>
        </w:rPr>
        <w:t xml:space="preserve"> Emprender un proyecto así requiere coordinar expertos legales, de TI, marketing, etc. Existe riesgo de retrasos en desarrollo de la plataforma, sobrecostos, o problemas de coordinación. Mitigación: seguir una </w:t>
      </w:r>
      <w:r w:rsidDel="00000000" w:rsidR="00000000" w:rsidRPr="00000000">
        <w:rPr>
          <w:b w:val="1"/>
          <w:bCs w:val="1"/>
          <w:rtl w:val="0"/>
        </w:rPr>
        <w:t xml:space="preserve">planificación realista (roadmap)</w:t>
      </w:r>
      <w:r w:rsidDel="00000000" w:rsidR="00000000" w:rsidRPr="00000000">
        <w:rPr>
          <w:rtl w:val="0"/>
        </w:rPr>
        <w:t xml:space="preserve"> con hitos claros: e.g. Mes 1-2 legal y técnico, Mes 3 lanzamiento, etc. (según nuestro roadmap preliminar). Mantener un presupuesto de contingencia dentro del plan financiero para imprevistos (costos legales adicionales, etc.). Además, conformar un </w:t>
      </w:r>
      <w:r w:rsidDel="00000000" w:rsidR="00000000" w:rsidRPr="00000000">
        <w:rPr>
          <w:b w:val="1"/>
          <w:bCs w:val="1"/>
          <w:rtl w:val="0"/>
        </w:rPr>
        <w:t xml:space="preserve">equipo sólido y multidisciplinario</w:t>
      </w:r>
      <w:r w:rsidDel="00000000" w:rsidR="00000000" w:rsidRPr="00000000">
        <w:rPr>
          <w:rtl w:val="0"/>
        </w:rPr>
        <w:t xml:space="preserve"> – ya identificado en recursos necesarios: necesitamos un abogado RWA, un desarrollador blockchain, marketing Web3, community manager, etc. – e idealmente retener talento clave con incentivos (equity del proyecto, tokens). También implementar metodologías ágiles para el desarrollo tech de modo que se detecten desviaciones rápidamente y se corrijan.</w:t>
        <w:br w:type="textWrapping"/>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Riesgo reputacional o legal por mal uso de la plataforma:</w:t>
      </w:r>
      <w:r w:rsidDel="00000000" w:rsidR="00000000" w:rsidRPr="00000000">
        <w:rPr>
          <w:rtl w:val="0"/>
        </w:rPr>
        <w:t xml:space="preserve"> Debemos prevenir que nuestra plataforma/token sea usada para lavado de dinero o que compradores de mala fe acaparen tokens para manipular el mercado. Mitigación: estrictos procedimientos KYC/AML (todos los inversores identificados, umbrales de reporte para montos grandes inusuales, etc.). Políticas de límite de tenencia si necesario (por ej., ningún individuo puede poseer &gt; X% de tokens sin aprobación, para evitar concentración excesiva). Y monitoreo continuo de transacciones sospechosas, trabajando con proveedores de análisis blockchain si se detectara algo irregular.</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En el siguiente cuadro resumimos algunos de estos riesgos y sus mitigaciones principales, a modo de checklist estratégico: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432660939075"/>
        <w:gridCol w:w="6818.079150084549"/>
        <w:tblGridChange w:id="0">
          <w:tblGrid>
            <w:gridCol w:w="2207.432660939075"/>
            <w:gridCol w:w="6818.07915008454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Estrategia de Mitigación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Cambios regulatorios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Alianza con estudios legales, adaptación a nuevas normativas; estructura fiduciaria desde inicio.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Baja liquidez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Fondo market-maker, descuentos early adopter, recompra de tokens si es necesario.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Fallas tecnológicas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Auditorías de smart contracts, contratar plataformas con experiencia; plan de respuesta ante incidentes.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Desconfianza del público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Transparencia total, educación constante, KYC obligatorio para seriedad; respaldos de terceros.</w:t>
            </w:r>
          </w:p>
        </w:tc>
      </w:tr>
    </w:tbl>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(Fuente: Business Plan interno y análisis propio.)</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Oportunidades clave (📈) a aprovechar:</w:t>
      </w:r>
    </w:p>
    <w:p w:rsidR="00000000" w:rsidDel="00000000" w:rsidP="00000000" w:rsidRDefault="00000000" w:rsidRPr="00000000" w14:paraId="00000067">
      <w:pPr>
        <w:spacing w:after="240" w:before="240" w:lineRule="auto"/>
        <w:rPr/>
      </w:pPr>
      <w:r w:rsidDel="00000000" w:rsidR="00000000" w:rsidRPr="00000000">
        <w:rPr>
          <w:rtl w:val="0"/>
        </w:rPr>
        <w:t xml:space="preserve">Por contraparte, el proyecto cuenta con varias </w:t>
      </w:r>
      <w:r w:rsidDel="00000000" w:rsidR="00000000" w:rsidRPr="00000000">
        <w:rPr>
          <w:b w:val="1"/>
          <w:bCs w:val="1"/>
          <w:rtl w:val="0"/>
        </w:rPr>
        <w:t xml:space="preserve">oportunidades</w:t>
      </w:r>
      <w:r w:rsidDel="00000000" w:rsidR="00000000" w:rsidRPr="00000000">
        <w:rPr>
          <w:rtl w:val="0"/>
        </w:rPr>
        <w:t xml:space="preserve"> que, bien explotadas, pueden amplificar su éxito:</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Primer jugador en el mercado peruano:</w:t>
      </w:r>
      <w:r w:rsidDel="00000000" w:rsidR="00000000" w:rsidRPr="00000000">
        <w:rPr>
          <w:rtl w:val="0"/>
        </w:rPr>
        <w:t xml:space="preserve"> Ser los primeros en tokenizar un inmueble localmente nos otorga </w:t>
      </w:r>
      <w:r w:rsidDel="00000000" w:rsidR="00000000" w:rsidRPr="00000000">
        <w:rPr>
          <w:i w:val="1"/>
          <w:iCs w:val="1"/>
          <w:rtl w:val="0"/>
        </w:rPr>
        <w:t xml:space="preserve">ventaja de pionero</w:t>
      </w:r>
      <w:r w:rsidDel="00000000" w:rsidR="00000000" w:rsidRPr="00000000">
        <w:rPr>
          <w:rtl w:val="0"/>
        </w:rPr>
        <w:t xml:space="preserve">. Podemos construir marca y reputación antes de que surja competencia similar. Esta oportunidad de posicionamiento incluye volverse referencia ante medios y foros fintech inmobiliario en Perú, atrayendo atención gratuita (publicity). Asimismo, si logramos casos de éxito, podríamos </w:t>
      </w:r>
      <w:r w:rsidDel="00000000" w:rsidR="00000000" w:rsidRPr="00000000">
        <w:rPr>
          <w:b w:val="1"/>
          <w:bCs w:val="1"/>
          <w:rtl w:val="0"/>
        </w:rPr>
        <w:t xml:space="preserve">escalar el modelo</w:t>
      </w:r>
      <w:r w:rsidDel="00000000" w:rsidR="00000000" w:rsidRPr="00000000">
        <w:rPr>
          <w:rtl w:val="0"/>
        </w:rPr>
        <w:t xml:space="preserve"> replicándolo con otros terrenos o proyectos, convirtiéndonos en la plataforma líder peruana de RWA. Existe incluso la oportunidad de asesorar a terceros en el futuro (monetizando nuestro know-how en tokenización).</w:t>
        <w:br w:type="textWrapping"/>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Capitalización del boom Lima Sur:</w:t>
      </w:r>
      <w:r w:rsidDel="00000000" w:rsidR="00000000" w:rsidRPr="00000000">
        <w:rPr>
          <w:rtl w:val="0"/>
        </w:rPr>
        <w:t xml:space="preserve"> El tren Lima–Ica y el plan Lima Sur 2035 están generando mucho interés; tenemos la oportunidad de </w:t>
      </w:r>
      <w:r w:rsidDel="00000000" w:rsidR="00000000" w:rsidRPr="00000000">
        <w:rPr>
          <w:i w:val="1"/>
          <w:iCs w:val="1"/>
          <w:rtl w:val="0"/>
        </w:rPr>
        <w:t xml:space="preserve">montar esa ola</w:t>
      </w:r>
      <w:r w:rsidDel="00000000" w:rsidR="00000000" w:rsidRPr="00000000">
        <w:rPr>
          <w:rtl w:val="0"/>
        </w:rPr>
        <w:t xml:space="preserve"> y presentar nuestro proyecto como “la forma de invertir en el boom del sur sin millones de dólares”. Es decir, capitalizar la narrativa de que Lima Sur será la “Nueva Lima” con alto retorno. Podemos alinear nuestras campañas de marketing con las noticias positivas: cada avance del tren o anuncio gubernamental que beneficia la zona será insumo para promocionar la oportunidad de inversión (ej. “¡Terrenos en San Bartolo subirán de valor con el tren! Adquiere hoy tokens desde $10 y sé parte de este crecimiento.”).</w:t>
        <w:br w:type="textWrapping"/>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Atracción de inversión extranjera y de la diáspora:</w:t>
      </w:r>
      <w:r w:rsidDel="00000000" w:rsidR="00000000" w:rsidRPr="00000000">
        <w:rPr>
          <w:rtl w:val="0"/>
        </w:rPr>
        <w:t xml:space="preserve"> A diferencia de proyectos locales tradicionales, al usar blockchain tenemos la oportunidad de atraer fondos de cualquier parte del mundo. Inversionistas extranjeros que creen en el potencial emergente de Perú (fondos cripto, entusiastas de mercados frontera) pueden encontrar interesante comprar tokens de un terreno que apunta a duplicar valor. Igualmente, como se mencionó, peruanos en el exterior con nostalgia y deseo de invertir en su país pueden canalizar fácilmente sus ahorros a través de esta plataforma. Esto amplía enormemente el universo de potenciales compradores más allá de las fronteras peruanas.</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Apalancamiento de comunidad cripto/Web3:</w:t>
      </w:r>
      <w:r w:rsidDel="00000000" w:rsidR="00000000" w:rsidRPr="00000000">
        <w:rPr>
          <w:rtl w:val="0"/>
        </w:rPr>
        <w:t xml:space="preserve"> La comunidad cripto global valora los RWA porque les brinda respaldo tangible a sus holdings. Existe una tendencia en 2023-2025 llamada “RWA Summer” donde muchos protocolos buscan tokenizar activos reales para dar estabilidad a DeFi. Podemos conectar con ese movimiento: listar nuestro token en plataformas DeFi, o usarlo como ejemplo en foros, para atraer a la comunidad cripto a invertir. Si logramos que entusiastas de Web3 hablen del proyecto como un caso innovador en LatAm, ganaremos impulso y posiblemente liquidez adicional (por ejemplo, usuarios de plataformas como MakerDAO están buscando RWA como colaterales; no descartamos en un futuro que nuestros tokens puedan usarse así). En suma, la oportunidad es </w:t>
      </w:r>
      <w:r w:rsidDel="00000000" w:rsidR="00000000" w:rsidRPr="00000000">
        <w:rPr>
          <w:b w:val="1"/>
          <w:bCs w:val="1"/>
          <w:rtl w:val="0"/>
        </w:rPr>
        <w:t xml:space="preserve">surfear la ola RWA</w:t>
      </w:r>
      <w:r w:rsidDel="00000000" w:rsidR="00000000" w:rsidRPr="00000000">
        <w:rPr>
          <w:rtl w:val="0"/>
        </w:rPr>
        <w:t xml:space="preserve"> global, diferenciándonos como proyecto proveniente de Latinoamérica.</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Potencial expansión a nuevos negocios:</w:t>
      </w:r>
      <w:r w:rsidDel="00000000" w:rsidR="00000000" w:rsidRPr="00000000">
        <w:rPr>
          <w:rtl w:val="0"/>
        </w:rPr>
        <w:t xml:space="preserve"> Una vez tokenizado el terreno, se abren puertas a oportunidades adyacentes. Por ejemplo, podríamos desarrollar en el terreno alguna instalación temporal (un parque de paneles solares, o arrendarlo para un evento) y distribuir esas rentas a tokenholders, diversificando ingresos. Otra oportunidad es, cuando la apreciación haya ocurrido, lanzar un </w:t>
      </w:r>
      <w:r w:rsidDel="00000000" w:rsidR="00000000" w:rsidRPr="00000000">
        <w:rPr>
          <w:b w:val="1"/>
          <w:bCs w:val="1"/>
          <w:rtl w:val="0"/>
        </w:rPr>
        <w:t xml:space="preserve">proyecto inmobiliario construido</w:t>
      </w:r>
      <w:r w:rsidDel="00000000" w:rsidR="00000000" w:rsidRPr="00000000">
        <w:rPr>
          <w:rtl w:val="0"/>
        </w:rPr>
        <w:t xml:space="preserve"> (ej. un condominio) en parte del terreno, financiado mediante la misma comunidad tokenholder (quienes tendrían preferencia para invertir en esa nueva etapa). También está la posibilidad de crear un </w:t>
      </w:r>
      <w:r w:rsidDel="00000000" w:rsidR="00000000" w:rsidRPr="00000000">
        <w:rPr>
          <w:b w:val="1"/>
          <w:bCs w:val="1"/>
          <w:rtl w:val="0"/>
        </w:rPr>
        <w:t xml:space="preserve">DAO inmobiliaria</w:t>
      </w:r>
      <w:r w:rsidDel="00000000" w:rsidR="00000000" w:rsidRPr="00000000">
        <w:rPr>
          <w:rtl w:val="0"/>
        </w:rPr>
        <w:t xml:space="preserve">: si tokenholders quisieran, podrían organizarse para votar qué hacer con el terreno a largo plazo (vender, desarrollar, mantener), convirtiendo el proyecto en una suerte de comunidad de inversión con gobernanza descentralizada – lo cual sería innovador en la región.</w:t>
        <w:br w:type="textWrapping"/>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Apoyo gubernamental o alianzas públicas:</w:t>
      </w:r>
      <w:r w:rsidDel="00000000" w:rsidR="00000000" w:rsidRPr="00000000">
        <w:rPr>
          <w:rtl w:val="0"/>
        </w:rPr>
        <w:t xml:space="preserve"> Dado que nuestro proyecto va en línea con objetivos de desarrollo (formalizar inversiones, impulsar vivienda, atraer capitales), existe oportunidad de recibir apoyo institucional. Podríamos aliarnos con programas estatales de vivienda (por ejemplo, ¿podría tokenizarse algún proyecto de </w:t>
      </w:r>
      <w:r w:rsidDel="00000000" w:rsidR="00000000" w:rsidRPr="00000000">
        <w:rPr>
          <w:i w:val="1"/>
          <w:iCs w:val="1"/>
          <w:rtl w:val="0"/>
        </w:rPr>
        <w:t xml:space="preserve">MiVivienda</w:t>
      </w:r>
      <w:r w:rsidDel="00000000" w:rsidR="00000000" w:rsidRPr="00000000">
        <w:rPr>
          <w:rtl w:val="0"/>
        </w:rPr>
        <w:t xml:space="preserve"> en el futuro?), o recibir reconocimiento del gobierno como iniciativa fintech beneficiosa. Si el Estado peruano lanza un sandbox regulatorio fintech (lo cual se ha discutido), podríamos aplicar y ser parte, obteniendo visibilidad y validación oficial. Este tipo de alianza pública-privada nos daría un espaldarazo de credibilidad y quizás acceso a datos o recursos (imaginemos, por ejemplo, que Cofide co-invierta o avale parte del fideicomiso, eso tranquilizaría a muchos inversores).</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En resumen, aunque no subestimamos los riesgos, </w:t>
      </w:r>
      <w:r w:rsidDel="00000000" w:rsidR="00000000" w:rsidRPr="00000000">
        <w:rPr>
          <w:b w:val="1"/>
          <w:bCs w:val="1"/>
          <w:rtl w:val="0"/>
        </w:rPr>
        <w:t xml:space="preserve">las oportunidades son significativas y motivadoras</w:t>
      </w:r>
      <w:r w:rsidDel="00000000" w:rsidR="00000000" w:rsidRPr="00000000">
        <w:rPr>
          <w:rtl w:val="0"/>
        </w:rPr>
        <w:t xml:space="preserve">. Con una gestión adecuada, podemos convertir riesgos en ventajas (por ejemplo, la falta de regulación la convertimos en oportunidad para liderar su construcción, influyendo positivamente). La clave estratégica será: </w:t>
      </w:r>
      <w:r w:rsidDel="00000000" w:rsidR="00000000" w:rsidRPr="00000000">
        <w:rPr>
          <w:i w:val="1"/>
          <w:iCs w:val="1"/>
          <w:rtl w:val="0"/>
        </w:rPr>
        <w:t xml:space="preserve">maximizar la exposición a las fuerzas positivas (boom Lima Sur, tendencia tokenización, comunidad cripto) mientras minimizamos la exposición a las negativas (riesgos legales, desconfianza)</w:t>
      </w:r>
      <w:r w:rsidDel="00000000" w:rsidR="00000000" w:rsidRPr="00000000">
        <w:rPr>
          <w:rtl w:val="0"/>
        </w:rPr>
        <w:t xml:space="preserve">. Un enfoque diligente, con gobierno corporativo sólido y comunicación transparente, nos permitirá navegar incertidumbres y aprovechar la ventana de oportunidad única que tenemos frente a nosotros.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2kpt49sb2me4" w:id="9"/>
      <w:bookmarkEnd w:id="9"/>
      <w:r w:rsidDel="00000000" w:rsidR="00000000" w:rsidRPr="00000000">
        <w:rPr>
          <w:b w:val="1"/>
          <w:bCs w:val="1"/>
          <w:sz w:val="34"/>
          <w:szCs w:val="34"/>
          <w:rtl w:val="0"/>
        </w:rPr>
        <w:t xml:space="preserve">9. Proyecciones financieras y escenarios (demanda de tokens, ROI, salidas)</w:t>
      </w:r>
    </w:p>
    <w:p w:rsidR="00000000" w:rsidDel="00000000" w:rsidP="00000000" w:rsidRDefault="00000000" w:rsidRPr="00000000" w14:paraId="00000070">
      <w:pPr>
        <w:spacing w:after="240" w:before="240" w:lineRule="auto"/>
        <w:rPr/>
      </w:pPr>
      <w:r w:rsidDel="00000000" w:rsidR="00000000" w:rsidRPr="00000000">
        <w:rPr>
          <w:rtl w:val="0"/>
        </w:rPr>
        <w:t xml:space="preserve">En este apartado desarrollamos las </w:t>
      </w:r>
      <w:r w:rsidDel="00000000" w:rsidR="00000000" w:rsidRPr="00000000">
        <w:rPr>
          <w:b w:val="1"/>
          <w:bCs w:val="1"/>
          <w:rtl w:val="0"/>
        </w:rPr>
        <w:t xml:space="preserve">proyecciones financieras</w:t>
      </w:r>
      <w:r w:rsidDel="00000000" w:rsidR="00000000" w:rsidRPr="00000000">
        <w:rPr>
          <w:rtl w:val="0"/>
        </w:rPr>
        <w:t xml:space="preserve"> del proyecto, presentando escenarios de colocación de tokens, retorno de la inversión y posibles vías de salida para los inversionistas. Las cifras base se toman del business plan y se complementan con estimaciones razonadas (marcadas como supuestas).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Supuestos iniciales:</w:t>
      </w:r>
      <w:r w:rsidDel="00000000" w:rsidR="00000000" w:rsidRPr="00000000">
        <w:rPr>
          <w:rtl w:val="0"/>
        </w:rPr>
        <w:t xml:space="preserve"> Tokenizaremos </w:t>
      </w:r>
      <w:r w:rsidDel="00000000" w:rsidR="00000000" w:rsidRPr="00000000">
        <w:rPr>
          <w:b w:val="1"/>
          <w:bCs w:val="1"/>
          <w:rtl w:val="0"/>
        </w:rPr>
        <w:t xml:space="preserve">5 hectáreas (50,000 m²)</w:t>
      </w:r>
      <w:r w:rsidDel="00000000" w:rsidR="00000000" w:rsidRPr="00000000">
        <w:rPr>
          <w:rtl w:val="0"/>
        </w:rPr>
        <w:t xml:space="preserve"> a un valor inicial de </w:t>
      </w:r>
      <w:r w:rsidDel="00000000" w:rsidR="00000000" w:rsidRPr="00000000">
        <w:rPr>
          <w:b w:val="1"/>
          <w:bCs w:val="1"/>
          <w:rtl w:val="0"/>
        </w:rPr>
        <w:t xml:space="preserve">USD $25/m²</w:t>
      </w:r>
      <w:r w:rsidDel="00000000" w:rsidR="00000000" w:rsidRPr="00000000">
        <w:rPr>
          <w:rtl w:val="0"/>
        </w:rPr>
        <w:t xml:space="preserve">, lo que equivale a un </w:t>
      </w:r>
      <w:r w:rsidDel="00000000" w:rsidR="00000000" w:rsidRPr="00000000">
        <w:rPr>
          <w:b w:val="1"/>
          <w:bCs w:val="1"/>
          <w:rtl w:val="0"/>
        </w:rPr>
        <w:t xml:space="preserve">ingreso bruto proyectado de USD $1,250,000</w:t>
      </w:r>
      <w:r w:rsidDel="00000000" w:rsidR="00000000" w:rsidRPr="00000000">
        <w:rPr>
          <w:rtl w:val="0"/>
        </w:rPr>
        <w:t xml:space="preserve"> por la venta total de tokens. Este sería el monto a captar de inversionistas. El análisis de costos del proyecto considera tanto los gastos directos de implementación como reservas para contingencias:</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i w:val="1"/>
          <w:iCs w:val="1"/>
          <w:rtl w:val="0"/>
        </w:rPr>
        <w:t xml:space="preserve">Desarrollo legal y estructuración fiduciaria:</w:t>
      </w:r>
      <w:r w:rsidDel="00000000" w:rsidR="00000000" w:rsidRPr="00000000">
        <w:rPr>
          <w:rtl w:val="0"/>
        </w:rPr>
        <w:t xml:space="preserve"> ~USD $75,000. Incluye honorarios legales, creación de fideicomiso/empresa, registros regulatorios, auditorías legales.</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i w:val="1"/>
          <w:iCs w:val="1"/>
          <w:rtl w:val="0"/>
        </w:rPr>
        <w:t xml:space="preserve">Desarrollo tecnológico (plataforma, smart contracts):</w:t>
      </w:r>
      <w:r w:rsidDel="00000000" w:rsidR="00000000" w:rsidRPr="00000000">
        <w:rPr>
          <w:rtl w:val="0"/>
        </w:rPr>
        <w:t xml:space="preserve"> ~USD $60,000. Pago a desarrolladores, auditoría de código, infraestructura cloud inicial.</w:t>
        <w:br w:type="textWrapping"/>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i w:val="1"/>
          <w:iCs w:val="1"/>
          <w:rtl w:val="0"/>
        </w:rPr>
        <w:t xml:space="preserve">Marketing y adquisición de usuarios:</w:t>
      </w:r>
      <w:r w:rsidDel="00000000" w:rsidR="00000000" w:rsidRPr="00000000">
        <w:rPr>
          <w:rtl w:val="0"/>
        </w:rPr>
        <w:t xml:space="preserve"> ~USD $50,000. Campañas digitales en Perú/LATAM, contenido educativo, eventos de lanzamiento, referral program.</w:t>
        <w:br w:type="textWrapping"/>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i w:val="1"/>
          <w:iCs w:val="1"/>
          <w:rtl w:val="0"/>
        </w:rPr>
        <w:t xml:space="preserve">Equipo operativo y administración:</w:t>
      </w:r>
      <w:r w:rsidDel="00000000" w:rsidR="00000000" w:rsidRPr="00000000">
        <w:rPr>
          <w:rtl w:val="0"/>
        </w:rPr>
        <w:t xml:space="preserve"> ~USD $100,000. Sueldos del equipo núcleo (project manager, community manager, soporte legal y técnico) al menos por el primer año.</w:t>
        <w:br w:type="textWrapping"/>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i w:val="1"/>
          <w:iCs w:val="1"/>
          <w:rtl w:val="0"/>
        </w:rPr>
        <w:t xml:space="preserve">Fondo de liquidez y seguridad:</w:t>
      </w:r>
      <w:r w:rsidDel="00000000" w:rsidR="00000000" w:rsidRPr="00000000">
        <w:rPr>
          <w:rtl w:val="0"/>
        </w:rPr>
        <w:t xml:space="preserve"> ~USD $50,000. Fondo separado para proveer liquidez inicial en mercado secundario (market making) y para cualquier emergencia tecnológica o legal.</w:t>
        <w:br w:type="textWrapping"/>
      </w:r>
    </w:p>
    <w:p w:rsidR="00000000" w:rsidDel="00000000" w:rsidP="00000000" w:rsidRDefault="00000000" w:rsidRPr="00000000" w14:paraId="00000077">
      <w:pPr>
        <w:spacing w:after="240" w:before="240" w:lineRule="auto"/>
        <w:rPr/>
      </w:pPr>
      <w:r w:rsidDel="00000000" w:rsidR="00000000" w:rsidRPr="00000000">
        <w:rPr>
          <w:rtl w:val="0"/>
        </w:rPr>
        <w:t xml:space="preserve">Estos rubros suman USD $335,000, dejando un </w:t>
      </w:r>
      <w:r w:rsidDel="00000000" w:rsidR="00000000" w:rsidRPr="00000000">
        <w:rPr>
          <w:b w:val="1"/>
          <w:bCs w:val="1"/>
          <w:rtl w:val="0"/>
        </w:rPr>
        <w:t xml:space="preserve">excedente neto de ~USD $915,000</w:t>
      </w:r>
      <w:r w:rsidDel="00000000" w:rsidR="00000000" w:rsidRPr="00000000">
        <w:rPr>
          <w:rtl w:val="0"/>
        </w:rPr>
        <w:t xml:space="preserve"> de la recaudación si se venden todos los tokens al precio objetivo. Ese excedente constituye la utilidad del proyecto, que se destinará en parte a reinversión/expansión (por ejemplo, adquisición de nuevos terrenos para futuros tokens) y en parte a reservas.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Demanda de tokens esperada:</w:t>
      </w:r>
      <w:r w:rsidDel="00000000" w:rsidR="00000000" w:rsidRPr="00000000">
        <w:rPr>
          <w:rtl w:val="0"/>
        </w:rPr>
        <w:t xml:space="preserve"> Proyectamos vender la mayoría de los 50,000 tokens durante el primer año. La estrategia comercial apuntará a diversos segmentos, pero cuantitativamente podríamos desglosar así la demanda:</w:t>
      </w:r>
    </w:p>
    <w:p w:rsidR="00000000" w:rsidDel="00000000" w:rsidP="00000000" w:rsidRDefault="00000000" w:rsidRPr="00000000" w14:paraId="00000079">
      <w:pPr>
        <w:numPr>
          <w:ilvl w:val="0"/>
          <w:numId w:val="10"/>
        </w:numPr>
        <w:spacing w:after="0" w:afterAutospacing="0" w:before="240" w:lineRule="auto"/>
        <w:ind w:left="720" w:hanging="360"/>
      </w:pPr>
      <w:r w:rsidDel="00000000" w:rsidR="00000000" w:rsidRPr="00000000">
        <w:rPr>
          <w:i w:val="1"/>
          <w:iCs w:val="1"/>
          <w:rtl w:val="0"/>
        </w:rPr>
        <w:t xml:space="preserve">Inversionistas retail locales:</w:t>
      </w:r>
      <w:r w:rsidDel="00000000" w:rsidR="00000000" w:rsidRPr="00000000">
        <w:rPr>
          <w:rtl w:val="0"/>
        </w:rPr>
        <w:t xml:space="preserve"> Objetivo ~60% de los tokens (30,000 m²). Esto implicaría alrededor de 3,000 inversionistas peruanos si en promedio cada uno compra 10 m² ($250). Este grupo provendría de campañas en redes sociales, usuarios de crowdfunding actuales, y redes de referidos. Es un número ambicioso pero plausible dado el tamaño del mercado peruano (si consideramos solo 1 de cada 10,000 habitantes de Lima invirtiendo, ya serían ~1000 personas).</w:t>
        <w:br w:type="textWrapping"/>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i w:val="1"/>
          <w:iCs w:val="1"/>
          <w:rtl w:val="0"/>
        </w:rPr>
        <w:t xml:space="preserve">Peruanos en el extranjero:</w:t>
      </w:r>
      <w:r w:rsidDel="00000000" w:rsidR="00000000" w:rsidRPr="00000000">
        <w:rPr>
          <w:rtl w:val="0"/>
        </w:rPr>
        <w:t xml:space="preserve"> Objetivo ~15% de los tokens (7,500 m²). Con montos quizás mayores por persona (promedio 20 m² = $500), serían unos 375 inversionistas de la diáspora. Los alcanzaremos mediante comunidades online de peruanos, grupos de Facebook, etc., resaltando la facilidad de invertir en su tierra natal.</w:t>
        <w:br w:type="textWrapping"/>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i w:val="1"/>
          <w:iCs w:val="1"/>
          <w:rtl w:val="0"/>
        </w:rPr>
        <w:t xml:space="preserve">Inversionistas cripto globales/Web3:</w:t>
      </w:r>
      <w:r w:rsidDel="00000000" w:rsidR="00000000" w:rsidRPr="00000000">
        <w:rPr>
          <w:rtl w:val="0"/>
        </w:rPr>
        <w:t xml:space="preserve"> Objetivo ~15% de tokens (7,500 m²). Estos podrían venir vía plataformas DeFi o foros globales; aquí el ticket puede variar mucho, algunos “whales” quizá compren 1,000+ m², y otros minoristas solo 5 m². Este segmento añade diversificación geográfica.</w:t>
        <w:br w:type="textWrapping"/>
      </w:r>
    </w:p>
    <w:p w:rsidR="00000000" w:rsidDel="00000000" w:rsidP="00000000" w:rsidRDefault="00000000" w:rsidRPr="00000000" w14:paraId="0000007C">
      <w:pPr>
        <w:numPr>
          <w:ilvl w:val="0"/>
          <w:numId w:val="10"/>
        </w:numPr>
        <w:spacing w:after="240" w:before="0" w:beforeAutospacing="0" w:lineRule="auto"/>
        <w:ind w:left="720" w:hanging="360"/>
      </w:pPr>
      <w:r w:rsidDel="00000000" w:rsidR="00000000" w:rsidRPr="00000000">
        <w:rPr>
          <w:i w:val="1"/>
          <w:iCs w:val="1"/>
          <w:rtl w:val="0"/>
        </w:rPr>
        <w:t xml:space="preserve">Inversionistas institucionales/privados grandes:</w:t>
      </w:r>
      <w:r w:rsidDel="00000000" w:rsidR="00000000" w:rsidRPr="00000000">
        <w:rPr>
          <w:rtl w:val="0"/>
        </w:rPr>
        <w:t xml:space="preserve"> Objetivo ~10% (5,000 m²). Podrían ser family offices peruanos interesados en lote completo, o algún fondo crypto de RWA. Negociaremos preventas privadas para este segmento antes del lanzamiento público, ofreciendo quizás un pequeño descuento a cambio de montos grandes asegurados.</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Si bien estas metas son estimativas, suman 100% de los tokens. El </w:t>
      </w:r>
      <w:r w:rsidDel="00000000" w:rsidR="00000000" w:rsidRPr="00000000">
        <w:rPr>
          <w:i w:val="1"/>
          <w:iCs w:val="1"/>
          <w:rtl w:val="0"/>
        </w:rPr>
        <w:t xml:space="preserve">peor escenario</w:t>
      </w:r>
      <w:r w:rsidDel="00000000" w:rsidR="00000000" w:rsidRPr="00000000">
        <w:rPr>
          <w:rtl w:val="0"/>
        </w:rPr>
        <w:t xml:space="preserve"> de demanda sería que no alcancemos vender todo: por ejemplo, si solo colocamos 50% de tokens ($625k) en el primer año, el proyecto igual podría avanzar, pero con menos liquidez y quizás necesitando reintensificar marketing o re-plantear estrategia de venta (ej. bajar precio por m² para remanente, o desarrollar algo en el terreno para hacerlo más atractivo).</w:t>
      </w:r>
    </w:p>
    <w:p w:rsidR="00000000" w:rsidDel="00000000" w:rsidP="00000000" w:rsidRDefault="00000000" w:rsidRPr="00000000" w14:paraId="0000007E">
      <w:pPr>
        <w:spacing w:after="240" w:before="240" w:lineRule="auto"/>
        <w:rPr/>
      </w:pPr>
      <w:r w:rsidDel="00000000" w:rsidR="00000000" w:rsidRPr="00000000">
        <w:rPr>
          <w:rtl w:val="0"/>
        </w:rPr>
        <w:t xml:space="preserve">Un indicador a monitorear es la </w:t>
      </w:r>
      <w:r w:rsidDel="00000000" w:rsidR="00000000" w:rsidRPr="00000000">
        <w:rPr>
          <w:b w:val="1"/>
          <w:bCs w:val="1"/>
          <w:rtl w:val="0"/>
        </w:rPr>
        <w:t xml:space="preserve">velocidad de venta</w:t>
      </w:r>
      <w:r w:rsidDel="00000000" w:rsidR="00000000" w:rsidRPr="00000000">
        <w:rPr>
          <w:rtl w:val="0"/>
        </w:rPr>
        <w:t xml:space="preserve"> tras el lanzamiento: aspiramos a lograr un hito de 30-40% tokens vendidos en los primeros 3 meses (apalancados por la novedad y marketing inicial). Si notamos un enlentecimiento grande, activaríamos campañas específicas o mejoraríamos condiciones (por ejemplo, un “early-bird bonus”: dar tokens extra a quienes compren durante el primer mes, etc.).</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ROI para inversionistas y escenarios financieros:</w:t>
      </w:r>
      <w:r w:rsidDel="00000000" w:rsidR="00000000" w:rsidRPr="00000000">
        <w:rPr>
          <w:rtl w:val="0"/>
        </w:rPr>
        <w:t xml:space="preserve"> Como se analizó en la sección inmobiliaria, el ROI depende de la apreciación del valor del suelo. Un inversionista que compra a $25/m² podría ver duplicar su inversión si el m² llega a $50 (sin considerar costos transaccionales mínimos). Para modelar </w:t>
      </w:r>
      <w:r w:rsidDel="00000000" w:rsidR="00000000" w:rsidRPr="00000000">
        <w:rPr>
          <w:b w:val="1"/>
          <w:bCs w:val="1"/>
          <w:rtl w:val="0"/>
        </w:rPr>
        <w:t xml:space="preserve">escenarios financieros integrales</w:t>
      </w:r>
      <w:r w:rsidDel="00000000" w:rsidR="00000000" w:rsidRPr="00000000">
        <w:rPr>
          <w:rtl w:val="0"/>
        </w:rPr>
        <w:t xml:space="preserve">, consideramos un horizonte a 5 años:</w:t>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b w:val="1"/>
          <w:bCs w:val="1"/>
          <w:rtl w:val="0"/>
        </w:rPr>
        <w:t xml:space="preserve">Escenario base:</w:t>
      </w:r>
      <w:r w:rsidDel="00000000" w:rsidR="00000000" w:rsidRPr="00000000">
        <w:rPr>
          <w:rtl w:val="0"/>
        </w:rPr>
        <w:t xml:space="preserve"> Venta completa de tokens en el año 1. El valor del m² sube gradualmente a $50 en el año 5 (con tren operativo en 2031-2032, se estima para 2030 ya el mercado internaliza buena parte del aumento). </w:t>
      </w:r>
      <w:r w:rsidDel="00000000" w:rsidR="00000000" w:rsidRPr="00000000">
        <w:rPr>
          <w:i w:val="1"/>
          <w:iCs w:val="1"/>
          <w:rtl w:val="0"/>
        </w:rPr>
        <w:t xml:space="preserve">Implicancias:</w:t>
      </w:r>
      <w:r w:rsidDel="00000000" w:rsidR="00000000" w:rsidRPr="00000000">
        <w:rPr>
          <w:rtl w:val="0"/>
        </w:rPr>
        <w:t xml:space="preserve"> inversionista ROI ~100% (como ya mencionado). El proyecto como empresa obtendría utilidades netas de la venta inicial (~$900k), parte de las cuales podrían distribuirse como dividendos a los fundadores o reinvertirse. No se ha contemplado pagar “yield” anual ya que no hay flujo; todo es ganancia de capital. Sin embargo, podríamos añadir para este escenario un </w:t>
      </w:r>
      <w:r w:rsidDel="00000000" w:rsidR="00000000" w:rsidRPr="00000000">
        <w:rPr>
          <w:i w:val="1"/>
          <w:iCs w:val="1"/>
          <w:rtl w:val="0"/>
        </w:rPr>
        <w:t xml:space="preserve">servicio de custodia con fee</w:t>
      </w:r>
      <w:r w:rsidDel="00000000" w:rsidR="00000000" w:rsidRPr="00000000">
        <w:rPr>
          <w:rtl w:val="0"/>
        </w:rPr>
        <w:t xml:space="preserve">: por ejemplo, la plataforma podría cobrar 1% anual sobre los activos bajo custodia para cubrir costos. Aun así, el ROI principal sigue siendo la valorización. Año a año, esperaríamos un incremento, quizá no lineal: podría ser bajo los primeros 2 años (mientras se construye el tren), y acelerarse en años 3-5 al acercarse la inauguración. En este escenario, </w:t>
      </w:r>
      <w:r w:rsidDel="00000000" w:rsidR="00000000" w:rsidRPr="00000000">
        <w:rPr>
          <w:b w:val="1"/>
          <w:bCs w:val="1"/>
          <w:rtl w:val="0"/>
        </w:rPr>
        <w:t xml:space="preserve">salida para inversionistas</w:t>
      </w:r>
      <w:r w:rsidDel="00000000" w:rsidR="00000000" w:rsidRPr="00000000">
        <w:rPr>
          <w:rtl w:val="0"/>
        </w:rPr>
        <w:t xml:space="preserve">: muchos podrían vender en mercado secundario al año 5 para realizar ganancias. Alternativamente, podríamos plantear una </w:t>
      </w:r>
      <w:r w:rsidDel="00000000" w:rsidR="00000000" w:rsidRPr="00000000">
        <w:rPr>
          <w:b w:val="1"/>
          <w:bCs w:val="1"/>
          <w:rtl w:val="0"/>
        </w:rPr>
        <w:t xml:space="preserve">venta del terreno</w:t>
      </w:r>
      <w:r w:rsidDel="00000000" w:rsidR="00000000" w:rsidRPr="00000000">
        <w:rPr>
          <w:rtl w:val="0"/>
        </w:rPr>
        <w:t xml:space="preserve"> físico a un desarrollador grande en año 5 a precio de $50/m², y disolver el fideicomiso repartiendo USD $2.5 millones entre tokenholders (cada token recibiría $50). Esta sería una salida ordenada y final. Dependerá de qué convenga más: si el token cotiza bien en mercado, los inversores quizá prefieran seguir; si hay oportunidad de compra atractiva por un tercero, se sometería a voto de tokenholders.</w:t>
        <w:br w:type="textWrapping"/>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b w:val="1"/>
          <w:bCs w:val="1"/>
          <w:rtl w:val="0"/>
        </w:rPr>
        <w:t xml:space="preserve">Escenario optimista:</w:t>
      </w:r>
      <w:r w:rsidDel="00000000" w:rsidR="00000000" w:rsidRPr="00000000">
        <w:rPr>
          <w:rtl w:val="0"/>
        </w:rPr>
        <w:t xml:space="preserve"> Se logra vender tokens rápidamente (100% en pocos meses), e incluso hay sobre-demanda que podría permitir en el futuro tokenizar las otras 25 ha disponibles de nuestro portafolio. El precio del m² alcanza $70 en ~5-6 años dado un auge económico (posiblemente el tren adelanta su entrada en operación a 2030, Lima crece más rápido). En este escenario los inversores tendrían ROI de hasta +180% (casi triplicar capital). Podríamos ver especulación positiva: los tokens quizá suban por encima del NAV (valor intrínseco del terreno) por la gente anticipando más crecimiento. </w:t>
      </w:r>
      <w:r w:rsidDel="00000000" w:rsidR="00000000" w:rsidRPr="00000000">
        <w:rPr>
          <w:i w:val="1"/>
          <w:iCs w:val="1"/>
          <w:rtl w:val="0"/>
        </w:rPr>
        <w:t xml:space="preserve">Salida:</w:t>
      </w:r>
      <w:r w:rsidDel="00000000" w:rsidR="00000000" w:rsidRPr="00000000">
        <w:rPr>
          <w:rtl w:val="0"/>
        </w:rPr>
        <w:t xml:space="preserve"> en un entorno tan optimista, podría convenir mantener el terreno más tiempo o desarrollar, pues si en 5 años valemos $70/m², ¿por qué vender si en 10 años podría ser $100? Es decir, la estrategia podría cambiar a más largo plazo. No obstante, siempre dando opción al inversor de salir vía venta P2P de tokens. En este escenario, la empresa generaría mucha reputación y podría lanzar rondas nuevas: oportunidad de tokenizar los terrenos adicionales o proyectos nuevos, apalancando el éxito. Financiar nuevos proyectos con equity o deuda también se facilitaría (por buenos resultados demostrados).</w:t>
        <w:br w:type="textWrapping"/>
      </w:r>
    </w:p>
    <w:p w:rsidR="00000000" w:rsidDel="00000000" w:rsidP="00000000" w:rsidRDefault="00000000" w:rsidRPr="00000000" w14:paraId="00000082">
      <w:pPr>
        <w:numPr>
          <w:ilvl w:val="0"/>
          <w:numId w:val="5"/>
        </w:numPr>
        <w:spacing w:after="240" w:before="0" w:beforeAutospacing="0" w:lineRule="auto"/>
        <w:ind w:left="720" w:hanging="360"/>
      </w:pPr>
      <w:r w:rsidDel="00000000" w:rsidR="00000000" w:rsidRPr="00000000">
        <w:rPr>
          <w:b w:val="1"/>
          <w:bCs w:val="1"/>
          <w:rtl w:val="0"/>
        </w:rPr>
        <w:t xml:space="preserve">Escenario pesimista:</w:t>
      </w:r>
      <w:r w:rsidDel="00000000" w:rsidR="00000000" w:rsidRPr="00000000">
        <w:rPr>
          <w:rtl w:val="0"/>
        </w:rPr>
        <w:t xml:space="preserve"> Solo se coloca, digamos, 50% de los tokens en la venta inicial. El resto se va vendiendo lentamente o la empresa retiene una porción. El tren sufre retrasos considerables (no inicia operación hasta 2035 quizá), y mientras tanto la economía peruana atraviesa altibajos. El valor del m² sube apenas a ~$30-35 en 5 años (40% por encima del inicial, básicamente acompasado con la inflación o ligera plusvalía). En tal caso el ROI del inversionista es modesto (7% anual aproximadamente), aunque aún positivo. </w:t>
      </w:r>
      <w:r w:rsidDel="00000000" w:rsidR="00000000" w:rsidRPr="00000000">
        <w:rPr>
          <w:i w:val="1"/>
          <w:iCs w:val="1"/>
          <w:rtl w:val="0"/>
        </w:rPr>
        <w:t xml:space="preserve">Implicancias:</w:t>
      </w:r>
      <w:r w:rsidDel="00000000" w:rsidR="00000000" w:rsidRPr="00000000">
        <w:rPr>
          <w:rtl w:val="0"/>
        </w:rPr>
        <w:t xml:space="preserve"> puede surgir desilusión en algunos inversores por no lograr “el gran salto” prometido; habría que gestionar comunicaciones, enfatizar que es un activo real de bajo riesgo y que a mayor plazo la ganancia podría materializarse (ej., mantener hasta que tren efectivamente funcione y urbanización ocurra, aunque tome 8-10 años). La liquidez en secundario podría resentirse (poca demanda si no hay narrativa de alta apreciación). Como salida, podríamos en este escenario considerar </w:t>
      </w:r>
      <w:r w:rsidDel="00000000" w:rsidR="00000000" w:rsidRPr="00000000">
        <w:rPr>
          <w:b w:val="1"/>
          <w:bCs w:val="1"/>
          <w:rtl w:val="0"/>
        </w:rPr>
        <w:t xml:space="preserve">adquirir de vuelta algunos tokens</w:t>
      </w:r>
      <w:r w:rsidDel="00000000" w:rsidR="00000000" w:rsidRPr="00000000">
        <w:rPr>
          <w:rtl w:val="0"/>
        </w:rPr>
        <w:t xml:space="preserve"> a los inversores que quieran salir, para evitar que malbaraten en mercado (usando parte de los fondos de reserva). También se podría pivotear estrategia: por ejemplo, decidir desarrollar un proyecto en parte del terreno para aumentar su valor (construir unas viviendas piloto que hagan que el m² construido valga más, arrastrando el valor del suelo). En el peor caso, si el mercado se estancara, se podría liquidar el terreno vendiéndolo a un tercero al valor de mercado ($35) y los inversores recuperarían capital con pequeña ganancia. Si bien este escenario no es ideal, es importante notar que </w:t>
      </w:r>
      <w:r w:rsidDel="00000000" w:rsidR="00000000" w:rsidRPr="00000000">
        <w:rPr>
          <w:b w:val="1"/>
          <w:bCs w:val="1"/>
          <w:rtl w:val="0"/>
        </w:rPr>
        <w:t xml:space="preserve">el capital estaría respaldado por un activo real</w:t>
      </w:r>
      <w:r w:rsidDel="00000000" w:rsidR="00000000" w:rsidRPr="00000000">
        <w:rPr>
          <w:rtl w:val="0"/>
        </w:rPr>
        <w:t xml:space="preserve"> – a diferencia de muchas inversiones financieras, aquí difícilmente se perdería todo, salvo una catástrofe. Esto convierte al token en una inversión relativamente defensiva: el suelo siempre tendrá algún valor.</w:t>
        <w:br w:type="textWrapping"/>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Flujo de caja de la empresa:</w:t>
      </w:r>
      <w:r w:rsidDel="00000000" w:rsidR="00000000" w:rsidRPr="00000000">
        <w:rPr>
          <w:rtl w:val="0"/>
        </w:rPr>
        <w:t xml:space="preserve"> Desde la óptica de la empresa promotora, los flujos son: entra dinero con la venta de tokens (año 0-1), se gastan en implementación y luego quedan utilidades. En años subsiguientes, la empresa en sí no genera flujos adicionales salvo que emprenda nuevos proyectos, ya que este primer proyecto no tiene cashflows recurrentes (solo valorización para inversores). Podríamos generar ingresos complementarios por: comisiones de trading en la plataforma (si montamos un marketplace interno, cobrar por transacción), fees de mantenimiento, o valorización de los tokens que el propio equipo pueda retener (seguramente el equipo se quedará con un % de tokens como “skin in the game”, y su valor apreciado sería ganancia para nosotros a futuro). Financiar las operaciones a futuro dependerá de ejecutar nuevas tokenizaciones o monetizar la plataforma tecnológica con terceros.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Plan de salida para inversores (exit strategy):</w:t>
      </w:r>
      <w:r w:rsidDel="00000000" w:rsidR="00000000" w:rsidRPr="00000000">
        <w:rPr>
          <w:rtl w:val="0"/>
        </w:rPr>
        <w:t xml:space="preserve"> Lo bueno de la tokenización es que </w:t>
      </w:r>
      <w:r w:rsidDel="00000000" w:rsidR="00000000" w:rsidRPr="00000000">
        <w:rPr>
          <w:b w:val="1"/>
          <w:bCs w:val="1"/>
          <w:rtl w:val="0"/>
        </w:rPr>
        <w:t xml:space="preserve">no hay un plazo forzoso</w:t>
      </w:r>
      <w:r w:rsidDel="00000000" w:rsidR="00000000" w:rsidRPr="00000000">
        <w:rPr>
          <w:rtl w:val="0"/>
        </w:rPr>
        <w:t xml:space="preserve">: a diferencia de un fondo que cierra en X años, aquí algunos inversores podrían desinvertir en 6 meses vendiendo su token a otro, mientras otros continúan 10 años. Sin embargo, es recomendable delinear posibles </w:t>
      </w:r>
      <w:r w:rsidDel="00000000" w:rsidR="00000000" w:rsidRPr="00000000">
        <w:rPr>
          <w:i w:val="1"/>
          <w:iCs w:val="1"/>
          <w:rtl w:val="0"/>
        </w:rPr>
        <w:t xml:space="preserve">eventos de liquidez globales</w:t>
      </w:r>
      <w:r w:rsidDel="00000000" w:rsidR="00000000" w:rsidRPr="00000000">
        <w:rPr>
          <w:rtl w:val="0"/>
        </w:rPr>
        <w:t xml:space="preserve">. Uno ya mencionado: una </w:t>
      </w:r>
      <w:r w:rsidDel="00000000" w:rsidR="00000000" w:rsidRPr="00000000">
        <w:rPr>
          <w:b w:val="1"/>
          <w:bCs w:val="1"/>
          <w:rtl w:val="0"/>
        </w:rPr>
        <w:t xml:space="preserve">venta total del activo subyacente</w:t>
      </w:r>
      <w:r w:rsidDel="00000000" w:rsidR="00000000" w:rsidRPr="00000000">
        <w:rPr>
          <w:rtl w:val="0"/>
        </w:rPr>
        <w:t xml:space="preserve">. Esto requeriría típicamente un acuerdo de la mayoría de tokenholders (ej. 75% deciden vender el terreno si llega una oferta atractiva). De darse, el fiduciario vendería la propiedad y distribuiría dinero. Otro evento podría ser que la empresa decida </w:t>
      </w:r>
      <w:r w:rsidDel="00000000" w:rsidR="00000000" w:rsidRPr="00000000">
        <w:rPr>
          <w:b w:val="1"/>
          <w:bCs w:val="1"/>
          <w:rtl w:val="0"/>
        </w:rPr>
        <w:t xml:space="preserve">comprar una parte de los tokens en circulación</w:t>
      </w:r>
      <w:r w:rsidDel="00000000" w:rsidR="00000000" w:rsidRPr="00000000">
        <w:rPr>
          <w:rtl w:val="0"/>
        </w:rPr>
        <w:t xml:space="preserve"> para luego quizás agrupar suficiente propiedad y venderla en bloque a un tercero. También está la opción de una </w:t>
      </w:r>
      <w:r w:rsidDel="00000000" w:rsidR="00000000" w:rsidRPr="00000000">
        <w:rPr>
          <w:b w:val="1"/>
          <w:bCs w:val="1"/>
          <w:rtl w:val="0"/>
        </w:rPr>
        <w:t xml:space="preserve">conversión</w:t>
      </w:r>
      <w:r w:rsidDel="00000000" w:rsidR="00000000" w:rsidRPr="00000000">
        <w:rPr>
          <w:rtl w:val="0"/>
        </w:rPr>
        <w:t xml:space="preserve">: por ejemplo, si en unos años decidiéramos desarrollar un proyecto inmobiliario en ese terreno, podríamos convertir los tokens de tierra en tokens/acciones del nuevo proyecto (dando oportunidad de continuar invertidos en la siguiente fase, o salir vendiendo a la empresa su parte). Desde la perspectiva del inversionista, la salida más clara es el </w:t>
      </w:r>
      <w:r w:rsidDel="00000000" w:rsidR="00000000" w:rsidRPr="00000000">
        <w:rPr>
          <w:b w:val="1"/>
          <w:bCs w:val="1"/>
          <w:rtl w:val="0"/>
        </w:rPr>
        <w:t xml:space="preserve">mercado secundario</w:t>
      </w:r>
      <w:r w:rsidDel="00000000" w:rsidR="00000000" w:rsidRPr="00000000">
        <w:rPr>
          <w:rtl w:val="0"/>
        </w:rPr>
        <w:t xml:space="preserve">. Por eso, nos enfocaremos en nutrir ese mercado: idealmente listar el token en alguna plataforma reconocida de security tokens o en un exchange local si llegan a listarse activos tokenizados. Imaginemos, en un escenario de madurez, que BVL (Bolsa de Valores de Lima) habilitara trading de tokens inmobiliarios – sería grandioso proveer liquidez institucional. Mientras tanto, podríamos buscar listing en exchanges cripto que soportan RWA (tZERO, INX, etc., aunque estos piden procesos formales). En DeFi, podríamos crear un par de liquidez en Uniswap o similar (e.g. token/SOL or token/USDC) para que cualquiera intercambie, aunque ahí deberíamos cuidar la volatilidad.</w:t>
      </w:r>
    </w:p>
    <w:p w:rsidR="00000000" w:rsidDel="00000000" w:rsidP="00000000" w:rsidRDefault="00000000" w:rsidRPr="00000000" w14:paraId="00000085">
      <w:pPr>
        <w:spacing w:after="240" w:before="240" w:lineRule="auto"/>
        <w:rPr/>
      </w:pPr>
      <w:r w:rsidDel="00000000" w:rsidR="00000000" w:rsidRPr="00000000">
        <w:rPr>
          <w:rtl w:val="0"/>
        </w:rPr>
        <w:t xml:space="preserve">En conclusión, las </w:t>
      </w:r>
      <w:r w:rsidDel="00000000" w:rsidR="00000000" w:rsidRPr="00000000">
        <w:rPr>
          <w:b w:val="1"/>
          <w:bCs w:val="1"/>
          <w:rtl w:val="0"/>
        </w:rPr>
        <w:t xml:space="preserve">proyecciones financieras</w:t>
      </w:r>
      <w:r w:rsidDel="00000000" w:rsidR="00000000" w:rsidRPr="00000000">
        <w:rPr>
          <w:rtl w:val="0"/>
        </w:rPr>
        <w:t xml:space="preserve"> muestran un proyecto rentable con un margen cómodo para la empresa (aprox 25% de lo recaudado son costos, 75% beneficio bruto) y con potencial de </w:t>
      </w:r>
      <w:r w:rsidDel="00000000" w:rsidR="00000000" w:rsidRPr="00000000">
        <w:rPr>
          <w:b w:val="1"/>
          <w:bCs w:val="1"/>
          <w:rtl w:val="0"/>
        </w:rPr>
        <w:t xml:space="preserve">ROI atractivo para los inversores (doble a triple del capital a 5-7 años en escenario base/optimista)</w:t>
      </w:r>
      <w:r w:rsidDel="00000000" w:rsidR="00000000" w:rsidRPr="00000000">
        <w:rPr>
          <w:rtl w:val="0"/>
        </w:rPr>
        <w:t xml:space="preserve">. Los escenarios considerados ayudan a prepararnos: en todos, el inversionista conserva un activo subyacente (terreno) que puede esperar a vender cuando las condiciones mejoren, lo cual reduce el riesgo de pérdida total. Nuestra estrategia financiera se centrará en </w:t>
      </w:r>
      <w:r w:rsidDel="00000000" w:rsidR="00000000" w:rsidRPr="00000000">
        <w:rPr>
          <w:b w:val="1"/>
          <w:bCs w:val="1"/>
          <w:rtl w:val="0"/>
        </w:rPr>
        <w:t xml:space="preserve">asegurar la colocación exitosa de los tokens</w:t>
      </w:r>
      <w:r w:rsidDel="00000000" w:rsidR="00000000" w:rsidRPr="00000000">
        <w:rPr>
          <w:rtl w:val="0"/>
        </w:rPr>
        <w:t xml:space="preserve"> (sin eso no hay proyecto), mantener gastos en línea con lo presupuestado, y luego gestionar activamente la valorización del activo (posiblemente realizando pequeñas mejoras al terreno, o gestionando habilitaciones municipales, etc., que aumenten su valor intrínseco). Con ello, podremos cumplir la promesa de retorno y eventualmente replicar el modelo, creando un círculo virtuoso donde inversionistas satisfechos reinviertan en nuevos proyectos tokenizados de nuestra plataforma.</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wupzq02cymge" w:id="10"/>
      <w:bookmarkEnd w:id="10"/>
      <w:r w:rsidDel="00000000" w:rsidR="00000000" w:rsidRPr="00000000">
        <w:rPr>
          <w:b w:val="1"/>
          <w:bCs w:val="1"/>
          <w:sz w:val="34"/>
          <w:szCs w:val="34"/>
          <w:rtl w:val="0"/>
        </w:rPr>
        <w:t xml:space="preserve">10. Conclusiones y recomendaciones estratégicas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Conclusiones generales:</w:t>
      </w:r>
      <w:r w:rsidDel="00000000" w:rsidR="00000000" w:rsidRPr="00000000">
        <w:rPr>
          <w:rtl w:val="0"/>
        </w:rPr>
        <w:t xml:space="preserve"> Tras este exhaustivo análisis, se concluye que el proyecto de </w:t>
      </w:r>
      <w:r w:rsidDel="00000000" w:rsidR="00000000" w:rsidRPr="00000000">
        <w:rPr>
          <w:b w:val="1"/>
          <w:bCs w:val="1"/>
          <w:rtl w:val="0"/>
        </w:rPr>
        <w:t xml:space="preserve">tokenización inmobiliaria en San Bartolo</w:t>
      </w:r>
      <w:r w:rsidDel="00000000" w:rsidR="00000000" w:rsidRPr="00000000">
        <w:rPr>
          <w:rtl w:val="0"/>
        </w:rPr>
        <w:t xml:space="preserve"> es </w:t>
      </w:r>
      <w:r w:rsidDel="00000000" w:rsidR="00000000" w:rsidRPr="00000000">
        <w:rPr>
          <w:i w:val="1"/>
          <w:iCs w:val="1"/>
          <w:rtl w:val="0"/>
        </w:rPr>
        <w:t xml:space="preserve">viable y prometedor</w:t>
      </w:r>
      <w:r w:rsidDel="00000000" w:rsidR="00000000" w:rsidRPr="00000000">
        <w:rPr>
          <w:rtl w:val="0"/>
        </w:rPr>
        <w:t xml:space="preserve">, siempre que se ejecute con rigor en cada una de sus aristas. La convergencia de factores favorables – un activo inmobiliario ubicado en una zona de alta proyección de valor (Lima Sur), un contexto socioeconómico que demanda soluciones habitacionales e inversión democratizada, y el auge global de la tecnología blockchain aplicada a activos reales – crea un </w:t>
      </w:r>
      <w:r w:rsidDel="00000000" w:rsidR="00000000" w:rsidRPr="00000000">
        <w:rPr>
          <w:b w:val="1"/>
          <w:bCs w:val="1"/>
          <w:rtl w:val="0"/>
        </w:rPr>
        <w:t xml:space="preserve">escenario oportuno</w:t>
      </w:r>
      <w:r w:rsidDel="00000000" w:rsidR="00000000" w:rsidRPr="00000000">
        <w:rPr>
          <w:rtl w:val="0"/>
        </w:rPr>
        <w:t xml:space="preserve"> para innovar en el mercado peruano. El estudio confirma que pequeños y medianos inversionistas muestran interés creciente en </w:t>
      </w:r>
      <w:r w:rsidDel="00000000" w:rsidR="00000000" w:rsidRPr="00000000">
        <w:rPr>
          <w:b w:val="1"/>
          <w:bCs w:val="1"/>
          <w:rtl w:val="0"/>
        </w:rPr>
        <w:t xml:space="preserve">participar en bienes raíces</w:t>
      </w:r>
      <w:r w:rsidDel="00000000" w:rsidR="00000000" w:rsidRPr="00000000">
        <w:rPr>
          <w:rtl w:val="0"/>
        </w:rPr>
        <w:t xml:space="preserve"> cuando se reducen las barreras de entrada, y la tokenización logra precisamente eso: </w:t>
      </w:r>
      <w:r w:rsidDel="00000000" w:rsidR="00000000" w:rsidRPr="00000000">
        <w:rPr>
          <w:i w:val="1"/>
          <w:iCs w:val="1"/>
          <w:rtl w:val="0"/>
        </w:rPr>
        <w:t xml:space="preserve">romper el elefante inmobiliario en pedacitos accesibles</w:t>
      </w:r>
      <w:r w:rsidDel="00000000" w:rsidR="00000000" w:rsidRPr="00000000">
        <w:rPr>
          <w:rtl w:val="0"/>
        </w:rPr>
        <w:t xml:space="preserve">. Asimismo, a nivel macro, iniciativas de desarrollo como el tren Lima–Ica actúan como catalizadores que multiplican el potencial de retorno, justificando el atractivo del proyecto. No obstante, el éxito dependerá críticamente de </w:t>
      </w:r>
      <w:r w:rsidDel="00000000" w:rsidR="00000000" w:rsidRPr="00000000">
        <w:rPr>
          <w:b w:val="1"/>
          <w:bCs w:val="1"/>
          <w:rtl w:val="0"/>
        </w:rPr>
        <w:t xml:space="preserve">navegar adecuadamente los desafíos legales y de confianza</w:t>
      </w:r>
      <w:r w:rsidDel="00000000" w:rsidR="00000000" w:rsidRPr="00000000">
        <w:rPr>
          <w:rtl w:val="0"/>
        </w:rPr>
        <w:t xml:space="preserve"> inherentes a introducir un modelo nuevo. La ausencia de un marco regulatorio específico en Perú impone la necesidad de </w:t>
      </w:r>
      <w:r w:rsidDel="00000000" w:rsidR="00000000" w:rsidRPr="00000000">
        <w:rPr>
          <w:b w:val="1"/>
          <w:bCs w:val="1"/>
          <w:rtl w:val="0"/>
        </w:rPr>
        <w:t xml:space="preserve">auto-regularnos con las mejores prácticas</w:t>
      </w:r>
      <w:r w:rsidDel="00000000" w:rsidR="00000000" w:rsidRPr="00000000">
        <w:rPr>
          <w:rtl w:val="0"/>
        </w:rPr>
        <w:t xml:space="preserve">, trabajando de la mano con fideicomisos, la SMV y demás entes, para brindar la misma (o mayor) seguridad que un esquema tradicional. Tecnológicamente, es factible implementar la solución con la infraestructura blockchain existente, pero se deberá priorizar la seguridad de los contratos y la usabilidad de la plataforma para lograr adopción masiva.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Retorno y riesgo:</w:t>
      </w:r>
      <w:r w:rsidDel="00000000" w:rsidR="00000000" w:rsidRPr="00000000">
        <w:rPr>
          <w:rtl w:val="0"/>
        </w:rPr>
        <w:t xml:space="preserve"> En términos de inversión, el proyecto ofrece una propuesta de valor sólida: un </w:t>
      </w:r>
      <w:r w:rsidDel="00000000" w:rsidR="00000000" w:rsidRPr="00000000">
        <w:rPr>
          <w:b w:val="1"/>
          <w:bCs w:val="1"/>
          <w:rtl w:val="0"/>
        </w:rPr>
        <w:t xml:space="preserve">activo real respaldando cada token</w:t>
      </w:r>
      <w:r w:rsidDel="00000000" w:rsidR="00000000" w:rsidRPr="00000000">
        <w:rPr>
          <w:rtl w:val="0"/>
        </w:rPr>
        <w:t xml:space="preserve"> y una tesis de apreciación fundamentada en desarrollos urbanos concretos. Para el inversionista, esto se traduce en un perfil de inversión </w:t>
      </w:r>
      <w:r w:rsidDel="00000000" w:rsidR="00000000" w:rsidRPr="00000000">
        <w:rPr>
          <w:i w:val="1"/>
          <w:iCs w:val="1"/>
          <w:rtl w:val="0"/>
        </w:rPr>
        <w:t xml:space="preserve">mixto</w:t>
      </w:r>
      <w:r w:rsidDel="00000000" w:rsidR="00000000" w:rsidRPr="00000000">
        <w:rPr>
          <w:rtl w:val="0"/>
        </w:rPr>
        <w:t xml:space="preserve">: de un lado, con rasgos de seguridad/estabilidad (es tierra, no un token volátil sin respaldo), y del otro, con rasgos de venture (al depender de un proyecto innovador y de mercado inmobiliario futuro). La proyección base de duplicar el valor en ~5 años es razonable y competitiva frente a alternativas (por ejemplo, los crowdfunding inmobiliarios tradicionales rinden ~20-30% anual pero con riesgos de ejecución de obra; acá el riesgo es más de mercado que de ejecución física). En el peor caso, el terreno mantiene un valor cercano al actual, limitando pérdidas. En el mejor caso, se generan rendimientos importantes. Es decir, </w:t>
      </w:r>
      <w:r w:rsidDel="00000000" w:rsidR="00000000" w:rsidRPr="00000000">
        <w:rPr>
          <w:b w:val="1"/>
          <w:bCs w:val="1"/>
          <w:rtl w:val="0"/>
        </w:rPr>
        <w:t xml:space="preserve">el balance riesgo-retorno es atractivo</w:t>
      </w:r>
      <w:r w:rsidDel="00000000" w:rsidR="00000000" w:rsidRPr="00000000">
        <w:rPr>
          <w:rtl w:val="0"/>
        </w:rPr>
        <w:t xml:space="preserve">, siempre y cuando se implementen los mitigantes a riesgos identificados.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Impacto e implicancias estratégicas:</w:t>
      </w:r>
      <w:r w:rsidDel="00000000" w:rsidR="00000000" w:rsidRPr="00000000">
        <w:rPr>
          <w:rtl w:val="0"/>
        </w:rPr>
        <w:t xml:space="preserve"> Más allá de la rentabilidad, este proyecto posiciona a los promotores como </w:t>
      </w:r>
      <w:r w:rsidDel="00000000" w:rsidR="00000000" w:rsidRPr="00000000">
        <w:rPr>
          <w:b w:val="1"/>
          <w:bCs w:val="1"/>
          <w:rtl w:val="0"/>
        </w:rPr>
        <w:t xml:space="preserve">líderes en innovación financiera e inmobiliaria</w:t>
      </w:r>
      <w:r w:rsidDel="00000000" w:rsidR="00000000" w:rsidRPr="00000000">
        <w:rPr>
          <w:rtl w:val="0"/>
        </w:rPr>
        <w:t xml:space="preserve"> en el país. Exitosamente lanzado, sería el </w:t>
      </w:r>
      <w:r w:rsidDel="00000000" w:rsidR="00000000" w:rsidRPr="00000000">
        <w:rPr>
          <w:i w:val="1"/>
          <w:iCs w:val="1"/>
          <w:rtl w:val="0"/>
        </w:rPr>
        <w:t xml:space="preserve">primer proyecto RWA tokenizado en Perú</w:t>
      </w:r>
      <w:r w:rsidDel="00000000" w:rsidR="00000000" w:rsidRPr="00000000">
        <w:rPr>
          <w:rtl w:val="0"/>
        </w:rPr>
        <w:t xml:space="preserve">, abriendo camino a una potencial nueva industria. Esto conlleva responsabilidad: seremos un caso de prueba ante reguladores y mercado, por lo que debemos apuntar a estándares altos de transparencia, cumplimiento y ética, para sentar un precedente positivo. Si lo logramos, nos beneficiará con credibilidad para expandirnos a tokenizar otros activos (no solo tierras, quizás inmuebles en renta, proyectos de energía, etc.). También tendríamos un activo intangible valioso: la </w:t>
      </w:r>
      <w:r w:rsidDel="00000000" w:rsidR="00000000" w:rsidRPr="00000000">
        <w:rPr>
          <w:b w:val="1"/>
          <w:bCs w:val="1"/>
          <w:rtl w:val="0"/>
        </w:rPr>
        <w:t xml:space="preserve">plataforma tecnológica y comunidad de inversores</w:t>
      </w:r>
      <w:r w:rsidDel="00000000" w:rsidR="00000000" w:rsidRPr="00000000">
        <w:rPr>
          <w:rtl w:val="0"/>
        </w:rPr>
        <w:t xml:space="preserve"> creada. En el tiempo, la plataforma podría operar como un marketplace de RWA, sumando más propiedades tokenizadas de terceros y generando comisiones – un pivote de negocio posible.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Recomendaciones estratégicas (next steps):</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b w:val="1"/>
          <w:bCs w:val="1"/>
          <w:rtl w:val="0"/>
        </w:rPr>
        <w:t xml:space="preserve">Formalizar estructura legal y regulatoria de inmediato:</w:t>
      </w:r>
      <w:r w:rsidDel="00000000" w:rsidR="00000000" w:rsidRPr="00000000">
        <w:rPr>
          <w:rtl w:val="0"/>
        </w:rPr>
        <w:t xml:space="preserve"> Iniciar la constitución del fideicomiso o vehículo legal que sostendrá el proyecto. Recomiendo contratar en el corto plazo al estudio legal especializado para que prepare la arquitectura jurídica detallada, y paralelamente, acercarnos a la SMV para presentarles la iniciativa. Proponer quizás un esquema de financiamiento participativo bajo su supervisión (lo que nos daría “luz verde” oficial). También verificar nuevamente la situación registral del terreno y resolver cualquier pendiente de zonificación (ej. si requiere cambio de uso a urbano, gestionarlo con la municipalidad). Esto cimentará la base sobre la cual vendemos los tokens, proporcionando confianza.</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bCs w:val="1"/>
          <w:rtl w:val="0"/>
        </w:rPr>
        <w:t xml:space="preserve">Desarrollar un plan de comunicación y educación al inversionista:</w:t>
      </w:r>
      <w:r w:rsidDel="00000000" w:rsidR="00000000" w:rsidRPr="00000000">
        <w:rPr>
          <w:rtl w:val="0"/>
        </w:rPr>
        <w:t xml:space="preserve"> Antes del lanzamiento, conviene ejecutar una campaña de difusión sobre tokenización inmobiliaria. Recomiendo crear contenido didáctico (videos cortos, infografías) explicando en español llano </w:t>
      </w:r>
      <w:r w:rsidDel="00000000" w:rsidR="00000000" w:rsidRPr="00000000">
        <w:rPr>
          <w:i w:val="1"/>
          <w:iCs w:val="1"/>
          <w:rtl w:val="0"/>
        </w:rPr>
        <w:t xml:space="preserve">qué es blockchain, qué beneficios trae invertir de esta forma, cómo se protege el inversionista</w:t>
      </w:r>
      <w:r w:rsidDel="00000000" w:rsidR="00000000" w:rsidRPr="00000000">
        <w:rPr>
          <w:rtl w:val="0"/>
        </w:rPr>
        <w:t xml:space="preserve">, etc. Posicionar ese contenido en medios financieros (conseguir entrevistas en periódicos como Gestión, apariciones en blogs fintech, etc.). Incluso considerar eventos virtuales o presenciales de pre-lanzamiento con potenciales inversores para resolver dudas en vivo. La meta es que al abrir ventas, nuestro público objetivo ya esté informado y entusiasmado, no confundido o temeroso. En este esfuerzo, usar “embajadores” puede ayudar: identificar a alguna figura respetada (ej. un economista fintech local, o influencer de finanzas personales peruano) que avale el proyecto públicamente.</w:t>
        <w:br w:type="textWrapping"/>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bCs w:val="1"/>
          <w:rtl w:val="0"/>
        </w:rPr>
        <w:t xml:space="preserve">Montar un equipo robusto y definir gobernanza:</w:t>
      </w:r>
      <w:r w:rsidDel="00000000" w:rsidR="00000000" w:rsidRPr="00000000">
        <w:rPr>
          <w:rtl w:val="0"/>
        </w:rPr>
        <w:t xml:space="preserve"> Contratar o asignar los roles claves mencionados (blockchain dev, abogado interno, marketing lead, community manager). Establecer una gobernanza interna clara – por ejemplo, un comité de riesgo que supervise temas legales/regulatorios, un comité tecnológico que valide la seguridad, etc. Dado que manejaremos fondos de terceros, hay que incorporar principios de buen gobierno corporativo desde el inicio: llevar contabilidad transparente, quizá conformar un consejo asesor externo con expertos que auditen el progreso (esto también da confianza al público). Recomiendo buscar asesoría de algún ejecutivo con experiencia en crowdfunding o banca de inversión local para que guíe en la relación con reguladores e inversionistas tradicionales, complementando al equipo técnico.</w:t>
        <w:br w:type="textWrapping"/>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b w:val="1"/>
          <w:bCs w:val="1"/>
          <w:rtl w:val="0"/>
        </w:rPr>
        <w:t xml:space="preserve">Implementar por fases (MVP tecnológico):</w:t>
      </w:r>
      <w:r w:rsidDel="00000000" w:rsidR="00000000" w:rsidRPr="00000000">
        <w:rPr>
          <w:rtl w:val="0"/>
        </w:rPr>
        <w:t xml:space="preserve"> Si bien el objetivo es un plataforma completa, una estrategia es lanzar un </w:t>
      </w:r>
      <w:r w:rsidDel="00000000" w:rsidR="00000000" w:rsidRPr="00000000">
        <w:rPr>
          <w:b w:val="1"/>
          <w:bCs w:val="1"/>
          <w:rtl w:val="0"/>
        </w:rPr>
        <w:t xml:space="preserve">MVP</w:t>
      </w:r>
      <w:r w:rsidDel="00000000" w:rsidR="00000000" w:rsidRPr="00000000">
        <w:rPr>
          <w:rtl w:val="0"/>
        </w:rPr>
        <w:t xml:space="preserve"> (producto mínimo viable) para probar el mercado. Por ejemplo, se podría inicialmente tokenizar </w:t>
      </w:r>
      <w:r w:rsidDel="00000000" w:rsidR="00000000" w:rsidRPr="00000000">
        <w:rPr>
          <w:i w:val="1"/>
          <w:iCs w:val="1"/>
          <w:rtl w:val="0"/>
        </w:rPr>
        <w:t xml:space="preserve">una parte del terreno</w:t>
      </w:r>
      <w:r w:rsidDel="00000000" w:rsidR="00000000" w:rsidRPr="00000000">
        <w:rPr>
          <w:rtl w:val="0"/>
        </w:rPr>
        <w:t xml:space="preserve"> (digamos 10,000 m² en vez de 50,000) y ofertarlos mediante un proceso semimanual o usando infraestructura existente (tal vez aprovechar una plataforma de tokenización global white-label). Esto nos permitiría testear la demanda real sin invertir todo el presupuesto tecnológico upfront. Si vemos buena acogida, invertimos en la plataforma propia más sofisticada para la venta masiva. No obstante, hay que balancear esto con la imagen: debemos transmitir profesionalismo, así que incluso el MVP debe ser presentable y seguro. Quizá la fase 1 sea una “preventa privada” a conocidos/inversores seed para 10-20% de los tokens, sin plataforma pública, y paralelamente desarrollar la versión pública para la venta retail.</w:t>
        <w:br w:type="textWrapping"/>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b w:val="1"/>
          <w:bCs w:val="1"/>
          <w:rtl w:val="0"/>
        </w:rPr>
        <w:t xml:space="preserve">Monitorear continuamente el entorno y ser flexible:</w:t>
      </w:r>
      <w:r w:rsidDel="00000000" w:rsidR="00000000" w:rsidRPr="00000000">
        <w:rPr>
          <w:rtl w:val="0"/>
        </w:rPr>
        <w:t xml:space="preserve"> El plan debe mantenerse ágil. Por ejemplo, monitorizar la evolución del proyecto del tren: si hay retrasos, ajustar nuestra estrategia de tiempos (tal vez prolongar el horizonte de salida, etc.). Monitorear regulación: si en medio de nuestro proceso el Congreso aprobara alguna ley fintech, adaptarnos de inmediato. Escuchar feedback de la comunidad inversionista: quizás descubrimos que ciertos términos no gustan (ej. algunos podrían querer que distribuyamos algún dividendo anual aunque sea simbólico; podríamos repartir una pequeña renta alquilando temporalmente el terreno para eventos, solo para mostrar flujo, si eso aumenta interés). En esencia, adoptar un enfoque </w:t>
      </w:r>
      <w:r w:rsidDel="00000000" w:rsidR="00000000" w:rsidRPr="00000000">
        <w:rPr>
          <w:i w:val="1"/>
          <w:iCs w:val="1"/>
          <w:rtl w:val="0"/>
        </w:rPr>
        <w:t xml:space="preserve">customer-centric</w:t>
      </w:r>
      <w:r w:rsidDel="00000000" w:rsidR="00000000" w:rsidRPr="00000000">
        <w:rPr>
          <w:rtl w:val="0"/>
        </w:rPr>
        <w:t xml:space="preserve">: el inversionista es nuestro cliente, y debemos iterar en el modelo de negocio según sus necesidades dentro de lo posible.</w:t>
        <w:br w:type="textWrapping"/>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Cierre estratégico:</w:t>
      </w:r>
      <w:r w:rsidDel="00000000" w:rsidR="00000000" w:rsidRPr="00000000">
        <w:rPr>
          <w:rtl w:val="0"/>
        </w:rPr>
        <w:t xml:space="preserve"> En conclusión, se recomienda </w:t>
      </w:r>
      <w:r w:rsidDel="00000000" w:rsidR="00000000" w:rsidRPr="00000000">
        <w:rPr>
          <w:b w:val="1"/>
          <w:bCs w:val="1"/>
          <w:rtl w:val="0"/>
        </w:rPr>
        <w:t xml:space="preserve">proceder con la ejecución del proyecto</w:t>
      </w:r>
      <w:r w:rsidDel="00000000" w:rsidR="00000000" w:rsidRPr="00000000">
        <w:rPr>
          <w:rtl w:val="0"/>
        </w:rPr>
        <w:t xml:space="preserve">, capitalizando su evidente potencial, pero con una postura cautelosa e informada en los frentes crítico: legal y confianza del inversionista. Este estudio de mercado refuerza la convicción de que un </w:t>
      </w:r>
      <w:r w:rsidDel="00000000" w:rsidR="00000000" w:rsidRPr="00000000">
        <w:rPr>
          <w:i w:val="1"/>
          <w:iCs w:val="1"/>
          <w:rtl w:val="0"/>
        </w:rPr>
        <w:t xml:space="preserve">Proyecto Inmobiliario Tokenizado en San Bartolo</w:t>
      </w:r>
      <w:r w:rsidDel="00000000" w:rsidR="00000000" w:rsidRPr="00000000">
        <w:rPr>
          <w:rtl w:val="0"/>
        </w:rPr>
        <w:t xml:space="preserve"> puede convertirse en un </w:t>
      </w:r>
      <w:r w:rsidDel="00000000" w:rsidR="00000000" w:rsidRPr="00000000">
        <w:rPr>
          <w:b w:val="1"/>
          <w:bCs w:val="1"/>
          <w:rtl w:val="0"/>
        </w:rPr>
        <w:t xml:space="preserve">caso de éxito</w:t>
      </w:r>
      <w:r w:rsidDel="00000000" w:rsidR="00000000" w:rsidRPr="00000000">
        <w:rPr>
          <w:rtl w:val="0"/>
        </w:rPr>
        <w:t xml:space="preserve"> y referencia en la región, combinando lo mejor de dos mundos: el </w:t>
      </w:r>
      <w:r w:rsidDel="00000000" w:rsidR="00000000" w:rsidRPr="00000000">
        <w:rPr>
          <w:b w:val="1"/>
          <w:bCs w:val="1"/>
          <w:rtl w:val="0"/>
        </w:rPr>
        <w:t xml:space="preserve">“ladrillo” tradicional</w:t>
      </w:r>
      <w:r w:rsidDel="00000000" w:rsidR="00000000" w:rsidRPr="00000000">
        <w:rPr>
          <w:rtl w:val="0"/>
        </w:rPr>
        <w:t xml:space="preserve"> peruano –un activo sólido en una zona en expansión– y la </w:t>
      </w:r>
      <w:r w:rsidDel="00000000" w:rsidR="00000000" w:rsidRPr="00000000">
        <w:rPr>
          <w:b w:val="1"/>
          <w:bCs w:val="1"/>
          <w:rtl w:val="0"/>
        </w:rPr>
        <w:t xml:space="preserve">vanguardia financiera digital</w:t>
      </w:r>
      <w:r w:rsidDel="00000000" w:rsidR="00000000" w:rsidRPr="00000000">
        <w:rPr>
          <w:rtl w:val="0"/>
        </w:rPr>
        <w:t xml:space="preserve"> –blockchain democratizando la inversión–. Con una estrategia bien dirigida, el resultado esperado a mediano plazo es un </w:t>
      </w:r>
      <w:r w:rsidDel="00000000" w:rsidR="00000000" w:rsidRPr="00000000">
        <w:rPr>
          <w:b w:val="1"/>
          <w:bCs w:val="1"/>
          <w:rtl w:val="0"/>
        </w:rPr>
        <w:t xml:space="preserve">ecosistema rentable, seguro y escalable</w:t>
      </w:r>
      <w:r w:rsidDel="00000000" w:rsidR="00000000" w:rsidRPr="00000000">
        <w:rPr>
          <w:rtl w:val="0"/>
        </w:rPr>
        <w:t xml:space="preserve">, donde cientos de personas habrán construido patrimonio gracias a este proyecto, validando el modelo para futuras replicaciones. La recomendación final a los socios e inversores es </w:t>
      </w:r>
      <w:r w:rsidDel="00000000" w:rsidR="00000000" w:rsidRPr="00000000">
        <w:rPr>
          <w:i w:val="1"/>
          <w:iCs w:val="1"/>
          <w:rtl w:val="0"/>
        </w:rPr>
        <w:t xml:space="preserve">apostar por esta iniciativa con la visión de largo plazo</w:t>
      </w:r>
      <w:r w:rsidDel="00000000" w:rsidR="00000000" w:rsidRPr="00000000">
        <w:rPr>
          <w:rtl w:val="0"/>
        </w:rPr>
        <w:t xml:space="preserve">, pues estamos no solo rentabilizando un terreno, sino inaugurando una nueva forma de hacer negocios inmobiliarios en el Perú. 🚀🏘️</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(Fin del estudio)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Fuentes y referencias seleccionadas:</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tl w:val="0"/>
        </w:rPr>
        <w:t xml:space="preserve">Plan de Desarrollo Urbano Lima Balnearios Sur 2025-2035 (Municipalidad de Lima) – proyecciones de población y urbanización</w:t>
      </w:r>
      <w:hyperlink r:id="rId36">
        <w:r w:rsidDel="00000000" w:rsidR="00000000" w:rsidRPr="00000000">
          <w:rPr>
            <w:color w:val="1155cc"/>
            <w:u w:val="single"/>
            <w:rtl w:val="0"/>
          </w:rPr>
          <w:t xml:space="preserve">caretas.pe</w:t>
        </w:r>
      </w:hyperlink>
      <w:r w:rsidDel="00000000" w:rsidR="00000000" w:rsidRPr="00000000">
        <w:rPr>
          <w:rtl w:val="0"/>
        </w:rPr>
        <w:t xml:space="preserve">.</w:t>
        <w:br w:type="textWrapping"/>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Artículo “Ferrocarril Lima–Ica: un viaje de alta velocidad...” (YakuPark, 2025) – detalles del proyecto de tren y su impacto regional</w:t>
      </w:r>
      <w:hyperlink r:id="rId37">
        <w:r w:rsidDel="00000000" w:rsidR="00000000" w:rsidRPr="00000000">
          <w:rPr>
            <w:color w:val="1155cc"/>
            <w:u w:val="single"/>
            <w:rtl w:val="0"/>
          </w:rPr>
          <w:t xml:space="preserve">yakupark.com</w:t>
        </w:r>
      </w:hyperlink>
      <w:hyperlink r:id="rId38">
        <w:r w:rsidDel="00000000" w:rsidR="00000000" w:rsidRPr="00000000">
          <w:rPr>
            <w:color w:val="1155cc"/>
            <w:u w:val="single"/>
            <w:rtl w:val="0"/>
          </w:rPr>
          <w:t xml:space="preserve">yakupark.com</w:t>
        </w:r>
      </w:hyperlink>
      <w:r w:rsidDel="00000000" w:rsidR="00000000" w:rsidRPr="00000000">
        <w:rPr>
          <w:rtl w:val="0"/>
        </w:rPr>
        <w:t xml:space="preserve">.</w:t>
        <w:br w:type="textWrapping"/>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Comunicado SMV sobre criptoactivos (2021) – situación regulatoria de tokens en Perú y advertencias al inversionista</w:t>
      </w:r>
      <w:hyperlink r:id="rId39">
        <w:r w:rsidDel="00000000" w:rsidR="00000000" w:rsidRPr="00000000">
          <w:rPr>
            <w:color w:val="1155cc"/>
            <w:u w:val="single"/>
            <w:rtl w:val="0"/>
          </w:rPr>
          <w:t xml:space="preserve">gob.pe</w:t>
        </w:r>
      </w:hyperlink>
      <w:hyperlink r:id="rId40">
        <w:r w:rsidDel="00000000" w:rsidR="00000000" w:rsidRPr="00000000">
          <w:rPr>
            <w:color w:val="1155cc"/>
            <w:u w:val="single"/>
            <w:rtl w:val="0"/>
          </w:rPr>
          <w:t xml:space="preserve">gob.pe</w:t>
        </w:r>
      </w:hyperlink>
      <w:r w:rsidDel="00000000" w:rsidR="00000000" w:rsidRPr="00000000">
        <w:rPr>
          <w:rtl w:val="0"/>
        </w:rPr>
        <w:t xml:space="preserve">.</w:t>
        <w:br w:type="textWrapping"/>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Infobae (Sep 2025), “Crowdfunding inmobiliario 30% anual en Perú” – estado del crowdfunding inmobiliario peruano, plataformas autorizadas por SMV</w:t>
      </w:r>
      <w:hyperlink r:id="rId41">
        <w:r w:rsidDel="00000000" w:rsidR="00000000" w:rsidRPr="00000000">
          <w:rPr>
            <w:color w:val="1155cc"/>
            <w:u w:val="single"/>
            <w:rtl w:val="0"/>
          </w:rPr>
          <w:t xml:space="preserve">infobae.com</w:t>
        </w:r>
      </w:hyperlink>
      <w:hyperlink r:id="rId42">
        <w:r w:rsidDel="00000000" w:rsidR="00000000" w:rsidRPr="00000000">
          <w:rPr>
            <w:color w:val="1155cc"/>
            <w:u w:val="single"/>
            <w:rtl w:val="0"/>
          </w:rPr>
          <w:t xml:space="preserve">infobae.com</w:t>
        </w:r>
      </w:hyperlink>
      <w:r w:rsidDel="00000000" w:rsidR="00000000" w:rsidRPr="00000000">
        <w:rPr>
          <w:rtl w:val="0"/>
        </w:rPr>
        <w:t xml:space="preserve">.</w:t>
        <w:br w:type="textWrapping"/>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Forbes Colombia (Mar 2024), “Tokenización vivienda ‘vaca virtual’” – análisis legal regional: uso de fiduciarias, Ley Fintech MX, caso España MiCA</w:t>
      </w:r>
      <w:hyperlink r:id="rId43">
        <w:r w:rsidDel="00000000" w:rsidR="00000000" w:rsidRPr="00000000">
          <w:rPr>
            <w:color w:val="1155cc"/>
            <w:u w:val="single"/>
            <w:rtl w:val="0"/>
          </w:rPr>
          <w:t xml:space="preserve">forbes.co</w:t>
        </w:r>
      </w:hyperlink>
      <w:hyperlink r:id="rId44">
        <w:r w:rsidDel="00000000" w:rsidR="00000000" w:rsidRPr="00000000">
          <w:rPr>
            <w:color w:val="1155cc"/>
            <w:u w:val="single"/>
            <w:rtl w:val="0"/>
          </w:rPr>
          <w:t xml:space="preserve">forbes.co</w:t>
        </w:r>
      </w:hyperlink>
      <w:r w:rsidDel="00000000" w:rsidR="00000000" w:rsidRPr="00000000">
        <w:rPr>
          <w:rtl w:val="0"/>
        </w:rPr>
        <w:t xml:space="preserve">.</w:t>
        <w:br w:type="textWrapping"/>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Cointelegraph Español (2022), informe BCG/ADDX – potencial global de tokenización de activos ilíquidos a 2030</w:t>
      </w:r>
      <w:hyperlink r:id="rId45">
        <w:r w:rsidDel="00000000" w:rsidR="00000000" w:rsidRPr="00000000">
          <w:rPr>
            <w:color w:val="1155cc"/>
            <w:u w:val="single"/>
            <w:rtl w:val="0"/>
          </w:rPr>
          <w:t xml:space="preserve">es.cointelegraph.com</w:t>
        </w:r>
      </w:hyperlink>
      <w:hyperlink r:id="rId46">
        <w:r w:rsidDel="00000000" w:rsidR="00000000" w:rsidRPr="00000000">
          <w:rPr>
            <w:color w:val="1155cc"/>
            <w:u w:val="single"/>
            <w:rtl w:val="0"/>
          </w:rPr>
          <w:t xml:space="preserve">es.cointelegraph.com</w:t>
        </w:r>
      </w:hyperlink>
      <w:r w:rsidDel="00000000" w:rsidR="00000000" w:rsidRPr="00000000">
        <w:rPr>
          <w:rtl w:val="0"/>
        </w:rPr>
        <w:t xml:space="preserve">.</w:t>
        <w:br w:type="textWrapping"/>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El Español – Invertia (Mar 2025), “Reental supera €32M tokenizados” – crecimiento de plataforma española y rendimiento medio</w:t>
      </w:r>
      <w:hyperlink r:id="rId47">
        <w:r w:rsidDel="00000000" w:rsidR="00000000" w:rsidRPr="00000000">
          <w:rPr>
            <w:color w:val="1155cc"/>
            <w:u w:val="single"/>
            <w:rtl w:val="0"/>
          </w:rPr>
          <w:t xml:space="preserve">elespanol.com</w:t>
        </w:r>
      </w:hyperlink>
      <w:hyperlink r:id="rId48">
        <w:r w:rsidDel="00000000" w:rsidR="00000000" w:rsidRPr="00000000">
          <w:rPr>
            <w:color w:val="1155cc"/>
            <w:u w:val="single"/>
            <w:rtl w:val="0"/>
          </w:rPr>
          <w:t xml:space="preserve">elespanol.com</w:t>
        </w:r>
      </w:hyperlink>
      <w:r w:rsidDel="00000000" w:rsidR="00000000" w:rsidRPr="00000000">
        <w:rPr>
          <w:rtl w:val="0"/>
        </w:rPr>
        <w:t xml:space="preserve">.</w:t>
        <w:br w:type="textWrapping"/>
      </w:r>
    </w:p>
    <w:p w:rsidR="00000000" w:rsidDel="00000000" w:rsidP="00000000" w:rsidRDefault="00000000" w:rsidRPr="00000000" w14:paraId="0000009C">
      <w:pPr>
        <w:numPr>
          <w:ilvl w:val="0"/>
          <w:numId w:val="2"/>
        </w:numPr>
        <w:spacing w:after="240" w:before="0" w:beforeAutospacing="0" w:lineRule="auto"/>
        <w:ind w:left="720" w:hanging="360"/>
      </w:pPr>
      <w:r w:rsidDel="00000000" w:rsidR="00000000" w:rsidRPr="00000000">
        <w:rPr>
          <w:rtl w:val="0"/>
        </w:rPr>
        <w:t xml:space="preserve">Business Plan interno del proyecto (2025) – datos financieros preliminares, estrategias de mitigación y perfil objetivo de inversionistas.</w:t>
      </w:r>
    </w:p>
    <w:p w:rsidR="00000000" w:rsidDel="00000000" w:rsidP="00000000" w:rsidRDefault="00000000" w:rsidRPr="00000000" w14:paraId="0000009D">
      <w:pPr>
        <w:spacing w:after="240" w:before="240" w:lineRule="auto"/>
        <w:ind w:left="0" w:firstLine="0"/>
        <w:rPr/>
      </w:pPr>
      <w:r w:rsidDel="00000000" w:rsidR="00000000" w:rsidRPr="00000000">
        <w:rPr>
          <w:rtl w:val="0"/>
        </w:rPr>
      </w:r>
    </w:p>
    <w:bookmarkStart w:colFirst="0" w:colLast="0" w:name="kix.z5ltxlpnrut4" w:id="11"/>
    <w:bookmarkEnd w:id="11"/>
    <w:p w:rsidR="00000000" w:rsidDel="00000000" w:rsidP="00000000" w:rsidRDefault="00000000" w:rsidRPr="00000000" w14:paraId="0000009E">
      <w:pPr>
        <w:spacing w:after="180" w:before="180" w:line="240" w:lineRule="auto"/>
        <w:rPr>
          <w:rFonts w:ascii="Aptos" w:cs="Aptos" w:eastAsia="Aptos" w:hAnsi="Aptos"/>
          <w:sz w:val="24"/>
          <w:szCs w:val="24"/>
        </w:rPr>
      </w:pPr>
      <w:hyperlink r:id="rId49">
        <w:r w:rsidDel="00000000" w:rsidR="00000000" w:rsidRPr="00000000">
          <w:rPr>
            <w:rFonts w:ascii="Aptos" w:cs="Aptos" w:eastAsia="Aptos" w:hAnsi="Aptos"/>
            <w:color w:val="156082"/>
            <w:sz w:val="24"/>
            <w:szCs w:val="24"/>
            <w:rtl w:val="0"/>
          </w:rPr>
          <w:t xml:space="preserve">[1]</w:t>
        </w:r>
      </w:hyperlink>
      <w:r w:rsidDel="00000000" w:rsidR="00000000" w:rsidRPr="00000000">
        <w:rPr>
          <w:rFonts w:ascii="Aptos" w:cs="Aptos" w:eastAsia="Aptos" w:hAnsi="Aptos"/>
          <w:sz w:val="24"/>
          <w:szCs w:val="24"/>
          <w:rtl w:val="0"/>
        </w:rPr>
        <w:t xml:space="preserve"> </w:t>
      </w:r>
      <w:hyperlink r:id="rId50">
        <w:r w:rsidDel="00000000" w:rsidR="00000000" w:rsidRPr="00000000">
          <w:rPr>
            <w:rFonts w:ascii="Aptos" w:cs="Aptos" w:eastAsia="Aptos" w:hAnsi="Aptos"/>
            <w:color w:val="156082"/>
            <w:sz w:val="24"/>
            <w:szCs w:val="24"/>
            <w:rtl w:val="0"/>
          </w:rPr>
          <w:t xml:space="preserve">[6]</w:t>
        </w:r>
      </w:hyperlink>
      <w:r w:rsidDel="00000000" w:rsidR="00000000" w:rsidRPr="00000000">
        <w:rPr>
          <w:rFonts w:ascii="Aptos" w:cs="Aptos" w:eastAsia="Aptos" w:hAnsi="Aptos"/>
          <w:sz w:val="24"/>
          <w:szCs w:val="24"/>
          <w:rtl w:val="0"/>
        </w:rPr>
        <w:t xml:space="preserve"> </w:t>
      </w:r>
      <w:hyperlink r:id="rId51">
        <w:r w:rsidDel="00000000" w:rsidR="00000000" w:rsidRPr="00000000">
          <w:rPr>
            <w:rFonts w:ascii="Aptos" w:cs="Aptos" w:eastAsia="Aptos" w:hAnsi="Aptos"/>
            <w:color w:val="156082"/>
            <w:sz w:val="24"/>
            <w:szCs w:val="24"/>
            <w:rtl w:val="0"/>
          </w:rPr>
          <w:t xml:space="preserve">[9]</w:t>
        </w:r>
      </w:hyperlink>
      <w:r w:rsidDel="00000000" w:rsidR="00000000" w:rsidRPr="00000000">
        <w:rPr>
          <w:rFonts w:ascii="Aptos" w:cs="Aptos" w:eastAsia="Aptos" w:hAnsi="Aptos"/>
          <w:sz w:val="24"/>
          <w:szCs w:val="24"/>
          <w:rtl w:val="0"/>
        </w:rPr>
        <w:t xml:space="preserve"> </w:t>
      </w:r>
      <w:hyperlink r:id="rId52">
        <w:r w:rsidDel="00000000" w:rsidR="00000000" w:rsidRPr="00000000">
          <w:rPr>
            <w:rFonts w:ascii="Aptos" w:cs="Aptos" w:eastAsia="Aptos" w:hAnsi="Aptos"/>
            <w:color w:val="156082"/>
            <w:sz w:val="24"/>
            <w:szCs w:val="24"/>
            <w:rtl w:val="0"/>
          </w:rPr>
          <w:t xml:space="preserve">[12]</w:t>
        </w:r>
      </w:hyperlink>
      <w:r w:rsidDel="00000000" w:rsidR="00000000" w:rsidRPr="00000000">
        <w:rPr>
          <w:rFonts w:ascii="Aptos" w:cs="Aptos" w:eastAsia="Aptos" w:hAnsi="Aptos"/>
          <w:sz w:val="24"/>
          <w:szCs w:val="24"/>
          <w:rtl w:val="0"/>
        </w:rPr>
        <w:t xml:space="preserve"> </w:t>
      </w:r>
      <w:hyperlink r:id="rId53">
        <w:r w:rsidDel="00000000" w:rsidR="00000000" w:rsidRPr="00000000">
          <w:rPr>
            <w:rFonts w:ascii="Aptos" w:cs="Aptos" w:eastAsia="Aptos" w:hAnsi="Aptos"/>
            <w:color w:val="156082"/>
            <w:sz w:val="24"/>
            <w:szCs w:val="24"/>
            <w:rtl w:val="0"/>
          </w:rPr>
          <w:t xml:space="preserve">[15]</w:t>
        </w:r>
      </w:hyperlink>
      <w:r w:rsidDel="00000000" w:rsidR="00000000" w:rsidRPr="00000000">
        <w:rPr>
          <w:rFonts w:ascii="Aptos" w:cs="Aptos" w:eastAsia="Aptos" w:hAnsi="Aptos"/>
          <w:sz w:val="24"/>
          <w:szCs w:val="24"/>
          <w:rtl w:val="0"/>
        </w:rPr>
        <w:t xml:space="preserve"> </w:t>
      </w:r>
      <w:hyperlink r:id="rId54">
        <w:r w:rsidDel="00000000" w:rsidR="00000000" w:rsidRPr="00000000">
          <w:rPr>
            <w:rFonts w:ascii="Aptos" w:cs="Aptos" w:eastAsia="Aptos" w:hAnsi="Aptos"/>
            <w:color w:val="156082"/>
            <w:sz w:val="24"/>
            <w:szCs w:val="24"/>
            <w:rtl w:val="0"/>
          </w:rPr>
          <w:t xml:space="preserve">[19]</w:t>
        </w:r>
      </w:hyperlink>
      <w:r w:rsidDel="00000000" w:rsidR="00000000" w:rsidRPr="00000000">
        <w:rPr>
          <w:rFonts w:ascii="Aptos" w:cs="Aptos" w:eastAsia="Aptos" w:hAnsi="Aptos"/>
          <w:sz w:val="24"/>
          <w:szCs w:val="24"/>
          <w:rtl w:val="0"/>
        </w:rPr>
        <w:t xml:space="preserve"> </w:t>
      </w:r>
      <w:hyperlink r:id="rId55">
        <w:r w:rsidDel="00000000" w:rsidR="00000000" w:rsidRPr="00000000">
          <w:rPr>
            <w:rFonts w:ascii="Aptos" w:cs="Aptos" w:eastAsia="Aptos" w:hAnsi="Aptos"/>
            <w:color w:val="156082"/>
            <w:sz w:val="24"/>
            <w:szCs w:val="24"/>
            <w:rtl w:val="0"/>
          </w:rPr>
          <w:t xml:space="preserve">[20]</w:t>
        </w:r>
      </w:hyperlink>
      <w:r w:rsidDel="00000000" w:rsidR="00000000" w:rsidRPr="00000000">
        <w:rPr>
          <w:rFonts w:ascii="Aptos" w:cs="Aptos" w:eastAsia="Aptos" w:hAnsi="Aptos"/>
          <w:sz w:val="24"/>
          <w:szCs w:val="24"/>
          <w:rtl w:val="0"/>
        </w:rPr>
        <w:t xml:space="preserve"> </w:t>
      </w:r>
      <w:hyperlink r:id="rId56">
        <w:r w:rsidDel="00000000" w:rsidR="00000000" w:rsidRPr="00000000">
          <w:rPr>
            <w:rFonts w:ascii="Aptos" w:cs="Aptos" w:eastAsia="Aptos" w:hAnsi="Aptos"/>
            <w:color w:val="156082"/>
            <w:sz w:val="24"/>
            <w:szCs w:val="24"/>
            <w:rtl w:val="0"/>
          </w:rPr>
          <w:t xml:space="preserve">[22]</w:t>
        </w:r>
      </w:hyperlink>
      <w:r w:rsidDel="00000000" w:rsidR="00000000" w:rsidRPr="00000000">
        <w:rPr>
          <w:rFonts w:ascii="Aptos" w:cs="Aptos" w:eastAsia="Aptos" w:hAnsi="Aptos"/>
          <w:sz w:val="24"/>
          <w:szCs w:val="24"/>
          <w:rtl w:val="0"/>
        </w:rPr>
        <w:t xml:space="preserve"> </w:t>
      </w:r>
      <w:hyperlink r:id="rId57">
        <w:r w:rsidDel="00000000" w:rsidR="00000000" w:rsidRPr="00000000">
          <w:rPr>
            <w:rFonts w:ascii="Aptos" w:cs="Aptos" w:eastAsia="Aptos" w:hAnsi="Aptos"/>
            <w:color w:val="156082"/>
            <w:sz w:val="24"/>
            <w:szCs w:val="24"/>
            <w:rtl w:val="0"/>
          </w:rPr>
          <w:t xml:space="preserve">[23]</w:t>
        </w:r>
      </w:hyperlink>
      <w:r w:rsidDel="00000000" w:rsidR="00000000" w:rsidRPr="00000000">
        <w:rPr>
          <w:rFonts w:ascii="Aptos" w:cs="Aptos" w:eastAsia="Aptos" w:hAnsi="Aptos"/>
          <w:sz w:val="24"/>
          <w:szCs w:val="24"/>
          <w:rtl w:val="0"/>
        </w:rPr>
        <w:t xml:space="preserve"> </w:t>
      </w:r>
      <w:hyperlink r:id="rId58">
        <w:r w:rsidDel="00000000" w:rsidR="00000000" w:rsidRPr="00000000">
          <w:rPr>
            <w:rFonts w:ascii="Aptos" w:cs="Aptos" w:eastAsia="Aptos" w:hAnsi="Aptos"/>
            <w:color w:val="156082"/>
            <w:sz w:val="24"/>
            <w:szCs w:val="24"/>
            <w:rtl w:val="0"/>
          </w:rPr>
          <w:t xml:space="preserve">[31]</w:t>
        </w:r>
      </w:hyperlink>
      <w:r w:rsidDel="00000000" w:rsidR="00000000" w:rsidRPr="00000000">
        <w:rPr>
          <w:rFonts w:ascii="Aptos" w:cs="Aptos" w:eastAsia="Aptos" w:hAnsi="Aptos"/>
          <w:sz w:val="24"/>
          <w:szCs w:val="24"/>
          <w:rtl w:val="0"/>
        </w:rPr>
        <w:t xml:space="preserve"> </w:t>
      </w:r>
      <w:hyperlink r:id="rId59">
        <w:r w:rsidDel="00000000" w:rsidR="00000000" w:rsidRPr="00000000">
          <w:rPr>
            <w:rFonts w:ascii="Aptos" w:cs="Aptos" w:eastAsia="Aptos" w:hAnsi="Aptos"/>
            <w:color w:val="156082"/>
            <w:sz w:val="24"/>
            <w:szCs w:val="24"/>
            <w:rtl w:val="0"/>
          </w:rPr>
          <w:t xml:space="preserve">[34]</w:t>
        </w:r>
      </w:hyperlink>
      <w:r w:rsidDel="00000000" w:rsidR="00000000" w:rsidRPr="00000000">
        <w:rPr>
          <w:rFonts w:ascii="Aptos" w:cs="Aptos" w:eastAsia="Aptos" w:hAnsi="Aptos"/>
          <w:sz w:val="24"/>
          <w:szCs w:val="24"/>
          <w:rtl w:val="0"/>
        </w:rPr>
        <w:t xml:space="preserve"> </w:t>
      </w:r>
      <w:hyperlink r:id="rId60">
        <w:r w:rsidDel="00000000" w:rsidR="00000000" w:rsidRPr="00000000">
          <w:rPr>
            <w:rFonts w:ascii="Aptos" w:cs="Aptos" w:eastAsia="Aptos" w:hAnsi="Aptos"/>
            <w:color w:val="156082"/>
            <w:sz w:val="24"/>
            <w:szCs w:val="24"/>
            <w:rtl w:val="0"/>
          </w:rPr>
          <w:t xml:space="preserve">[35]</w:t>
        </w:r>
      </w:hyperlink>
      <w:r w:rsidDel="00000000" w:rsidR="00000000" w:rsidRPr="00000000">
        <w:rPr>
          <w:rFonts w:ascii="Aptos" w:cs="Aptos" w:eastAsia="Aptos" w:hAnsi="Aptos"/>
          <w:sz w:val="24"/>
          <w:szCs w:val="24"/>
          <w:rtl w:val="0"/>
        </w:rPr>
        <w:t xml:space="preserve"> </w:t>
      </w:r>
      <w:hyperlink r:id="rId61">
        <w:r w:rsidDel="00000000" w:rsidR="00000000" w:rsidRPr="00000000">
          <w:rPr>
            <w:rFonts w:ascii="Aptos" w:cs="Aptos" w:eastAsia="Aptos" w:hAnsi="Aptos"/>
            <w:color w:val="156082"/>
            <w:sz w:val="24"/>
            <w:szCs w:val="24"/>
            <w:rtl w:val="0"/>
          </w:rPr>
          <w:t xml:space="preserve">[36]</w:t>
        </w:r>
      </w:hyperlink>
      <w:r w:rsidDel="00000000" w:rsidR="00000000" w:rsidRPr="00000000">
        <w:rPr>
          <w:rFonts w:ascii="Aptos" w:cs="Aptos" w:eastAsia="Aptos" w:hAnsi="Aptos"/>
          <w:sz w:val="24"/>
          <w:szCs w:val="24"/>
          <w:rtl w:val="0"/>
        </w:rPr>
        <w:t xml:space="preserve"> </w:t>
      </w:r>
      <w:hyperlink r:id="rId62">
        <w:r w:rsidDel="00000000" w:rsidR="00000000" w:rsidRPr="00000000">
          <w:rPr>
            <w:rFonts w:ascii="Aptos" w:cs="Aptos" w:eastAsia="Aptos" w:hAnsi="Aptos"/>
            <w:color w:val="156082"/>
            <w:sz w:val="24"/>
            <w:szCs w:val="24"/>
            <w:rtl w:val="0"/>
          </w:rPr>
          <w:t xml:space="preserve">[37]</w:t>
        </w:r>
      </w:hyperlink>
      <w:r w:rsidDel="00000000" w:rsidR="00000000" w:rsidRPr="00000000">
        <w:rPr>
          <w:rFonts w:ascii="Aptos" w:cs="Aptos" w:eastAsia="Aptos" w:hAnsi="Aptos"/>
          <w:sz w:val="24"/>
          <w:szCs w:val="24"/>
          <w:rtl w:val="0"/>
        </w:rPr>
        <w:t xml:space="preserve"> </w:t>
      </w:r>
      <w:hyperlink r:id="rId63">
        <w:r w:rsidDel="00000000" w:rsidR="00000000" w:rsidRPr="00000000">
          <w:rPr>
            <w:rFonts w:ascii="Aptos" w:cs="Aptos" w:eastAsia="Aptos" w:hAnsi="Aptos"/>
            <w:color w:val="156082"/>
            <w:sz w:val="24"/>
            <w:szCs w:val="24"/>
            <w:rtl w:val="0"/>
          </w:rPr>
          <w:t xml:space="preserve">[38]</w:t>
        </w:r>
      </w:hyperlink>
      <w:r w:rsidDel="00000000" w:rsidR="00000000" w:rsidRPr="00000000">
        <w:rPr>
          <w:rFonts w:ascii="Aptos" w:cs="Aptos" w:eastAsia="Aptos" w:hAnsi="Aptos"/>
          <w:sz w:val="24"/>
          <w:szCs w:val="24"/>
          <w:rtl w:val="0"/>
        </w:rPr>
        <w:t xml:space="preserve"> </w:t>
      </w:r>
      <w:hyperlink r:id="rId64">
        <w:r w:rsidDel="00000000" w:rsidR="00000000" w:rsidRPr="00000000">
          <w:rPr>
            <w:rFonts w:ascii="Aptos" w:cs="Aptos" w:eastAsia="Aptos" w:hAnsi="Aptos"/>
            <w:color w:val="156082"/>
            <w:sz w:val="24"/>
            <w:szCs w:val="24"/>
            <w:rtl w:val="0"/>
          </w:rPr>
          <w:t xml:space="preserve">[39]</w:t>
        </w:r>
      </w:hyperlink>
      <w:r w:rsidDel="00000000" w:rsidR="00000000" w:rsidRPr="00000000">
        <w:rPr>
          <w:rFonts w:ascii="Aptos" w:cs="Aptos" w:eastAsia="Aptos" w:hAnsi="Aptos"/>
          <w:sz w:val="24"/>
          <w:szCs w:val="24"/>
          <w:rtl w:val="0"/>
        </w:rPr>
        <w:t xml:space="preserve"> </w:t>
      </w:r>
      <w:hyperlink r:id="rId65">
        <w:r w:rsidDel="00000000" w:rsidR="00000000" w:rsidRPr="00000000">
          <w:rPr>
            <w:rFonts w:ascii="Aptos" w:cs="Aptos" w:eastAsia="Aptos" w:hAnsi="Aptos"/>
            <w:color w:val="156082"/>
            <w:sz w:val="24"/>
            <w:szCs w:val="24"/>
            <w:rtl w:val="0"/>
          </w:rPr>
          <w:t xml:space="preserve">[40]</w:t>
        </w:r>
      </w:hyperlink>
      <w:r w:rsidDel="00000000" w:rsidR="00000000" w:rsidRPr="00000000">
        <w:rPr>
          <w:rFonts w:ascii="Aptos" w:cs="Aptos" w:eastAsia="Aptos" w:hAnsi="Aptos"/>
          <w:sz w:val="24"/>
          <w:szCs w:val="24"/>
          <w:rtl w:val="0"/>
        </w:rPr>
        <w:t xml:space="preserve"> </w:t>
      </w:r>
      <w:hyperlink r:id="rId66">
        <w:r w:rsidDel="00000000" w:rsidR="00000000" w:rsidRPr="00000000">
          <w:rPr>
            <w:rFonts w:ascii="Aptos" w:cs="Aptos" w:eastAsia="Aptos" w:hAnsi="Aptos"/>
            <w:color w:val="156082"/>
            <w:sz w:val="24"/>
            <w:szCs w:val="24"/>
            <w:rtl w:val="0"/>
          </w:rPr>
          <w:t xml:space="preserve">[41]</w:t>
        </w:r>
      </w:hyperlink>
      <w:r w:rsidDel="00000000" w:rsidR="00000000" w:rsidRPr="00000000">
        <w:rPr>
          <w:rFonts w:ascii="Aptos" w:cs="Aptos" w:eastAsia="Aptos" w:hAnsi="Aptos"/>
          <w:sz w:val="24"/>
          <w:szCs w:val="24"/>
          <w:rtl w:val="0"/>
        </w:rPr>
        <w:t xml:space="preserve"> </w:t>
      </w:r>
      <w:hyperlink r:id="rId67">
        <w:r w:rsidDel="00000000" w:rsidR="00000000" w:rsidRPr="00000000">
          <w:rPr>
            <w:rFonts w:ascii="Aptos" w:cs="Aptos" w:eastAsia="Aptos" w:hAnsi="Aptos"/>
            <w:color w:val="156082"/>
            <w:sz w:val="24"/>
            <w:szCs w:val="24"/>
            <w:rtl w:val="0"/>
          </w:rPr>
          <w:t xml:space="preserve">[42]</w:t>
        </w:r>
      </w:hyperlink>
      <w:r w:rsidDel="00000000" w:rsidR="00000000" w:rsidRPr="00000000">
        <w:rPr>
          <w:rFonts w:ascii="Aptos" w:cs="Aptos" w:eastAsia="Aptos" w:hAnsi="Aptos"/>
          <w:sz w:val="24"/>
          <w:szCs w:val="24"/>
          <w:rtl w:val="0"/>
        </w:rPr>
        <w:t xml:space="preserve"> </w:t>
      </w:r>
      <w:hyperlink r:id="rId68">
        <w:r w:rsidDel="00000000" w:rsidR="00000000" w:rsidRPr="00000000">
          <w:rPr>
            <w:rFonts w:ascii="Aptos" w:cs="Aptos" w:eastAsia="Aptos" w:hAnsi="Aptos"/>
            <w:color w:val="156082"/>
            <w:sz w:val="24"/>
            <w:szCs w:val="24"/>
            <w:rtl w:val="0"/>
          </w:rPr>
          <w:t xml:space="preserve">[43]</w:t>
        </w:r>
      </w:hyperlink>
      <w:r w:rsidDel="00000000" w:rsidR="00000000" w:rsidRPr="00000000">
        <w:rPr>
          <w:rFonts w:ascii="Aptos" w:cs="Aptos" w:eastAsia="Aptos" w:hAnsi="Aptos"/>
          <w:sz w:val="24"/>
          <w:szCs w:val="24"/>
          <w:rtl w:val="0"/>
        </w:rPr>
        <w:t xml:space="preserve"> </w:t>
      </w:r>
      <w:hyperlink r:id="rId69">
        <w:r w:rsidDel="00000000" w:rsidR="00000000" w:rsidRPr="00000000">
          <w:rPr>
            <w:rFonts w:ascii="Aptos" w:cs="Aptos" w:eastAsia="Aptos" w:hAnsi="Aptos"/>
            <w:color w:val="156082"/>
            <w:sz w:val="24"/>
            <w:szCs w:val="24"/>
            <w:rtl w:val="0"/>
          </w:rPr>
          <w:t xml:space="preserve">[44]</w:t>
        </w:r>
      </w:hyperlink>
      <w:r w:rsidDel="00000000" w:rsidR="00000000" w:rsidRPr="00000000">
        <w:rPr>
          <w:rFonts w:ascii="Aptos" w:cs="Aptos" w:eastAsia="Aptos" w:hAnsi="Aptos"/>
          <w:sz w:val="24"/>
          <w:szCs w:val="24"/>
          <w:rtl w:val="0"/>
        </w:rPr>
        <w:t xml:space="preserve"> V2_Business_Plan_Tokenizacion_San_Bartolo_a completar.pdf</w:t>
      </w:r>
    </w:p>
    <w:p w:rsidR="00000000" w:rsidDel="00000000" w:rsidP="00000000" w:rsidRDefault="00000000" w:rsidRPr="00000000" w14:paraId="0000009F">
      <w:pPr>
        <w:spacing w:after="180" w:before="180" w:line="240" w:lineRule="auto"/>
        <w:rPr>
          <w:rFonts w:ascii="Aptos" w:cs="Aptos" w:eastAsia="Aptos" w:hAnsi="Aptos"/>
          <w:sz w:val="24"/>
          <w:szCs w:val="24"/>
        </w:rPr>
      </w:pPr>
      <w:hyperlink r:id="rId70">
        <w:r w:rsidDel="00000000" w:rsidR="00000000" w:rsidRPr="00000000">
          <w:rPr>
            <w:rFonts w:ascii="Aptos" w:cs="Aptos" w:eastAsia="Aptos" w:hAnsi="Aptos"/>
            <w:color w:val="156082"/>
            <w:sz w:val="24"/>
            <w:szCs w:val="24"/>
            <w:rtl w:val="0"/>
          </w:rPr>
          <w:t xml:space="preserve">file://file-7M1uoM7mtCdy9bw2nucr2e</w:t>
        </w:r>
      </w:hyperlink>
      <w:r w:rsidDel="00000000" w:rsidR="00000000" w:rsidRPr="00000000">
        <w:rPr>
          <w:rtl w:val="0"/>
        </w:rPr>
      </w:r>
    </w:p>
    <w:p w:rsidR="00000000" w:rsidDel="00000000" w:rsidP="00000000" w:rsidRDefault="00000000" w:rsidRPr="00000000" w14:paraId="000000A0">
      <w:pPr>
        <w:spacing w:after="180" w:before="180" w:line="240" w:lineRule="auto"/>
        <w:rPr>
          <w:rFonts w:ascii="Aptos" w:cs="Aptos" w:eastAsia="Aptos" w:hAnsi="Aptos"/>
          <w:sz w:val="24"/>
          <w:szCs w:val="24"/>
        </w:rPr>
      </w:pPr>
      <w:hyperlink r:id="rId71">
        <w:r w:rsidDel="00000000" w:rsidR="00000000" w:rsidRPr="00000000">
          <w:rPr>
            <w:rFonts w:ascii="Aptos" w:cs="Aptos" w:eastAsia="Aptos" w:hAnsi="Aptos"/>
            <w:color w:val="156082"/>
            <w:sz w:val="24"/>
            <w:szCs w:val="24"/>
            <w:rtl w:val="0"/>
          </w:rPr>
          <w:t xml:space="preserve">[2]</w:t>
        </w:r>
      </w:hyperlink>
      <w:r w:rsidDel="00000000" w:rsidR="00000000" w:rsidRPr="00000000">
        <w:rPr>
          <w:rFonts w:ascii="Aptos" w:cs="Aptos" w:eastAsia="Aptos" w:hAnsi="Aptos"/>
          <w:sz w:val="24"/>
          <w:szCs w:val="24"/>
          <w:rtl w:val="0"/>
        </w:rPr>
        <w:t xml:space="preserve"> </w:t>
      </w:r>
      <w:hyperlink r:id="rId72">
        <w:r w:rsidDel="00000000" w:rsidR="00000000" w:rsidRPr="00000000">
          <w:rPr>
            <w:rFonts w:ascii="Aptos" w:cs="Aptos" w:eastAsia="Aptos" w:hAnsi="Aptos"/>
            <w:color w:val="156082"/>
            <w:sz w:val="24"/>
            <w:szCs w:val="24"/>
            <w:rtl w:val="0"/>
          </w:rPr>
          <w:t xml:space="preserve">[14]</w:t>
        </w:r>
      </w:hyperlink>
      <w:r w:rsidDel="00000000" w:rsidR="00000000" w:rsidRPr="00000000">
        <w:rPr>
          <w:rFonts w:ascii="Aptos" w:cs="Aptos" w:eastAsia="Aptos" w:hAnsi="Aptos"/>
          <w:sz w:val="24"/>
          <w:szCs w:val="24"/>
          <w:rtl w:val="0"/>
        </w:rPr>
        <w:t xml:space="preserve"> Aprueban Plan de Desarrollo Urbano 2025-2035 para Balnearios del Sur de Lima - Caretas Nacional</w:t>
      </w:r>
    </w:p>
    <w:p w:rsidR="00000000" w:rsidDel="00000000" w:rsidP="00000000" w:rsidRDefault="00000000" w:rsidRPr="00000000" w14:paraId="000000A1">
      <w:pPr>
        <w:spacing w:after="180" w:before="180" w:line="240" w:lineRule="auto"/>
        <w:rPr>
          <w:rFonts w:ascii="Aptos" w:cs="Aptos" w:eastAsia="Aptos" w:hAnsi="Aptos"/>
          <w:sz w:val="24"/>
          <w:szCs w:val="24"/>
        </w:rPr>
      </w:pPr>
      <w:hyperlink r:id="rId73">
        <w:r w:rsidDel="00000000" w:rsidR="00000000" w:rsidRPr="00000000">
          <w:rPr>
            <w:rFonts w:ascii="Aptos" w:cs="Aptos" w:eastAsia="Aptos" w:hAnsi="Aptos"/>
            <w:color w:val="156082"/>
            <w:sz w:val="24"/>
            <w:szCs w:val="24"/>
            <w:rtl w:val="0"/>
          </w:rPr>
          <w:t xml:space="preserve">https://caretas.pe/nacional/aprueban-plan-de-desarrollo-urbano-2025-2035-para-balnearios-del-sur-de-lima/</w:t>
        </w:r>
      </w:hyperlink>
      <w:r w:rsidDel="00000000" w:rsidR="00000000" w:rsidRPr="00000000">
        <w:rPr>
          <w:rtl w:val="0"/>
        </w:rPr>
      </w:r>
    </w:p>
    <w:p w:rsidR="00000000" w:rsidDel="00000000" w:rsidP="00000000" w:rsidRDefault="00000000" w:rsidRPr="00000000" w14:paraId="000000A2">
      <w:pPr>
        <w:spacing w:after="180" w:before="180" w:line="240" w:lineRule="auto"/>
        <w:rPr>
          <w:rFonts w:ascii="Aptos" w:cs="Aptos" w:eastAsia="Aptos" w:hAnsi="Aptos"/>
          <w:sz w:val="24"/>
          <w:szCs w:val="24"/>
        </w:rPr>
      </w:pPr>
      <w:hyperlink r:id="rId74">
        <w:r w:rsidDel="00000000" w:rsidR="00000000" w:rsidRPr="00000000">
          <w:rPr>
            <w:rFonts w:ascii="Aptos" w:cs="Aptos" w:eastAsia="Aptos" w:hAnsi="Aptos"/>
            <w:color w:val="156082"/>
            <w:sz w:val="24"/>
            <w:szCs w:val="24"/>
            <w:rtl w:val="0"/>
          </w:rPr>
          <w:t xml:space="preserve">[3]</w:t>
        </w:r>
      </w:hyperlink>
      <w:r w:rsidDel="00000000" w:rsidR="00000000" w:rsidRPr="00000000">
        <w:rPr>
          <w:rFonts w:ascii="Aptos" w:cs="Aptos" w:eastAsia="Aptos" w:hAnsi="Aptos"/>
          <w:sz w:val="24"/>
          <w:szCs w:val="24"/>
          <w:rtl w:val="0"/>
        </w:rPr>
        <w:t xml:space="preserve"> </w:t>
      </w:r>
      <w:hyperlink r:id="rId75">
        <w:r w:rsidDel="00000000" w:rsidR="00000000" w:rsidRPr="00000000">
          <w:rPr>
            <w:rFonts w:ascii="Aptos" w:cs="Aptos" w:eastAsia="Aptos" w:hAnsi="Aptos"/>
            <w:color w:val="156082"/>
            <w:sz w:val="24"/>
            <w:szCs w:val="24"/>
            <w:rtl w:val="0"/>
          </w:rPr>
          <w:t xml:space="preserve">[4]</w:t>
        </w:r>
      </w:hyperlink>
      <w:r w:rsidDel="00000000" w:rsidR="00000000" w:rsidRPr="00000000">
        <w:rPr>
          <w:rFonts w:ascii="Aptos" w:cs="Aptos" w:eastAsia="Aptos" w:hAnsi="Aptos"/>
          <w:sz w:val="24"/>
          <w:szCs w:val="24"/>
          <w:rtl w:val="0"/>
        </w:rPr>
        <w:t xml:space="preserve"> </w:t>
      </w:r>
      <w:hyperlink r:id="rId76">
        <w:r w:rsidDel="00000000" w:rsidR="00000000" w:rsidRPr="00000000">
          <w:rPr>
            <w:rFonts w:ascii="Aptos" w:cs="Aptos" w:eastAsia="Aptos" w:hAnsi="Aptos"/>
            <w:color w:val="156082"/>
            <w:sz w:val="24"/>
            <w:szCs w:val="24"/>
            <w:rtl w:val="0"/>
          </w:rPr>
          <w:t xml:space="preserve">[5]</w:t>
        </w:r>
      </w:hyperlink>
      <w:r w:rsidDel="00000000" w:rsidR="00000000" w:rsidRPr="00000000">
        <w:rPr>
          <w:rFonts w:ascii="Aptos" w:cs="Aptos" w:eastAsia="Aptos" w:hAnsi="Aptos"/>
          <w:sz w:val="24"/>
          <w:szCs w:val="24"/>
          <w:rtl w:val="0"/>
        </w:rPr>
        <w:t xml:space="preserve"> El Ferrocarril Lima-Ica: Todo sobre este megaproyecto</w:t>
      </w:r>
    </w:p>
    <w:p w:rsidR="00000000" w:rsidDel="00000000" w:rsidP="00000000" w:rsidRDefault="00000000" w:rsidRPr="00000000" w14:paraId="000000A3">
      <w:pPr>
        <w:spacing w:after="180" w:before="180" w:line="240" w:lineRule="auto"/>
        <w:rPr>
          <w:rFonts w:ascii="Aptos" w:cs="Aptos" w:eastAsia="Aptos" w:hAnsi="Aptos"/>
          <w:sz w:val="24"/>
          <w:szCs w:val="24"/>
        </w:rPr>
      </w:pPr>
      <w:hyperlink r:id="rId77">
        <w:r w:rsidDel="00000000" w:rsidR="00000000" w:rsidRPr="00000000">
          <w:rPr>
            <w:rFonts w:ascii="Aptos" w:cs="Aptos" w:eastAsia="Aptos" w:hAnsi="Aptos"/>
            <w:color w:val="156082"/>
            <w:sz w:val="24"/>
            <w:szCs w:val="24"/>
            <w:rtl w:val="0"/>
          </w:rPr>
          <w:t xml:space="preserve">https://www.yakupark.com/el-ferrocarril-lima-ica-un-viaje-de-alta-velocidad-que-promete-revolucionar-la-conectividad-en-peru/</w:t>
        </w:r>
      </w:hyperlink>
      <w:r w:rsidDel="00000000" w:rsidR="00000000" w:rsidRPr="00000000">
        <w:rPr>
          <w:rtl w:val="0"/>
        </w:rPr>
      </w:r>
    </w:p>
    <w:p w:rsidR="00000000" w:rsidDel="00000000" w:rsidP="00000000" w:rsidRDefault="00000000" w:rsidRPr="00000000" w14:paraId="000000A4">
      <w:pPr>
        <w:spacing w:after="180" w:before="180" w:line="240" w:lineRule="auto"/>
        <w:rPr>
          <w:rFonts w:ascii="Aptos" w:cs="Aptos" w:eastAsia="Aptos" w:hAnsi="Aptos"/>
          <w:sz w:val="24"/>
          <w:szCs w:val="24"/>
        </w:rPr>
      </w:pPr>
      <w:hyperlink r:id="rId78">
        <w:r w:rsidDel="00000000" w:rsidR="00000000" w:rsidRPr="00000000">
          <w:rPr>
            <w:rFonts w:ascii="Aptos" w:cs="Aptos" w:eastAsia="Aptos" w:hAnsi="Aptos"/>
            <w:color w:val="156082"/>
            <w:sz w:val="24"/>
            <w:szCs w:val="24"/>
            <w:rtl w:val="0"/>
          </w:rPr>
          <w:t xml:space="preserve">[7]</w:t>
        </w:r>
      </w:hyperlink>
      <w:r w:rsidDel="00000000" w:rsidR="00000000" w:rsidRPr="00000000">
        <w:rPr>
          <w:rFonts w:ascii="Aptos" w:cs="Aptos" w:eastAsia="Aptos" w:hAnsi="Aptos"/>
          <w:sz w:val="24"/>
          <w:szCs w:val="24"/>
          <w:rtl w:val="0"/>
        </w:rPr>
        <w:t xml:space="preserve"> INEI - LIMA METROPOLITANA: POBLACION PROYECTADA, SEGUN DISTRITOS 1995 - 2025</w:t>
      </w:r>
    </w:p>
    <w:p w:rsidR="00000000" w:rsidDel="00000000" w:rsidP="00000000" w:rsidRDefault="00000000" w:rsidRPr="00000000" w14:paraId="000000A5">
      <w:pPr>
        <w:spacing w:after="180" w:before="180" w:line="240" w:lineRule="auto"/>
        <w:rPr>
          <w:rFonts w:ascii="Aptos" w:cs="Aptos" w:eastAsia="Aptos" w:hAnsi="Aptos"/>
          <w:sz w:val="24"/>
          <w:szCs w:val="24"/>
        </w:rPr>
      </w:pPr>
      <w:hyperlink r:id="rId79">
        <w:r w:rsidDel="00000000" w:rsidR="00000000" w:rsidRPr="00000000">
          <w:rPr>
            <w:rFonts w:ascii="Aptos" w:cs="Aptos" w:eastAsia="Aptos" w:hAnsi="Aptos"/>
            <w:color w:val="156082"/>
            <w:sz w:val="24"/>
            <w:szCs w:val="24"/>
            <w:rtl w:val="0"/>
          </w:rPr>
          <w:t xml:space="preserve">https://www.inei.gob.pe/media/MenuRecursivo/publicaciones_digitales/Est/Lib0012/N53/anexo031.htm</w:t>
        </w:r>
      </w:hyperlink>
      <w:r w:rsidDel="00000000" w:rsidR="00000000" w:rsidRPr="00000000">
        <w:rPr>
          <w:rtl w:val="0"/>
        </w:rPr>
      </w:r>
    </w:p>
    <w:p w:rsidR="00000000" w:rsidDel="00000000" w:rsidP="00000000" w:rsidRDefault="00000000" w:rsidRPr="00000000" w14:paraId="000000A6">
      <w:pPr>
        <w:spacing w:after="180" w:before="180" w:line="240" w:lineRule="auto"/>
        <w:rPr>
          <w:rFonts w:ascii="Aptos" w:cs="Aptos" w:eastAsia="Aptos" w:hAnsi="Aptos"/>
          <w:sz w:val="24"/>
          <w:szCs w:val="24"/>
        </w:rPr>
      </w:pPr>
      <w:hyperlink r:id="rId80">
        <w:r w:rsidDel="00000000" w:rsidR="00000000" w:rsidRPr="00000000">
          <w:rPr>
            <w:rFonts w:ascii="Aptos" w:cs="Aptos" w:eastAsia="Aptos" w:hAnsi="Aptos"/>
            <w:color w:val="156082"/>
            <w:sz w:val="24"/>
            <w:szCs w:val="24"/>
            <w:rtl w:val="0"/>
          </w:rPr>
          <w:t xml:space="preserve">[8]</w:t>
        </w:r>
      </w:hyperlink>
      <w:r w:rsidDel="00000000" w:rsidR="00000000" w:rsidRPr="00000000">
        <w:rPr>
          <w:rFonts w:ascii="Aptos" w:cs="Aptos" w:eastAsia="Aptos" w:hAnsi="Aptos"/>
          <w:sz w:val="24"/>
          <w:szCs w:val="24"/>
          <w:rtl w:val="0"/>
        </w:rPr>
        <w:t xml:space="preserve"> </w:t>
      </w:r>
      <w:hyperlink r:id="rId81">
        <w:r w:rsidDel="00000000" w:rsidR="00000000" w:rsidRPr="00000000">
          <w:rPr>
            <w:rFonts w:ascii="Aptos" w:cs="Aptos" w:eastAsia="Aptos" w:hAnsi="Aptos"/>
            <w:color w:val="156082"/>
            <w:sz w:val="24"/>
            <w:szCs w:val="24"/>
            <w:rtl w:val="0"/>
          </w:rPr>
          <w:t xml:space="preserve">[10]</w:t>
        </w:r>
      </w:hyperlink>
      <w:r w:rsidDel="00000000" w:rsidR="00000000" w:rsidRPr="00000000">
        <w:rPr>
          <w:rFonts w:ascii="Aptos" w:cs="Aptos" w:eastAsia="Aptos" w:hAnsi="Aptos"/>
          <w:sz w:val="24"/>
          <w:szCs w:val="24"/>
          <w:rtl w:val="0"/>
        </w:rPr>
        <w:t xml:space="preserve"> </w:t>
      </w:r>
      <w:hyperlink r:id="rId82">
        <w:r w:rsidDel="00000000" w:rsidR="00000000" w:rsidRPr="00000000">
          <w:rPr>
            <w:rFonts w:ascii="Aptos" w:cs="Aptos" w:eastAsia="Aptos" w:hAnsi="Aptos"/>
            <w:color w:val="156082"/>
            <w:sz w:val="24"/>
            <w:szCs w:val="24"/>
            <w:rtl w:val="0"/>
          </w:rPr>
          <w:t xml:space="preserve">[18]</w:t>
        </w:r>
      </w:hyperlink>
      <w:r w:rsidDel="00000000" w:rsidR="00000000" w:rsidRPr="00000000">
        <w:rPr>
          <w:rFonts w:ascii="Aptos" w:cs="Aptos" w:eastAsia="Aptos" w:hAnsi="Aptos"/>
          <w:sz w:val="24"/>
          <w:szCs w:val="24"/>
          <w:rtl w:val="0"/>
        </w:rPr>
        <w:t xml:space="preserve"> </w:t>
      </w:r>
      <w:hyperlink r:id="rId83">
        <w:r w:rsidDel="00000000" w:rsidR="00000000" w:rsidRPr="00000000">
          <w:rPr>
            <w:rFonts w:ascii="Aptos" w:cs="Aptos" w:eastAsia="Aptos" w:hAnsi="Aptos"/>
            <w:color w:val="156082"/>
            <w:sz w:val="24"/>
            <w:szCs w:val="24"/>
            <w:rtl w:val="0"/>
          </w:rPr>
          <w:t xml:space="preserve">[21]</w:t>
        </w:r>
      </w:hyperlink>
      <w:r w:rsidDel="00000000" w:rsidR="00000000" w:rsidRPr="00000000">
        <w:rPr>
          <w:rFonts w:ascii="Aptos" w:cs="Aptos" w:eastAsia="Aptos" w:hAnsi="Aptos"/>
          <w:sz w:val="24"/>
          <w:szCs w:val="24"/>
          <w:rtl w:val="0"/>
        </w:rPr>
        <w:t xml:space="preserve"> Crowdfunding inmobiliario alcanza rentabilidad del 30% anual en Perú: ¿qué es y por qué gana terreno en la vivienda social? - Infobae</w:t>
      </w:r>
    </w:p>
    <w:p w:rsidR="00000000" w:rsidDel="00000000" w:rsidP="00000000" w:rsidRDefault="00000000" w:rsidRPr="00000000" w14:paraId="000000A7">
      <w:pPr>
        <w:spacing w:after="180" w:before="180" w:line="240" w:lineRule="auto"/>
        <w:rPr>
          <w:rFonts w:ascii="Aptos" w:cs="Aptos" w:eastAsia="Aptos" w:hAnsi="Aptos"/>
          <w:sz w:val="24"/>
          <w:szCs w:val="24"/>
        </w:rPr>
      </w:pPr>
      <w:hyperlink r:id="rId84">
        <w:r w:rsidDel="00000000" w:rsidR="00000000" w:rsidRPr="00000000">
          <w:rPr>
            <w:rFonts w:ascii="Aptos" w:cs="Aptos" w:eastAsia="Aptos" w:hAnsi="Aptos"/>
            <w:color w:val="156082"/>
            <w:sz w:val="24"/>
            <w:szCs w:val="24"/>
            <w:rtl w:val="0"/>
          </w:rPr>
          <w:t xml:space="preserve">https://www.infobae.com/peru/2025/09/14/crowdfunding-inmobiliario-alcanza-rentabilidad-del-30-anual-en-peru-que-es-y-por-que-gana-tanto-terreno-en-la-vivienda-social/</w:t>
        </w:r>
      </w:hyperlink>
      <w:r w:rsidDel="00000000" w:rsidR="00000000" w:rsidRPr="00000000">
        <w:rPr>
          <w:rtl w:val="0"/>
        </w:rPr>
      </w:r>
    </w:p>
    <w:p w:rsidR="00000000" w:rsidDel="00000000" w:rsidP="00000000" w:rsidRDefault="00000000" w:rsidRPr="00000000" w14:paraId="000000A8">
      <w:pPr>
        <w:spacing w:after="180" w:before="180" w:line="240" w:lineRule="auto"/>
        <w:rPr>
          <w:rFonts w:ascii="Aptos" w:cs="Aptos" w:eastAsia="Aptos" w:hAnsi="Aptos"/>
          <w:sz w:val="24"/>
          <w:szCs w:val="24"/>
        </w:rPr>
      </w:pPr>
      <w:hyperlink r:id="rId85">
        <w:r w:rsidDel="00000000" w:rsidR="00000000" w:rsidRPr="00000000">
          <w:rPr>
            <w:rFonts w:ascii="Aptos" w:cs="Aptos" w:eastAsia="Aptos" w:hAnsi="Aptos"/>
            <w:color w:val="156082"/>
            <w:sz w:val="24"/>
            <w:szCs w:val="24"/>
            <w:rtl w:val="0"/>
          </w:rPr>
          <w:t xml:space="preserve">[11]</w:t>
        </w:r>
      </w:hyperlink>
      <w:r w:rsidDel="00000000" w:rsidR="00000000" w:rsidRPr="00000000">
        <w:rPr>
          <w:rFonts w:ascii="Aptos" w:cs="Aptos" w:eastAsia="Aptos" w:hAnsi="Aptos"/>
          <w:sz w:val="24"/>
          <w:szCs w:val="24"/>
          <w:rtl w:val="0"/>
        </w:rPr>
        <w:t xml:space="preserve"> </w:t>
      </w:r>
      <w:hyperlink r:id="rId86">
        <w:r w:rsidDel="00000000" w:rsidR="00000000" w:rsidRPr="00000000">
          <w:rPr>
            <w:rFonts w:ascii="Aptos" w:cs="Aptos" w:eastAsia="Aptos" w:hAnsi="Aptos"/>
            <w:color w:val="156082"/>
            <w:sz w:val="24"/>
            <w:szCs w:val="24"/>
            <w:rtl w:val="0"/>
          </w:rPr>
          <w:t xml:space="preserve">[32]</w:t>
        </w:r>
      </w:hyperlink>
      <w:r w:rsidDel="00000000" w:rsidR="00000000" w:rsidRPr="00000000">
        <w:rPr>
          <w:rFonts w:ascii="Aptos" w:cs="Aptos" w:eastAsia="Aptos" w:hAnsi="Aptos"/>
          <w:sz w:val="24"/>
          <w:szCs w:val="24"/>
          <w:rtl w:val="0"/>
        </w:rPr>
        <w:t xml:space="preserve"> El exjugador de baloncesto Ferrán Martínez llega a Reental como embajador de la inversión inmobiliaria 'tokenizada'</w:t>
      </w:r>
    </w:p>
    <w:p w:rsidR="00000000" w:rsidDel="00000000" w:rsidP="00000000" w:rsidRDefault="00000000" w:rsidRPr="00000000" w14:paraId="000000A9">
      <w:pPr>
        <w:spacing w:after="180" w:before="180" w:line="240" w:lineRule="auto"/>
        <w:rPr>
          <w:rFonts w:ascii="Aptos" w:cs="Aptos" w:eastAsia="Aptos" w:hAnsi="Aptos"/>
          <w:sz w:val="24"/>
          <w:szCs w:val="24"/>
        </w:rPr>
      </w:pPr>
      <w:hyperlink r:id="rId87">
        <w:r w:rsidDel="00000000" w:rsidR="00000000" w:rsidRPr="00000000">
          <w:rPr>
            <w:rFonts w:ascii="Aptos" w:cs="Aptos" w:eastAsia="Aptos" w:hAnsi="Aptos"/>
            <w:color w:val="156082"/>
            <w:sz w:val="24"/>
            <w:szCs w:val="24"/>
            <w:rtl w:val="0"/>
          </w:rPr>
          <w:t xml:space="preserve">https://www.elespanol.com/invertia/empresas/inmobiliario/20250312/exjugador-baloncesto-ferran-martinez-llega-reental-embajador-inversion-inmobiliaria-tokenizada/930407522_0.html</w:t>
        </w:r>
      </w:hyperlink>
      <w:r w:rsidDel="00000000" w:rsidR="00000000" w:rsidRPr="00000000">
        <w:rPr>
          <w:rtl w:val="0"/>
        </w:rPr>
      </w:r>
    </w:p>
    <w:p w:rsidR="00000000" w:rsidDel="00000000" w:rsidP="00000000" w:rsidRDefault="00000000" w:rsidRPr="00000000" w14:paraId="000000AA">
      <w:pPr>
        <w:spacing w:after="180" w:before="180" w:line="240" w:lineRule="auto"/>
        <w:rPr>
          <w:rFonts w:ascii="Aptos" w:cs="Aptos" w:eastAsia="Aptos" w:hAnsi="Aptos"/>
          <w:sz w:val="24"/>
          <w:szCs w:val="24"/>
        </w:rPr>
      </w:pPr>
      <w:hyperlink r:id="rId88">
        <w:r w:rsidDel="00000000" w:rsidR="00000000" w:rsidRPr="00000000">
          <w:rPr>
            <w:rFonts w:ascii="Aptos" w:cs="Aptos" w:eastAsia="Aptos" w:hAnsi="Aptos"/>
            <w:color w:val="156082"/>
            <w:sz w:val="24"/>
            <w:szCs w:val="24"/>
            <w:rtl w:val="0"/>
          </w:rPr>
          <w:t xml:space="preserve">[13]</w:t>
        </w:r>
      </w:hyperlink>
      <w:r w:rsidDel="00000000" w:rsidR="00000000" w:rsidRPr="00000000">
        <w:rPr>
          <w:rFonts w:ascii="Aptos" w:cs="Aptos" w:eastAsia="Aptos" w:hAnsi="Aptos"/>
          <w:sz w:val="24"/>
          <w:szCs w:val="24"/>
          <w:rtl w:val="0"/>
        </w:rPr>
        <w:t xml:space="preserve"> [PDF] en Lima Sur</w:t>
      </w:r>
    </w:p>
    <w:p w:rsidR="00000000" w:rsidDel="00000000" w:rsidP="00000000" w:rsidRDefault="00000000" w:rsidRPr="00000000" w14:paraId="000000AB">
      <w:pPr>
        <w:spacing w:after="180" w:before="180" w:line="240" w:lineRule="auto"/>
        <w:rPr>
          <w:rFonts w:ascii="Aptos" w:cs="Aptos" w:eastAsia="Aptos" w:hAnsi="Aptos"/>
          <w:sz w:val="24"/>
          <w:szCs w:val="24"/>
        </w:rPr>
      </w:pPr>
      <w:hyperlink r:id="rId89">
        <w:r w:rsidDel="00000000" w:rsidR="00000000" w:rsidRPr="00000000">
          <w:rPr>
            <w:rFonts w:ascii="Aptos" w:cs="Aptos" w:eastAsia="Aptos" w:hAnsi="Aptos"/>
            <w:color w:val="156082"/>
            <w:sz w:val="24"/>
            <w:szCs w:val="24"/>
            <w:rtl w:val="0"/>
          </w:rPr>
          <w:t xml:space="preserve">https://www.limacomovamos.org/cm/wp-content/uploads/2019/01/Bolet%C3%ADn_LimaSur2019.pdf</w:t>
        </w:r>
      </w:hyperlink>
      <w:r w:rsidDel="00000000" w:rsidR="00000000" w:rsidRPr="00000000">
        <w:rPr>
          <w:rtl w:val="0"/>
        </w:rPr>
      </w:r>
    </w:p>
    <w:p w:rsidR="00000000" w:rsidDel="00000000" w:rsidP="00000000" w:rsidRDefault="00000000" w:rsidRPr="00000000" w14:paraId="000000AC">
      <w:pPr>
        <w:spacing w:after="180" w:before="180" w:line="240" w:lineRule="auto"/>
        <w:rPr>
          <w:rFonts w:ascii="Aptos" w:cs="Aptos" w:eastAsia="Aptos" w:hAnsi="Aptos"/>
          <w:sz w:val="24"/>
          <w:szCs w:val="24"/>
        </w:rPr>
      </w:pPr>
      <w:hyperlink r:id="rId90">
        <w:r w:rsidDel="00000000" w:rsidR="00000000" w:rsidRPr="00000000">
          <w:rPr>
            <w:rFonts w:ascii="Aptos" w:cs="Aptos" w:eastAsia="Aptos" w:hAnsi="Aptos"/>
            <w:color w:val="156082"/>
            <w:sz w:val="24"/>
            <w:szCs w:val="24"/>
            <w:rtl w:val="0"/>
          </w:rPr>
          <w:t xml:space="preserve">[16]</w:t>
        </w:r>
      </w:hyperlink>
      <w:r w:rsidDel="00000000" w:rsidR="00000000" w:rsidRPr="00000000">
        <w:rPr>
          <w:rFonts w:ascii="Aptos" w:cs="Aptos" w:eastAsia="Aptos" w:hAnsi="Aptos"/>
          <w:sz w:val="24"/>
          <w:szCs w:val="24"/>
          <w:rtl w:val="0"/>
        </w:rPr>
        <w:t xml:space="preserve"> </w:t>
      </w:r>
      <w:hyperlink r:id="rId91">
        <w:r w:rsidDel="00000000" w:rsidR="00000000" w:rsidRPr="00000000">
          <w:rPr>
            <w:rFonts w:ascii="Aptos" w:cs="Aptos" w:eastAsia="Aptos" w:hAnsi="Aptos"/>
            <w:color w:val="156082"/>
            <w:sz w:val="24"/>
            <w:szCs w:val="24"/>
            <w:rtl w:val="0"/>
          </w:rPr>
          <w:t xml:space="preserve">[17]</w:t>
        </w:r>
      </w:hyperlink>
      <w:r w:rsidDel="00000000" w:rsidR="00000000" w:rsidRPr="00000000">
        <w:rPr>
          <w:rFonts w:ascii="Aptos" w:cs="Aptos" w:eastAsia="Aptos" w:hAnsi="Aptos"/>
          <w:sz w:val="24"/>
          <w:szCs w:val="24"/>
          <w:rtl w:val="0"/>
        </w:rPr>
        <w:t xml:space="preserve"> </w:t>
      </w:r>
      <w:hyperlink r:id="rId92">
        <w:r w:rsidDel="00000000" w:rsidR="00000000" w:rsidRPr="00000000">
          <w:rPr>
            <w:rFonts w:ascii="Aptos" w:cs="Aptos" w:eastAsia="Aptos" w:hAnsi="Aptos"/>
            <w:color w:val="156082"/>
            <w:sz w:val="24"/>
            <w:szCs w:val="24"/>
            <w:rtl w:val="0"/>
          </w:rPr>
          <w:t xml:space="preserve">[28]</w:t>
        </w:r>
      </w:hyperlink>
      <w:r w:rsidDel="00000000" w:rsidR="00000000" w:rsidRPr="00000000">
        <w:rPr>
          <w:rFonts w:ascii="Aptos" w:cs="Aptos" w:eastAsia="Aptos" w:hAnsi="Aptos"/>
          <w:sz w:val="24"/>
          <w:szCs w:val="24"/>
          <w:rtl w:val="0"/>
        </w:rPr>
        <w:t xml:space="preserve"> </w:t>
      </w:r>
      <w:hyperlink r:id="rId93">
        <w:r w:rsidDel="00000000" w:rsidR="00000000" w:rsidRPr="00000000">
          <w:rPr>
            <w:rFonts w:ascii="Aptos" w:cs="Aptos" w:eastAsia="Aptos" w:hAnsi="Aptos"/>
            <w:color w:val="156082"/>
            <w:sz w:val="24"/>
            <w:szCs w:val="24"/>
            <w:rtl w:val="0"/>
          </w:rPr>
          <w:t xml:space="preserve">[29]</w:t>
        </w:r>
      </w:hyperlink>
      <w:r w:rsidDel="00000000" w:rsidR="00000000" w:rsidRPr="00000000">
        <w:rPr>
          <w:rFonts w:ascii="Aptos" w:cs="Aptos" w:eastAsia="Aptos" w:hAnsi="Aptos"/>
          <w:sz w:val="24"/>
          <w:szCs w:val="24"/>
          <w:rtl w:val="0"/>
        </w:rPr>
        <w:t xml:space="preserve"> Advertencia sobre la adquisición de monedas virtuales o criptomonedas y la participación en esquemas de financiamiento por el uso de tokens - Noticias - Superintendencia del Mercado de Valores - Plataforma del Estado Peruano</w:t>
      </w:r>
    </w:p>
    <w:p w:rsidR="00000000" w:rsidDel="00000000" w:rsidP="00000000" w:rsidRDefault="00000000" w:rsidRPr="00000000" w14:paraId="000000AD">
      <w:pPr>
        <w:spacing w:after="180" w:before="180" w:line="240" w:lineRule="auto"/>
        <w:rPr>
          <w:rFonts w:ascii="Aptos" w:cs="Aptos" w:eastAsia="Aptos" w:hAnsi="Aptos"/>
          <w:sz w:val="24"/>
          <w:szCs w:val="24"/>
        </w:rPr>
      </w:pPr>
      <w:hyperlink r:id="rId94">
        <w:r w:rsidDel="00000000" w:rsidR="00000000" w:rsidRPr="00000000">
          <w:rPr>
            <w:rFonts w:ascii="Aptos" w:cs="Aptos" w:eastAsia="Aptos" w:hAnsi="Aptos"/>
            <w:color w:val="156082"/>
            <w:sz w:val="24"/>
            <w:szCs w:val="24"/>
            <w:rtl w:val="0"/>
          </w:rPr>
          <w:t xml:space="preserve">https://www.gob.pe/institucion/smv/noticias/1121398-advertencia-sobre-la-adquisicion-de-monedas-virtuales-o-criptomonedas-y-la-participacion-en-esquemas-de-financiamiento-por-el-uso-de-tokens</w:t>
        </w:r>
      </w:hyperlink>
      <w:r w:rsidDel="00000000" w:rsidR="00000000" w:rsidRPr="00000000">
        <w:rPr>
          <w:rtl w:val="0"/>
        </w:rPr>
      </w:r>
    </w:p>
    <w:p w:rsidR="00000000" w:rsidDel="00000000" w:rsidP="00000000" w:rsidRDefault="00000000" w:rsidRPr="00000000" w14:paraId="000000AE">
      <w:pPr>
        <w:spacing w:after="180" w:before="180" w:line="240" w:lineRule="auto"/>
        <w:rPr>
          <w:rFonts w:ascii="Aptos" w:cs="Aptos" w:eastAsia="Aptos" w:hAnsi="Aptos"/>
          <w:sz w:val="24"/>
          <w:szCs w:val="24"/>
        </w:rPr>
      </w:pPr>
      <w:hyperlink r:id="rId95">
        <w:r w:rsidDel="00000000" w:rsidR="00000000" w:rsidRPr="00000000">
          <w:rPr>
            <w:rFonts w:ascii="Aptos" w:cs="Aptos" w:eastAsia="Aptos" w:hAnsi="Aptos"/>
            <w:color w:val="156082"/>
            <w:sz w:val="24"/>
            <w:szCs w:val="24"/>
            <w:rtl w:val="0"/>
          </w:rPr>
          <w:t xml:space="preserve">[24]</w:t>
        </w:r>
      </w:hyperlink>
      <w:r w:rsidDel="00000000" w:rsidR="00000000" w:rsidRPr="00000000">
        <w:rPr>
          <w:rFonts w:ascii="Aptos" w:cs="Aptos" w:eastAsia="Aptos" w:hAnsi="Aptos"/>
          <w:sz w:val="24"/>
          <w:szCs w:val="24"/>
          <w:rtl w:val="0"/>
        </w:rPr>
        <w:t xml:space="preserve"> </w:t>
      </w:r>
      <w:hyperlink r:id="rId96">
        <w:r w:rsidDel="00000000" w:rsidR="00000000" w:rsidRPr="00000000">
          <w:rPr>
            <w:rFonts w:ascii="Aptos" w:cs="Aptos" w:eastAsia="Aptos" w:hAnsi="Aptos"/>
            <w:color w:val="156082"/>
            <w:sz w:val="24"/>
            <w:szCs w:val="24"/>
            <w:rtl w:val="0"/>
          </w:rPr>
          <w:t xml:space="preserve">[25]</w:t>
        </w:r>
      </w:hyperlink>
      <w:r w:rsidDel="00000000" w:rsidR="00000000" w:rsidRPr="00000000">
        <w:rPr>
          <w:rFonts w:ascii="Aptos" w:cs="Aptos" w:eastAsia="Aptos" w:hAnsi="Aptos"/>
          <w:sz w:val="24"/>
          <w:szCs w:val="24"/>
          <w:rtl w:val="0"/>
        </w:rPr>
        <w:t xml:space="preserve"> </w:t>
      </w:r>
      <w:hyperlink r:id="rId97">
        <w:r w:rsidDel="00000000" w:rsidR="00000000" w:rsidRPr="00000000">
          <w:rPr>
            <w:rFonts w:ascii="Aptos" w:cs="Aptos" w:eastAsia="Aptos" w:hAnsi="Aptos"/>
            <w:color w:val="156082"/>
            <w:sz w:val="24"/>
            <w:szCs w:val="24"/>
            <w:rtl w:val="0"/>
          </w:rPr>
          <w:t xml:space="preserve">[26]</w:t>
        </w:r>
      </w:hyperlink>
      <w:r w:rsidDel="00000000" w:rsidR="00000000" w:rsidRPr="00000000">
        <w:rPr>
          <w:rFonts w:ascii="Aptos" w:cs="Aptos" w:eastAsia="Aptos" w:hAnsi="Aptos"/>
          <w:sz w:val="24"/>
          <w:szCs w:val="24"/>
          <w:rtl w:val="0"/>
        </w:rPr>
        <w:t xml:space="preserve"> Cómo los proyectos de tokenización representan una 'vaca' virtual al rescate de la vivienda en Colombia</w:t>
      </w:r>
    </w:p>
    <w:p w:rsidR="00000000" w:rsidDel="00000000" w:rsidP="00000000" w:rsidRDefault="00000000" w:rsidRPr="00000000" w14:paraId="000000AF">
      <w:pPr>
        <w:spacing w:after="180" w:before="180" w:line="240" w:lineRule="auto"/>
        <w:rPr>
          <w:rFonts w:ascii="Aptos" w:cs="Aptos" w:eastAsia="Aptos" w:hAnsi="Aptos"/>
          <w:sz w:val="24"/>
          <w:szCs w:val="24"/>
        </w:rPr>
      </w:pPr>
      <w:hyperlink r:id="rId98">
        <w:r w:rsidDel="00000000" w:rsidR="00000000" w:rsidRPr="00000000">
          <w:rPr>
            <w:rFonts w:ascii="Aptos" w:cs="Aptos" w:eastAsia="Aptos" w:hAnsi="Aptos"/>
            <w:color w:val="156082"/>
            <w:sz w:val="24"/>
            <w:szCs w:val="24"/>
            <w:rtl w:val="0"/>
          </w:rPr>
          <w:t xml:space="preserve">https://forbes.co/2024/03/20/activos-digitales/como-los-proyectos-de-tokenizacion-representan-una-vaca-virtual-al-rescate-de-la-vivienda-en-colombia</w:t>
        </w:r>
      </w:hyperlink>
      <w:r w:rsidDel="00000000" w:rsidR="00000000" w:rsidRPr="00000000">
        <w:rPr>
          <w:rtl w:val="0"/>
        </w:rPr>
      </w:r>
    </w:p>
    <w:p w:rsidR="00000000" w:rsidDel="00000000" w:rsidP="00000000" w:rsidRDefault="00000000" w:rsidRPr="00000000" w14:paraId="000000B0">
      <w:pPr>
        <w:spacing w:after="180" w:before="180" w:line="240" w:lineRule="auto"/>
        <w:rPr>
          <w:rFonts w:ascii="Aptos" w:cs="Aptos" w:eastAsia="Aptos" w:hAnsi="Aptos"/>
          <w:sz w:val="24"/>
          <w:szCs w:val="24"/>
        </w:rPr>
      </w:pPr>
      <w:hyperlink r:id="rId99">
        <w:r w:rsidDel="00000000" w:rsidR="00000000" w:rsidRPr="00000000">
          <w:rPr>
            <w:rFonts w:ascii="Aptos" w:cs="Aptos" w:eastAsia="Aptos" w:hAnsi="Aptos"/>
            <w:color w:val="156082"/>
            <w:sz w:val="24"/>
            <w:szCs w:val="24"/>
            <w:rtl w:val="0"/>
          </w:rPr>
          <w:t xml:space="preserve">[27]</w:t>
        </w:r>
      </w:hyperlink>
      <w:r w:rsidDel="00000000" w:rsidR="00000000" w:rsidRPr="00000000">
        <w:rPr>
          <w:rFonts w:ascii="Aptos" w:cs="Aptos" w:eastAsia="Aptos" w:hAnsi="Aptos"/>
          <w:sz w:val="24"/>
          <w:szCs w:val="24"/>
          <w:rtl w:val="0"/>
        </w:rPr>
        <w:t xml:space="preserve"> </w:t>
      </w:r>
      <w:hyperlink r:id="rId100">
        <w:r w:rsidDel="00000000" w:rsidR="00000000" w:rsidRPr="00000000">
          <w:rPr>
            <w:rFonts w:ascii="Aptos" w:cs="Aptos" w:eastAsia="Aptos" w:hAnsi="Aptos"/>
            <w:color w:val="156082"/>
            <w:sz w:val="24"/>
            <w:szCs w:val="24"/>
            <w:rtl w:val="0"/>
          </w:rPr>
          <w:t xml:space="preserve">[33]</w:t>
        </w:r>
      </w:hyperlink>
      <w:r w:rsidDel="00000000" w:rsidR="00000000" w:rsidRPr="00000000">
        <w:rPr>
          <w:rFonts w:ascii="Aptos" w:cs="Aptos" w:eastAsia="Aptos" w:hAnsi="Aptos"/>
          <w:sz w:val="24"/>
          <w:szCs w:val="24"/>
          <w:rtl w:val="0"/>
        </w:rPr>
        <w:t xml:space="preserve"> La tokenización de activos ilíquidos alcanzará los USD 16 billones en 2030, según un informe</w:t>
      </w:r>
    </w:p>
    <w:p w:rsidR="00000000" w:rsidDel="00000000" w:rsidP="00000000" w:rsidRDefault="00000000" w:rsidRPr="00000000" w14:paraId="000000B1">
      <w:pPr>
        <w:spacing w:after="180" w:before="180" w:line="240" w:lineRule="auto"/>
        <w:rPr>
          <w:rFonts w:ascii="Aptos" w:cs="Aptos" w:eastAsia="Aptos" w:hAnsi="Aptos"/>
          <w:sz w:val="24"/>
          <w:szCs w:val="24"/>
        </w:rPr>
      </w:pPr>
      <w:hyperlink r:id="rId101">
        <w:r w:rsidDel="00000000" w:rsidR="00000000" w:rsidRPr="00000000">
          <w:rPr>
            <w:rFonts w:ascii="Aptos" w:cs="Aptos" w:eastAsia="Aptos" w:hAnsi="Aptos"/>
            <w:color w:val="156082"/>
            <w:sz w:val="24"/>
            <w:szCs w:val="24"/>
            <w:rtl w:val="0"/>
          </w:rPr>
          <w:t xml:space="preserve">https://es.cointelegraph.com/news/tokenization-of-illiquid-assets-to-reach-16t-by-2030-report</w:t>
        </w:r>
      </w:hyperlink>
      <w:r w:rsidDel="00000000" w:rsidR="00000000" w:rsidRPr="00000000">
        <w:rPr>
          <w:rtl w:val="0"/>
        </w:rPr>
      </w:r>
    </w:p>
    <w:p w:rsidR="00000000" w:rsidDel="00000000" w:rsidP="00000000" w:rsidRDefault="00000000" w:rsidRPr="00000000" w14:paraId="000000B2">
      <w:pPr>
        <w:spacing w:after="180" w:before="180" w:line="240" w:lineRule="auto"/>
        <w:rPr>
          <w:rFonts w:ascii="Aptos" w:cs="Aptos" w:eastAsia="Aptos" w:hAnsi="Aptos"/>
          <w:sz w:val="24"/>
          <w:szCs w:val="24"/>
        </w:rPr>
      </w:pPr>
      <w:hyperlink r:id="rId102">
        <w:r w:rsidDel="00000000" w:rsidR="00000000" w:rsidRPr="00000000">
          <w:rPr>
            <w:rFonts w:ascii="Aptos" w:cs="Aptos" w:eastAsia="Aptos" w:hAnsi="Aptos"/>
            <w:color w:val="156082"/>
            <w:sz w:val="24"/>
            <w:szCs w:val="24"/>
            <w:rtl w:val="0"/>
          </w:rPr>
          <w:t xml:space="preserve">[30]</w:t>
        </w:r>
      </w:hyperlink>
      <w:r w:rsidDel="00000000" w:rsidR="00000000" w:rsidRPr="00000000">
        <w:rPr>
          <w:rFonts w:ascii="Aptos" w:cs="Aptos" w:eastAsia="Aptos" w:hAnsi="Aptos"/>
          <w:sz w:val="24"/>
          <w:szCs w:val="24"/>
          <w:rtl w:val="0"/>
        </w:rPr>
        <w:t xml:space="preserve"> Activos virtuales: en marcha la supervisión con fines de prevención ...</w:t>
      </w:r>
    </w:p>
    <w:p w:rsidR="00000000" w:rsidDel="00000000" w:rsidP="00000000" w:rsidRDefault="00000000" w:rsidRPr="00000000" w14:paraId="000000B3">
      <w:pPr>
        <w:spacing w:after="180" w:before="180" w:line="240" w:lineRule="auto"/>
        <w:rPr>
          <w:rFonts w:ascii="Aptos" w:cs="Aptos" w:eastAsia="Aptos" w:hAnsi="Aptos"/>
          <w:sz w:val="24"/>
          <w:szCs w:val="24"/>
        </w:rPr>
      </w:pPr>
      <w:hyperlink r:id="rId103">
        <w:r w:rsidDel="00000000" w:rsidR="00000000" w:rsidRPr="00000000">
          <w:rPr>
            <w:rFonts w:ascii="Aptos" w:cs="Aptos" w:eastAsia="Aptos" w:hAnsi="Aptos"/>
            <w:color w:val="156082"/>
            <w:sz w:val="24"/>
            <w:szCs w:val="24"/>
            <w:rtl w:val="0"/>
          </w:rPr>
          <w:t xml:space="preserve">https://www.sbs.gob.pe/boletin/detalleboletin/idbulletin/2327</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b.pe/institucion/smv/noticias/1121398-advertencia-sobre-la-adquisicion-de-monedas-virtuales-o-criptomonedas-y-la-participacion-en-esquemas-de-financiamiento-por-el-uso-de-tokens#:~:text=,medios%20masivos%20de%20comunicaci%C3%B3n%2C%20como" TargetMode="External"/><Relationship Id="rId42" Type="http://schemas.openxmlformats.org/officeDocument/2006/relationships/hyperlink" Target="https://www.infobae.com/peru/2025/09/14/crowdfunding-inmobiliario-alcanza-rentabilidad-del-30-anual-en-peru-que-es-y-por-que-gana-tanto-terreno-en-la-vivienda-social/#:~:text=Uno%20de%20los%20principales%20argumentos,rentabilidad%20va%20%C3%ADntegro%20al%20inversionista" TargetMode="External"/><Relationship Id="rId41" Type="http://schemas.openxmlformats.org/officeDocument/2006/relationships/hyperlink" Target="https://www.infobae.com/peru/2025/09/14/crowdfunding-inmobiliario-alcanza-rentabilidad-del-30-anual-en-peru-que-es-y-por-que-gana-tanto-terreno-en-la-vivienda-social/#:~:text=Desde%20el%20punto%20de%20vista,SMV" TargetMode="External"/><Relationship Id="rId44" Type="http://schemas.openxmlformats.org/officeDocument/2006/relationships/hyperlink" Target="https://forbes.co/2024/03/20/activos-digitales/como-los-proyectos-de-tokenizacion-representan-una-vaca-virtual-al-rescate-de-la-vivienda-en-colombia#:~:text=Un%20pa%C3%ADs%20que%20ya%20logr%C3%B3,garant%C3%ADa%20jur%C3%ADdica%20fuera%20de%20ella" TargetMode="External"/><Relationship Id="rId43" Type="http://schemas.openxmlformats.org/officeDocument/2006/relationships/hyperlink" Target="https://forbes.co/2024/03/20/activos-digitales/como-los-proyectos-de-tokenizacion-representan-una-vaca-virtual-al-rescate-de-la-vivienda-en-colombia#:~:text=%E2%80%9CLa%20idea%20es%20que%20los,de%20Blockchain%20Colombia%2C%20Mauricio%20Tovar" TargetMode="External"/><Relationship Id="rId46" Type="http://schemas.openxmlformats.org/officeDocument/2006/relationships/hyperlink" Target="https://es.cointelegraph.com/news/tokenization-of-illiquid-assets-to-reach-16t-by-2030-report#:~:text=explorar%C3%A1%20las%20aplicaciones%20de%20las,chain" TargetMode="External"/><Relationship Id="rId45" Type="http://schemas.openxmlformats.org/officeDocument/2006/relationships/hyperlink" Target="https://es.cointelegraph.com/news/tokenization-of-illiquid-assets-to-reach-16t-by-2030-report#:~:text=El%20tama%C3%B1o%20total%20de%20los,BCG" TargetMode="External"/><Relationship Id="rId48" Type="http://schemas.openxmlformats.org/officeDocument/2006/relationships/hyperlink" Target="https://www.elespanol.com/invertia/empresas/inmobiliario/20250312/exjugador-baloncesto-ferran-martinez-llega-reental-embajador-inversion-inmobiliaria-tokenizada/930407522_0.html#:~:text=Mart%C3%ADnez%20intentar%C3%A1%20,sector%20en%20un%20futuro%20pr%C3%B3ximo" TargetMode="External"/><Relationship Id="rId47" Type="http://schemas.openxmlformats.org/officeDocument/2006/relationships/hyperlink" Target="https://www.elespanol.com/invertia/empresas/inmobiliario/20250312/exjugador-baloncesto-ferran-martinez-llega-reental-embajador-inversion-inmobiliaria-tokenizada/930407522_0.html#:~:text=sector%20en%20un%20futuro%20pr%C3%B3ximo" TargetMode="External"/><Relationship Id="rId49" Type="http://schemas.openxmlformats.org/officeDocument/2006/relationships/hyperlink" Target="about:blank" TargetMode="External"/><Relationship Id="rId103" Type="http://schemas.openxmlformats.org/officeDocument/2006/relationships/hyperlink" Target="https://www.sbs.gob.pe/boletin/detalleboletin/idbulletin/2327" TargetMode="External"/><Relationship Id="rId102" Type="http://schemas.openxmlformats.org/officeDocument/2006/relationships/hyperlink" Target="https://www.sbs.gob.pe/boletin/detalleboletin/idbulletin/2327#:~:text=,prevenci%C3%B3n%20del%20LA%2FFT%20aplicable" TargetMode="External"/><Relationship Id="rId101" Type="http://schemas.openxmlformats.org/officeDocument/2006/relationships/hyperlink" Target="https://es.cointelegraph.com/news/tokenization-of-illiquid-assets-to-reach-16t-by-2030-report" TargetMode="External"/><Relationship Id="rId100" Type="http://schemas.openxmlformats.org/officeDocument/2006/relationships/hyperlink" Target="https://es.cointelegraph.com/news/tokenization-of-illiquid-assets-to-reach-16t-by-2030-report#:~:text=El%20tama%C3%B1o%20total%20de%20los,BCG" TargetMode="External"/><Relationship Id="rId31" Type="http://schemas.openxmlformats.org/officeDocument/2006/relationships/hyperlink" Target="https://www.gob.pe/institucion/smv/noticias/1121398-advertencia-sobre-la-adquisicion-de-monedas-virtuales-o-criptomonedas-y-la-participacion-en-esquemas-de-financiamiento-por-el-uso-de-tokens#:~:text=En%20ese%20sentido%2C%20la%20SMV,su%20dinero%20a%20dichas%20adquisiciones" TargetMode="External"/><Relationship Id="rId30" Type="http://schemas.openxmlformats.org/officeDocument/2006/relationships/hyperlink" Target="https://www.gob.pe/institucion/smv/noticias/1121398-advertencia-sobre-la-adquisicion-de-monedas-virtuales-o-criptomonedas-y-la-participacion-en-esquemas-de-financiamiento-por-el-uso-de-tokens#:~:text=,de%20sus%20precios%20y%20componente" TargetMode="External"/><Relationship Id="rId33" Type="http://schemas.openxmlformats.org/officeDocument/2006/relationships/hyperlink" Target="https://www.elespanol.com/invertia/empresas/inmobiliario/20250312/exjugador-baloncesto-ferran-martinez-llega-reental-embajador-inversion-inmobiliaria-tokenizada/930407522_0.html#:~:text=sector%20en%20un%20futuro%20pr%C3%B3ximo" TargetMode="External"/><Relationship Id="rId32" Type="http://schemas.openxmlformats.org/officeDocument/2006/relationships/hyperlink" Target="https://www.sbs.gob.pe/boletin/detalleboletin/idbulletin/2327#:~:text=,prevenci%C3%B3n%20del%20LA%2FFT%20aplicable" TargetMode="External"/><Relationship Id="rId35" Type="http://schemas.openxmlformats.org/officeDocument/2006/relationships/hyperlink" Target="https://es.cointelegraph.com/news/tokenization-of-illiquid-assets-to-reach-16t-by-2030-report#:~:text=El%20tama%C3%B1o%20total%20de%20los,BCG" TargetMode="External"/><Relationship Id="rId34" Type="http://schemas.openxmlformats.org/officeDocument/2006/relationships/hyperlink" Target="https://www.elespanol.com/invertia/empresas/inmobiliario/20250312/exjugador-baloncesto-ferran-martinez-llega-reental-embajador-inversion-inmobiliaria-tokenizada/930407522_0.html#:~:text=Mart%C3%ADnez%20intentar%C3%A1%20,sector%20en%20un%20futuro%20pr%C3%B3ximo" TargetMode="External"/><Relationship Id="rId37" Type="http://schemas.openxmlformats.org/officeDocument/2006/relationships/hyperlink" Target="https://www.yakupark.com/el-ferrocarril-lima-ica-un-viaje-de-alta-velocidad-que-promete-revolucionar-la-conectividad-en-peru/#:~:text=Servicios%20de%20Transportes%20del%20MTC%2C,la%20emisi%C3%B3n%20de%20gases%20contaminantes" TargetMode="External"/><Relationship Id="rId36" Type="http://schemas.openxmlformats.org/officeDocument/2006/relationships/hyperlink" Target="https://caretas.pe/nacional/aprueban-plan-de-desarrollo-urbano-2025-2035-para-balnearios-del-sur-de-lima/#:~:text=El%20estudio%2C%20liderado%20por%20la,Bartolo%2C%20Santa%20Mar%C3%ADa%20y%20Pucusana" TargetMode="External"/><Relationship Id="rId39" Type="http://schemas.openxmlformats.org/officeDocument/2006/relationships/hyperlink" Target="https://www.gob.pe/institucion/smv/noticias/1121398-advertencia-sobre-la-adquisicion-de-monedas-virtuales-o-criptomonedas-y-la-participacion-en-esquemas-de-financiamiento-por-el-uso-de-tokens#:~:text=,promociones%20no%20est%C3%A1n%20bajo%20supervisi%C3%B3n" TargetMode="External"/><Relationship Id="rId38" Type="http://schemas.openxmlformats.org/officeDocument/2006/relationships/hyperlink" Target="https://www.yakupark.com/el-ferrocarril-lima-ica-un-viaje-de-alta-velocidad-que-promete-revolucionar-la-conectividad-en-peru/#:~:text=Los%20beneficios%20del%C2%A0nuevo%20tren%20Lima,de%20viaje%20entre%20Lima%20e" TargetMode="External"/><Relationship Id="rId20" Type="http://schemas.openxmlformats.org/officeDocument/2006/relationships/hyperlink" Target="https://www.gob.pe/institucion/smv/noticias/1121398-advertencia-sobre-la-adquisicion-de-monedas-virtuales-o-criptomonedas-y-la-participacion-en-esquemas-de-financiamiento-por-el-uso-de-tokens#:~:text=,promociones%20no%20est%C3%A1n%20bajo%20supervisi%C3%B3n" TargetMode="External"/><Relationship Id="rId22" Type="http://schemas.openxmlformats.org/officeDocument/2006/relationships/hyperlink" Target="https://www.infobae.com/peru/2025/09/14/crowdfunding-inmobiliario-alcanza-rentabilidad-del-30-anual-en-peru-que-es-y-por-que-gana-tanto-terreno-en-la-vivienda-social/#:~:text=El%20proceso%20de%20selecci%C3%B3n%20y,controlados%20por%20entidades%20como%20COFIDE" TargetMode="External"/><Relationship Id="rId21" Type="http://schemas.openxmlformats.org/officeDocument/2006/relationships/hyperlink" Target="https://www.gob.pe/institucion/smv/noticias/1121398-advertencia-sobre-la-adquisicion-de-monedas-virtuales-o-criptomonedas-y-la-participacion-en-esquemas-de-financiamiento-por-el-uso-de-tokens#:~:text=,medios%20masivos%20de%20comunicaci%C3%B3n%2C%20como" TargetMode="External"/><Relationship Id="rId24" Type="http://schemas.openxmlformats.org/officeDocument/2006/relationships/hyperlink" Target="https://forbes.co/2024/03/20/activos-digitales/como-los-proyectos-de-tokenizacion-representan-una-vaca-virtual-al-rescate-de-la-vivienda-en-colombia#:~:text=Un%20pa%C3%ADs%20que%20ya%20logr%C3%B3,garant%C3%ADa%20jur%C3%ADdica%20fuera%20de%20ella" TargetMode="External"/><Relationship Id="rId23" Type="http://schemas.openxmlformats.org/officeDocument/2006/relationships/hyperlink" Target="https://www.infobae.com/peru/2025/09/14/crowdfunding-inmobiliario-alcanza-rentabilidad-del-30-anual-en-peru-que-es-y-por-que-gana-tanto-terreno-en-la-vivienda-social/#:~:text=Desde%20el%20punto%20de%20vista,SMV" TargetMode="External"/><Relationship Id="rId26" Type="http://schemas.openxmlformats.org/officeDocument/2006/relationships/hyperlink" Target="https://forbes.co/2024/03/20/activos-digitales/como-los-proyectos-de-tokenizacion-representan-una-vaca-virtual-al-rescate-de-la-vivienda-en-colombia#:~:text=como%20M%C3%A9xico%2C%20cuya%20ventaja%20es,mercado%20secundario%20o%20inversionistas%20peque%C3%B1os" TargetMode="External"/><Relationship Id="rId25" Type="http://schemas.openxmlformats.org/officeDocument/2006/relationships/hyperlink" Target="https://forbes.co/2024/03/20/activos-digitales/como-los-proyectos-de-tokenizacion-representan-una-vaca-virtual-al-rescate-de-la-vivienda-en-colombia#:~:text=Un%20pa%C3%ADs%20que%20ya%20logr%C3%B3,garant%C3%ADa%20jur%C3%ADdica%20fuera%20de%20ella" TargetMode="External"/><Relationship Id="rId28" Type="http://schemas.openxmlformats.org/officeDocument/2006/relationships/hyperlink" Target="https://forbes.co/2024/03/20/activos-digitales/como-los-proyectos-de-tokenizacion-representan-una-vaca-virtual-al-rescate-de-la-vivienda-en-colombia#:~:text=%E2%80%9CLa%20idea%20es%20que%20los,de%20Blockchain%20Colombia%2C%20Mauricio%20Tovar" TargetMode="External"/><Relationship Id="rId27" Type="http://schemas.openxmlformats.org/officeDocument/2006/relationships/hyperlink" Target="https://forbes.co/2024/03/20/activos-digitales/como-los-proyectos-de-tokenizacion-representan-una-vaca-virtual-al-rescate-de-la-vivienda-en-colombia#:~:text=%E2%80%9CLa%20idea%20es%20que%20los,de%20Blockchain%20Colombia%2C%20Mauricio%20Tovar" TargetMode="External"/><Relationship Id="rId29" Type="http://schemas.openxmlformats.org/officeDocument/2006/relationships/hyperlink" Target="https://es.cointelegraph.com/news/tokenization-of-illiquid-assets-to-reach-16t-by-2030-report#:~:text=explorar%C3%A1%20las%20aplicaciones%20de%20las,chain" TargetMode="External"/><Relationship Id="rId95" Type="http://schemas.openxmlformats.org/officeDocument/2006/relationships/hyperlink" Target="https://forbes.co/2024/03/20/activos-digitales/como-los-proyectos-de-tokenizacion-representan-una-vaca-virtual-al-rescate-de-la-vivienda-en-colombia#:~:text=Un%20pa%C3%ADs%20que%20ya%20logr%C3%B3,garant%C3%ADa%20jur%C3%ADdica%20fuera%20de%20ella" TargetMode="External"/><Relationship Id="rId94" Type="http://schemas.openxmlformats.org/officeDocument/2006/relationships/hyperlink" Target="https://www.gob.pe/institucion/smv/noticias/1121398-advertencia-sobre-la-adquisicion-de-monedas-virtuales-o-criptomonedas-y-la-participacion-en-esquemas-de-financiamiento-por-el-uso-de-tokens" TargetMode="External"/><Relationship Id="rId97" Type="http://schemas.openxmlformats.org/officeDocument/2006/relationships/hyperlink" Target="https://forbes.co/2024/03/20/activos-digitales/como-los-proyectos-de-tokenizacion-representan-una-vaca-virtual-al-rescate-de-la-vivienda-en-colombia#:~:text=%E2%80%9CLa%20idea%20es%20que%20los,de%20Blockchain%20Colombia%2C%20Mauricio%20Tovar" TargetMode="External"/><Relationship Id="rId96" Type="http://schemas.openxmlformats.org/officeDocument/2006/relationships/hyperlink" Target="https://forbes.co/2024/03/20/activos-digitales/como-los-proyectos-de-tokenizacion-representan-una-vaca-virtual-al-rescate-de-la-vivienda-en-colombia#:~:text=como%20M%C3%A9xico%2C%20cuya%20ventaja%20es,mercado%20secundario%20o%20inversionistas%20peque%C3%B1os" TargetMode="External"/><Relationship Id="rId11" Type="http://schemas.openxmlformats.org/officeDocument/2006/relationships/hyperlink" Target="https://www.inei.gob.pe/media/MenuRecursivo/publicaciones_digitales/Est/Lib0012/N53/anexo031.htm" TargetMode="External"/><Relationship Id="rId99" Type="http://schemas.openxmlformats.org/officeDocument/2006/relationships/hyperlink" Target="https://es.cointelegraph.com/news/tokenization-of-illiquid-assets-to-reach-16t-by-2030-report#:~:text=explorar%C3%A1%20las%20aplicaciones%20de%20las,chain" TargetMode="External"/><Relationship Id="rId10" Type="http://schemas.openxmlformats.org/officeDocument/2006/relationships/hyperlink" Target="https://www.yakupark.com/el-ferrocarril-lima-ica-un-viaje-de-alta-velocidad-que-promete-revolucionar-la-conectividad-en-peru/#:~:text=Los%20beneficios%20del%C2%A0nuevo%20tren%20Lima,de%20viaje%20entre%20Lima%20e" TargetMode="External"/><Relationship Id="rId98" Type="http://schemas.openxmlformats.org/officeDocument/2006/relationships/hyperlink" Target="https://forbes.co/2024/03/20/activos-digitales/como-los-proyectos-de-tokenizacion-representan-una-vaca-virtual-al-rescate-de-la-vivienda-en-colombia" TargetMode="External"/><Relationship Id="rId13" Type="http://schemas.openxmlformats.org/officeDocument/2006/relationships/hyperlink" Target="https://www.infobae.com/peru/2025/09/14/crowdfunding-inmobiliario-alcanza-rentabilidad-del-30-anual-en-peru-que-es-y-por-que-gana-tanto-terreno-en-la-vivienda-social/#:~:text=Uno%20de%20los%20principales%20argumentos,rentabilidad%20va%20%C3%ADntegro%20al%20inversionista" TargetMode="External"/><Relationship Id="rId12" Type="http://schemas.openxmlformats.org/officeDocument/2006/relationships/hyperlink" Target="https://www.infobae.com/peru/2025/09/14/crowdfunding-inmobiliario-alcanza-rentabilidad-del-30-anual-en-peru-que-es-y-por-que-gana-tanto-terreno-en-la-vivienda-social/#:~:text=El%20crowdfunding%20inmobiliario%20de%20vivienda,por%20encima%20de%20la%20oferta" TargetMode="External"/><Relationship Id="rId91" Type="http://schemas.openxmlformats.org/officeDocument/2006/relationships/hyperlink" Target="https://www.gob.pe/institucion/smv/noticias/1121398-advertencia-sobre-la-adquisicion-de-monedas-virtuales-o-criptomonedas-y-la-participacion-en-esquemas-de-financiamiento-por-el-uso-de-tokens#:~:text=,medios%20masivos%20de%20comunicaci%C3%B3n%2C%20como" TargetMode="External"/><Relationship Id="rId90" Type="http://schemas.openxmlformats.org/officeDocument/2006/relationships/hyperlink" Target="https://www.gob.pe/institucion/smv/noticias/1121398-advertencia-sobre-la-adquisicion-de-monedas-virtuales-o-criptomonedas-y-la-participacion-en-esquemas-de-financiamiento-por-el-uso-de-tokens#:~:text=,promociones%20no%20est%C3%A1n%20bajo%20supervisi%C3%B3n" TargetMode="External"/><Relationship Id="rId93" Type="http://schemas.openxmlformats.org/officeDocument/2006/relationships/hyperlink" Target="https://www.gob.pe/institucion/smv/noticias/1121398-advertencia-sobre-la-adquisicion-de-monedas-virtuales-o-criptomonedas-y-la-participacion-en-esquemas-de-financiamiento-por-el-uso-de-tokens#:~:text=En%20ese%20sentido%2C%20la%20SMV,su%20dinero%20a%20dichas%20adquisiciones" TargetMode="External"/><Relationship Id="rId92" Type="http://schemas.openxmlformats.org/officeDocument/2006/relationships/hyperlink" Target="https://www.gob.pe/institucion/smv/noticias/1121398-advertencia-sobre-la-adquisicion-de-monedas-virtuales-o-criptomonedas-y-la-participacion-en-esquemas-de-financiamiento-por-el-uso-de-tokens#:~:text=,de%20sus%20precios%20y%20componente" TargetMode="External"/><Relationship Id="rId15" Type="http://schemas.openxmlformats.org/officeDocument/2006/relationships/hyperlink" Target="https://www.elespanol.com/invertia/empresas/inmobiliario/20250312/exjugador-baloncesto-ferran-martinez-llega-reental-embajador-inversion-inmobiliaria-tokenizada/930407522_0.html#:~:text=sector%20en%20un%20futuro%20pr%C3%B3ximo" TargetMode="External"/><Relationship Id="rId14" Type="http://schemas.openxmlformats.org/officeDocument/2006/relationships/hyperlink" Target="https://caretas.pe/nacional/aprueban-plan-de-desarrollo-urbano-2025-2035-para-balnearios-del-sur-de-lima/#:~:text=El%20estudio%2C%20liderado%20por%20la,Bartolo%2C%20Santa%20Mar%C3%ADa%20y%20Pucusana" TargetMode="External"/><Relationship Id="rId17" Type="http://schemas.openxmlformats.org/officeDocument/2006/relationships/hyperlink" Target="https://www.inei.gob.pe/media/MenuRecursivo/publicaciones_digitales/Est/Lib0012/N53/anexo031.htm" TargetMode="External"/><Relationship Id="rId16" Type="http://schemas.openxmlformats.org/officeDocument/2006/relationships/hyperlink" Target="https://caretas.pe/nacional/aprueban-plan-de-desarrollo-urbano-2025-2035-para-balnearios-del-sur-de-lima/#:~:text=El%20estudio%2C%20liderado%20por%20la,Bartolo%2C%20Santa%20Mar%C3%ADa%20y%20Pucusana" TargetMode="External"/><Relationship Id="rId19" Type="http://schemas.openxmlformats.org/officeDocument/2006/relationships/hyperlink" Target="https://caretas.pe/nacional/aprueban-plan-de-desarrollo-urbano-2025-2035-para-balnearios-del-sur-de-lima/#:~:text=El%20PDU%20tambi%C3%A9n%20plantea%20acciones,1%20m%C2%B2%20por%20habitante%E2%80%94" TargetMode="External"/><Relationship Id="rId18" Type="http://schemas.openxmlformats.org/officeDocument/2006/relationships/hyperlink" Target="https://www.limacomovamos.org/cm/wp-content/uploads/2019/01/Bolet%C3%ADn_LimaSur2019.pdf#:~:text=,Lima%20Este%20y%20Lima" TargetMode="External"/><Relationship Id="rId84" Type="http://schemas.openxmlformats.org/officeDocument/2006/relationships/hyperlink" Target="https://www.infobae.com/peru/2025/09/14/crowdfunding-inmobiliario-alcanza-rentabilidad-del-30-anual-en-peru-que-es-y-por-que-gana-tanto-terreno-en-la-vivienda-social/" TargetMode="External"/><Relationship Id="rId83" Type="http://schemas.openxmlformats.org/officeDocument/2006/relationships/hyperlink" Target="https://www.infobae.com/peru/2025/09/14/crowdfunding-inmobiliario-alcanza-rentabilidad-del-30-anual-en-peru-que-es-y-por-que-gana-tanto-terreno-en-la-vivienda-social/#:~:text=Desde%20el%20punto%20de%20vista,SMV" TargetMode="External"/><Relationship Id="rId86" Type="http://schemas.openxmlformats.org/officeDocument/2006/relationships/hyperlink" Target="https://www.elespanol.com/invertia/empresas/inmobiliario/20250312/exjugador-baloncesto-ferran-martinez-llega-reental-embajador-inversion-inmobiliaria-tokenizada/930407522_0.html#:~:text=Mart%C3%ADnez%20intentar%C3%A1%20,sector%20en%20un%20futuro%20pr%C3%B3ximo" TargetMode="External"/><Relationship Id="rId85" Type="http://schemas.openxmlformats.org/officeDocument/2006/relationships/hyperlink" Target="https://www.elespanol.com/invertia/empresas/inmobiliario/20250312/exjugador-baloncesto-ferran-martinez-llega-reental-embajador-inversion-inmobiliaria-tokenizada/930407522_0.html#:~:text=sector%20en%20un%20futuro%20pr%C3%B3ximo" TargetMode="External"/><Relationship Id="rId88" Type="http://schemas.openxmlformats.org/officeDocument/2006/relationships/hyperlink" Target="https://www.limacomovamos.org/cm/wp-content/uploads/2019/01/Bolet%C3%ADn_LimaSur2019.pdf#:~:text=,Lima%20Este%20y%20Lima" TargetMode="External"/><Relationship Id="rId87" Type="http://schemas.openxmlformats.org/officeDocument/2006/relationships/hyperlink" Target="https://www.elespanol.com/invertia/empresas/inmobiliario/20250312/exjugador-baloncesto-ferran-martinez-llega-reental-embajador-inversion-inmobiliaria-tokenizada/930407522_0.html" TargetMode="External"/><Relationship Id="rId89" Type="http://schemas.openxmlformats.org/officeDocument/2006/relationships/hyperlink" Target="https://www.limacomovamos.org/cm/wp-content/uploads/2019/01/Bolet%C3%ADn_LimaSur2019.pdf" TargetMode="External"/><Relationship Id="rId80" Type="http://schemas.openxmlformats.org/officeDocument/2006/relationships/hyperlink" Target="https://www.infobae.com/peru/2025/09/14/crowdfunding-inmobiliario-alcanza-rentabilidad-del-30-anual-en-peru-que-es-y-por-que-gana-tanto-terreno-en-la-vivienda-social/#:~:text=El%20crowdfunding%20inmobiliario%20de%20vivienda,por%20encima%20de%20la%20oferta" TargetMode="External"/><Relationship Id="rId82" Type="http://schemas.openxmlformats.org/officeDocument/2006/relationships/hyperlink" Target="https://www.infobae.com/peru/2025/09/14/crowdfunding-inmobiliario-alcanza-rentabilidad-del-30-anual-en-peru-que-es-y-por-que-gana-tanto-terreno-en-la-vivienda-social/#:~:text=El%20proceso%20de%20selecci%C3%B3n%20y,controlados%20por%20entidades%20como%20COFIDE" TargetMode="External"/><Relationship Id="rId81" Type="http://schemas.openxmlformats.org/officeDocument/2006/relationships/hyperlink" Target="https://www.infobae.com/peru/2025/09/14/crowdfunding-inmobiliario-alcanza-rentabilidad-del-30-anual-en-peru-que-es-y-por-que-gana-tanto-terreno-en-la-vivienda-social/#:~:text=Uno%20de%20los%20principales%20argumentos,rentabilidad%20va%20%C3%ADntegro%20al%20inversionis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akupark.com/el-ferrocarril-lima-ica-un-viaje-de-alta-velocidad-que-promete-revolucionar-la-conectividad-en-peru/#:~:text=El%20Per%C3%BA%20se%20prepara%20para,noviembre%20de%202024%20y%20febrero" TargetMode="External"/><Relationship Id="rId5" Type="http://schemas.openxmlformats.org/officeDocument/2006/relationships/styles" Target="styles.xml"/><Relationship Id="rId6" Type="http://schemas.openxmlformats.org/officeDocument/2006/relationships/hyperlink" Target="https://caretas.pe/nacional/aprueban-plan-de-desarrollo-urbano-2025-2035-para-balnearios-del-sur-de-lima/#:~:text=El%20estudio%2C%20liderado%20por%20la,Bartolo%2C%20Santa%20Mar%C3%ADa%20y%20Pucusana" TargetMode="External"/><Relationship Id="rId7" Type="http://schemas.openxmlformats.org/officeDocument/2006/relationships/hyperlink" Target="https://caretas.pe/nacional/aprueban-plan-de-desarrollo-urbano-2025-2035-para-balnearios-del-sur-de-lima/#:~:text=El%20estudio%2C%20liderado%20por%20la,Bartolo%2C%20Santa%20Mar%C3%ADa%20y%20Pucusana" TargetMode="External"/><Relationship Id="rId8" Type="http://schemas.openxmlformats.org/officeDocument/2006/relationships/hyperlink" Target="https://www.yakupark.com/el-ferrocarril-lima-ica-un-viaje-de-alta-velocidad-que-promete-revolucionar-la-conectividad-en-peru/#:~:text=Servicios%20de%20Transportes%20del%20MTC%2C,la%20emisi%C3%B3n%20de%20gases%20contaminantes" TargetMode="External"/><Relationship Id="rId73" Type="http://schemas.openxmlformats.org/officeDocument/2006/relationships/hyperlink" Target="https://caretas.pe/nacional/aprueban-plan-de-desarrollo-urbano-2025-2035-para-balnearios-del-sur-de-lima/" TargetMode="External"/><Relationship Id="rId72" Type="http://schemas.openxmlformats.org/officeDocument/2006/relationships/hyperlink" Target="https://caretas.pe/nacional/aprueban-plan-de-desarrollo-urbano-2025-2035-para-balnearios-del-sur-de-lima/#:~:text=El%20PDU%20tambi%C3%A9n%20plantea%20acciones,1%20m%C2%B2%20por%20habitante%E2%80%94" TargetMode="External"/><Relationship Id="rId75" Type="http://schemas.openxmlformats.org/officeDocument/2006/relationships/hyperlink" Target="https://www.yakupark.com/el-ferrocarril-lima-ica-un-viaje-de-alta-velocidad-que-promete-revolucionar-la-conectividad-en-peru/#:~:text=El%20Per%C3%BA%20se%20prepara%20para,noviembre%20de%202024%20y%20febrero" TargetMode="External"/><Relationship Id="rId74" Type="http://schemas.openxmlformats.org/officeDocument/2006/relationships/hyperlink" Target="https://www.yakupark.com/el-ferrocarril-lima-ica-un-viaje-de-alta-velocidad-que-promete-revolucionar-la-conectividad-en-peru/#:~:text=Servicios%20de%20Transportes%20del%20MTC%2C,la%20emisi%C3%B3n%20de%20gases%20contaminantes" TargetMode="External"/><Relationship Id="rId77" Type="http://schemas.openxmlformats.org/officeDocument/2006/relationships/hyperlink" Target="https://www.yakupark.com/el-ferrocarril-lima-ica-un-viaje-de-alta-velocidad-que-promete-revolucionar-la-conectividad-en-peru/" TargetMode="External"/><Relationship Id="rId76" Type="http://schemas.openxmlformats.org/officeDocument/2006/relationships/hyperlink" Target="https://www.yakupark.com/el-ferrocarril-lima-ica-un-viaje-de-alta-velocidad-que-promete-revolucionar-la-conectividad-en-peru/#:~:text=Los%20beneficios%20del%C2%A0nuevo%20tren%20Lima,de%20viaje%20entre%20Lima%20e" TargetMode="External"/><Relationship Id="rId79" Type="http://schemas.openxmlformats.org/officeDocument/2006/relationships/hyperlink" Target="https://www.inei.gob.pe/media/MenuRecursivo/publicaciones_digitales/Est/Lib0012/N53/anexo031.htm" TargetMode="External"/><Relationship Id="rId78" Type="http://schemas.openxmlformats.org/officeDocument/2006/relationships/hyperlink" Target="https://www.inei.gob.pe/media/MenuRecursivo/publicaciones_digitales/Est/Lib0012/N53/anexo031.htm" TargetMode="External"/><Relationship Id="rId71" Type="http://schemas.openxmlformats.org/officeDocument/2006/relationships/hyperlink" Target="https://caretas.pe/nacional/aprueban-plan-de-desarrollo-urbano-2025-2035-para-balnearios-del-sur-de-lima/#:~:text=El%20estudio%2C%20liderado%20por%20la,Bartolo%2C%20Santa%20Mar%C3%ADa%20y%20Pucusana" TargetMode="External"/><Relationship Id="rId70"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64" Type="http://schemas.openxmlformats.org/officeDocument/2006/relationships/hyperlink" Target="about:blank" TargetMode="External"/><Relationship Id="rId63" Type="http://schemas.openxmlformats.org/officeDocument/2006/relationships/hyperlink" Target="about:blank" TargetMode="External"/><Relationship Id="rId66" Type="http://schemas.openxmlformats.org/officeDocument/2006/relationships/hyperlink" Target="about:blank" TargetMode="External"/><Relationship Id="rId65" Type="http://schemas.openxmlformats.org/officeDocument/2006/relationships/hyperlink" Target="about:blank" TargetMode="External"/><Relationship Id="rId68" Type="http://schemas.openxmlformats.org/officeDocument/2006/relationships/hyperlink" Target="about:blank" TargetMode="External"/><Relationship Id="rId67" Type="http://schemas.openxmlformats.org/officeDocument/2006/relationships/hyperlink" Target="about:blank" TargetMode="External"/><Relationship Id="rId60" Type="http://schemas.openxmlformats.org/officeDocument/2006/relationships/hyperlink" Target="about:blank" TargetMode="External"/><Relationship Id="rId6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55" Type="http://schemas.openxmlformats.org/officeDocument/2006/relationships/hyperlink" Target="about:blank" TargetMode="External"/><Relationship Id="rId54" Type="http://schemas.openxmlformats.org/officeDocument/2006/relationships/hyperlink" Target="about:blank" TargetMode="External"/><Relationship Id="rId57" Type="http://schemas.openxmlformats.org/officeDocument/2006/relationships/hyperlink" Target="about:blank" TargetMode="External"/><Relationship Id="rId56" Type="http://schemas.openxmlformats.org/officeDocument/2006/relationships/hyperlink" Target="about:blank" TargetMode="External"/><Relationship Id="rId59" Type="http://schemas.openxmlformats.org/officeDocument/2006/relationships/hyperlink" Target="about:blank" TargetMode="External"/><Relationship Id="rId5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