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2"/>
          <w:szCs w:val="22"/>
        </w:rPr>
        <w:t xml:space="preserve"/>
      </w:r>
    </w:p>
    <w:p>
      <w:pPr>
        <w:spacing w:after="200" w:before="0"/>
        <w:jc w:val="center"/>
      </w:pPr>
      <w:r>
        <w:rPr>
          <w:rFonts w:ascii="Arial" w:cs="Arial" w:eastAsia="Arial" w:hAnsi="Arial"/>
          <w:b/>
          <w:bCs/>
          <w:color w:val="1F4E79"/>
          <w:sz w:val="52"/>
          <w:szCs w:val="52"/>
        </w:rPr>
        <w:t xml:space="preserve">QDOORA CHILE</w:t>
      </w:r>
    </w:p>
    <w:p>
      <w:pPr>
        <w:spacing w:after="200" w:before="0"/>
        <w:jc w:val="center"/>
      </w:pPr>
      <w:r>
        <w:rPr>
          <w:rFonts w:ascii="Arial" w:cs="Arial" w:eastAsia="Arial" w:hAnsi="Arial"/>
          <w:color w:val="2E75B6"/>
          <w:sz w:val="40"/>
          <w:szCs w:val="40"/>
        </w:rPr>
        <w:t xml:space="preserve">Módulo de Facturación Electrónica SII</w:t>
      </w:r>
    </w:p>
    <w:p>
      <w:pPr>
        <w:spacing w:after="600" w:before="0"/>
        <w:jc w:val="center"/>
      </w:pPr>
      <w:r>
        <w:rPr>
          <w:rFonts w:ascii="Arial" w:cs="Arial" w:eastAsia="Arial" w:hAnsi="Arial"/>
          <w:b/>
          <w:bCs/>
          <w:color w:val="595959"/>
          <w:sz w:val="32"/>
          <w:szCs w:val="32"/>
        </w:rPr>
        <w:t xml:space="preserve">Catastro de Responsabilidades</w:t>
      </w:r>
    </w:p>
    <w:p>
      <w:pPr>
        <w:pBdr>
          <w:top w:val="single" w:color="2E75B6" w:sz="8"/>
          <w:bottom w:val="single" w:color="2E75B6" w:sz="8"/>
        </w:pBdr>
        <w:spacing w:after="120" w:before="120"/>
        <w:jc w:val="center"/>
      </w:pPr>
      <w:r>
        <w:rPr>
          <w:rFonts w:ascii="Arial" w:cs="Arial" w:eastAsia="Arial" w:hAnsi="Arial"/>
          <w:color w:val="595959"/>
          <w:sz w:val="24"/>
          <w:szCs w:val="24"/>
        </w:rPr>
        <w:t xml:space="preserve">Versión 1.0  –  Junio 2026</w:t>
      </w:r>
    </w:p>
    <w:p>
      <w:r>
        <w:br w:type="page"/>
      </w:r>
    </w:p>
    <w:p>
      <w:pPr>
        <w:pStyle w:val="Heading1"/>
      </w:pPr>
      <w:r>
        <w:rPr>
          <w:rFonts w:ascii="Arial" w:cs="Arial" w:eastAsia="Arial" w:hAnsi="Arial"/>
          <w:b/>
          <w:bCs/>
          <w:color w:val="1F4E79"/>
          <w:sz w:val="36"/>
          <w:szCs w:val="36"/>
        </w:rPr>
        <w:t xml:space="preserve">Índice</w:t>
      </w:r>
    </w:p>
    <w:sdt>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0"/>
      </w:pPr>
      <w:r>
        <w:rPr>
          <w:rFonts w:ascii="Arial" w:cs="Arial" w:eastAsia="Arial" w:hAnsi="Arial"/>
          <w:b/>
          <w:bCs/>
          <w:color w:val="1F4E79"/>
          <w:sz w:val="36"/>
          <w:szCs w:val="36"/>
        </w:rPr>
        <w:t xml:space="preserve">1. Resumen Ejecutivo</w:t>
      </w:r>
    </w:p>
    <w:p>
      <w:pPr>
        <w:spacing w:after="100" w:before="60"/>
      </w:pPr>
      <w:r>
        <w:rPr>
          <w:rFonts w:ascii="Arial" w:cs="Arial" w:eastAsia="Arial" w:hAnsi="Arial"/>
          <w:sz w:val="22"/>
          <w:szCs w:val="22"/>
        </w:rPr>
        <w:t xml:space="preserve">Este documento define el catastro completo de responsabilidades para la implementación del módulo de Facturación Electrónica SII en QdoorA. Cubre la decisión arquitectónica, los requisitos de seguridad, el análisis del modelo de datos existente y todas las migraciones de base de datos requeridas.</w:t>
      </w:r>
    </w:p>
    <w:p>
      <w:pPr>
        <w:spacing w:after="60" w:before="6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4200"/>
        <w:gridCol w:w="5226"/>
      </w:tblGrid>
      <w:tr>
        <w:trPr>
          <w:tblHeader/>
        </w:trPr>
        <w:tc>
          <w:tcPr>
            <w:tcW w:type="dxa" w:w="4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Dimensión</w:t>
            </w:r>
          </w:p>
        </w:tc>
        <w:tc>
          <w:tcPr>
            <w:tcW w:type="dxa" w:w="52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Decisión</w:t>
            </w:r>
          </w:p>
        </w:tc>
      </w:tr>
      <w:tr>
        <w:tc>
          <w:tcPr>
            <w:tcW w:type="dxa" w:w="4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Arquitectura de servicio</w:t>
            </w:r>
          </w:p>
        </w:tc>
        <w:tc>
          <w:tcPr>
            <w:tcW w:type="dxa" w:w="52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Anclar a qdoora-api (sin nuevo contenedor Docker)</w:t>
            </w:r>
          </w:p>
        </w:tc>
      </w:tr>
      <w:tr>
        <w:tc>
          <w:tcPr>
            <w:tcW w:type="dxa" w:w="4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Protocolo SII</w:t>
            </w:r>
          </w:p>
        </w:tc>
        <w:tc>
          <w:tcPr>
            <w:tcW w:type="dxa" w:w="52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SOAP/HTTPS con autenticación por semilla + certificado empresa</w:t>
            </w:r>
          </w:p>
        </w:tc>
      </w:tr>
      <w:tr>
        <w:tc>
          <w:tcPr>
            <w:tcW w:type="dxa" w:w="4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Codificación obligatoria</w:t>
            </w:r>
          </w:p>
        </w:tc>
        <w:tc>
          <w:tcPr>
            <w:tcW w:type="dxa" w:w="52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ISO-8859-1 (firma TED y DTE) — crítico</w:t>
            </w:r>
          </w:p>
        </w:tc>
      </w:tr>
      <w:tr>
        <w:tc>
          <w:tcPr>
            <w:tcW w:type="dxa" w:w="4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Almacenamiento certificados</w:t>
            </w:r>
          </w:p>
        </w:tc>
        <w:tc>
          <w:tcPr>
            <w:tcW w:type="dxa" w:w="52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AWS S3 + columna cifrada AES-256 en BD</w:t>
            </w:r>
          </w:p>
        </w:tc>
      </w:tr>
      <w:tr>
        <w:tc>
          <w:tcPr>
            <w:tcW w:type="dxa" w:w="4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Ambientes SII</w:t>
            </w:r>
          </w:p>
        </w:tc>
        <w:tc>
          <w:tcPr>
            <w:tcW w:type="dxa" w:w="52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Certificación (maullin) + Producción (palena), por empresa</w:t>
            </w:r>
          </w:p>
        </w:tc>
      </w:tr>
      <w:tr>
        <w:tc>
          <w:tcPr>
            <w:tcW w:type="dxa" w:w="4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Migraciones necesarias</w:t>
            </w:r>
          </w:p>
        </w:tc>
        <w:tc>
          <w:tcPr>
            <w:tcW w:type="dxa" w:w="52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6 nuevas tablas + 8 columnas distribuidas en tablas existentes</w:t>
            </w:r>
          </w:p>
        </w:tc>
      </w:tr>
    </w:tbl>
    <w:p>
      <w:pPr>
        <w:pStyle w:val="Heading1"/>
        <w:pageBreakBefore/>
        <w:spacing w:after="200" w:before="0"/>
      </w:pPr>
      <w:r>
        <w:rPr>
          <w:rFonts w:ascii="Arial" w:cs="Arial" w:eastAsia="Arial" w:hAnsi="Arial"/>
          <w:b/>
          <w:bCs/>
          <w:color w:val="1F4E79"/>
          <w:sz w:val="36"/>
          <w:szCs w:val="36"/>
        </w:rPr>
        <w:t xml:space="preserve">2. Decisión Arquitectónica: Servicio vs. qdoora-api</w:t>
      </w:r>
    </w:p>
    <w:p>
      <w:pPr>
        <w:pStyle w:val="Heading2"/>
        <w:pBdr>
          <w:bottom w:val="single" w:color="2E75B6" w:sz="4" w:space="4"/>
        </w:pBdr>
        <w:spacing w:after="120" w:before="280"/>
      </w:pPr>
      <w:r>
        <w:rPr>
          <w:rFonts w:ascii="Arial" w:cs="Arial" w:eastAsia="Arial" w:hAnsi="Arial"/>
          <w:b/>
          <w:bCs/>
          <w:color w:val="2E75B6"/>
          <w:sz w:val="28"/>
          <w:szCs w:val="28"/>
        </w:rPr>
        <w:t xml:space="preserve">2.1 Análisis de opciones</w:t>
      </w:r>
    </w:p>
    <w:p>
      <w:pPr>
        <w:spacing w:after="100" w:before="60"/>
      </w:pPr>
      <w:r>
        <w:rPr>
          <w:rFonts w:ascii="Arial" w:cs="Arial" w:eastAsia="Arial" w:hAnsi="Arial"/>
          <w:sz w:val="22"/>
          <w:szCs w:val="22"/>
        </w:rPr>
        <w:t xml:space="preserve">Se evaluaron dos alternativas:</w:t>
      </w:r>
    </w:p>
    <w:p>
      <w:pPr>
        <w:spacing w:after="60" w:before="6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500"/>
        <w:gridCol w:w="2863"/>
        <w:gridCol w:w="3063"/>
      </w:tblGrid>
      <w:tr>
        <w:trPr>
          <w:tblHeader/>
        </w:trPr>
        <w:tc>
          <w:tcPr>
            <w:tcW w:type="dxa" w:w="3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w:t>
            </w:r>
          </w:p>
        </w:tc>
        <w:tc>
          <w:tcPr>
            <w:tcW w:type="dxa" w:w="2863"/>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Nuevo servicio Docker</w:t>
            </w:r>
          </w:p>
        </w:tc>
        <w:tc>
          <w:tcPr>
            <w:tcW w:type="dxa" w:w="3063"/>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Anclar a qdoora-api</w:t>
            </w:r>
          </w:p>
        </w:tc>
      </w:tr>
      <w:tr>
        <w:tc>
          <w:tcPr>
            <w:tcW w:type="dxa" w:w="3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Complejidad operacional</w:t>
            </w:r>
          </w:p>
        </w:tc>
        <w:tc>
          <w:tcPr>
            <w:tcW w:type="dxa" w:w="2863"/>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Alta: nuevo contenedor, healthcheck, red, env vars</w:t>
            </w:r>
          </w:p>
        </w:tc>
        <w:tc>
          <w:tcPr>
            <w:tcW w:type="dxa" w:w="3063"/>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Baja: reutiliza stack existente</w:t>
            </w:r>
          </w:p>
        </w:tc>
      </w:tr>
      <w:tr>
        <w:tc>
          <w:tcPr>
            <w:tcW w:type="dxa" w:w="35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Latencia inter-servicio</w:t>
            </w:r>
          </w:p>
        </w:tc>
        <w:tc>
          <w:tcPr>
            <w:tcW w:type="dxa" w:w="2863"/>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HTTP/REST adicional entre servicios</w:t>
            </w:r>
          </w:p>
        </w:tc>
        <w:tc>
          <w:tcPr>
            <w:tcW w:type="dxa" w:w="3063"/>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Llamada interna directa (Service)</w:t>
            </w:r>
          </w:p>
        </w:tc>
      </w:tr>
      <w:tr>
        <w:tc>
          <w:tcPr>
            <w:tcW w:type="dxa" w:w="3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Aislamiento de fallos</w:t>
            </w:r>
          </w:p>
        </w:tc>
        <w:tc>
          <w:tcPr>
            <w:tcW w:type="dxa" w:w="2863"/>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Mejor: cae independiente</w:t>
            </w:r>
          </w:p>
        </w:tc>
        <w:tc>
          <w:tcPr>
            <w:tcW w:type="dxa" w:w="3063"/>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Compartido con API principal</w:t>
            </w:r>
          </w:p>
        </w:tc>
      </w:tr>
      <w:tr>
        <w:tc>
          <w:tcPr>
            <w:tcW w:type="dxa" w:w="35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Escenario de carga SII</w:t>
            </w:r>
          </w:p>
        </w:tc>
        <w:tc>
          <w:tcPr>
            <w:tcW w:type="dxa" w:w="2863"/>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Conveniente si vol. XML &gt; 1.000 DTE/hora</w:t>
            </w:r>
          </w:p>
        </w:tc>
        <w:tc>
          <w:tcPr>
            <w:tcW w:type="dxa" w:w="3063"/>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Suficiente para PYME (&lt; 200 DTE/hora)</w:t>
            </w:r>
          </w:p>
        </w:tc>
      </w:tr>
      <w:tr>
        <w:tc>
          <w:tcPr>
            <w:tcW w:type="dxa" w:w="3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Multi-tenancy</w:t>
            </w:r>
          </w:p>
        </w:tc>
        <w:tc>
          <w:tcPr>
            <w:tcW w:type="dxa" w:w="2863"/>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Duplica lógica de company_id y JWT</w:t>
            </w:r>
          </w:p>
        </w:tc>
        <w:tc>
          <w:tcPr>
            <w:tcW w:type="dxa" w:w="3063"/>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Hereda guards y middleware existentes</w:t>
            </w:r>
          </w:p>
        </w:tc>
      </w:tr>
      <w:tr>
        <w:tc>
          <w:tcPr>
            <w:tcW w:type="dxa" w:w="35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Tiempo de implementación</w:t>
            </w:r>
          </w:p>
        </w:tc>
        <w:tc>
          <w:tcPr>
            <w:tcW w:type="dxa" w:w="2863"/>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+2–3 semanas (scaffolding, CI, deploy)</w:t>
            </w:r>
          </w:p>
        </w:tc>
        <w:tc>
          <w:tcPr>
            <w:tcW w:type="dxa" w:w="3063"/>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Inmediato</w:t>
            </w:r>
          </w:p>
        </w:tc>
      </w:tr>
      <w:tr>
        <w:tc>
          <w:tcPr>
            <w:tcW w:type="dxa" w:w="3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Costo AWS (ECS Fargate)</w:t>
            </w:r>
          </w:p>
        </w:tc>
        <w:tc>
          <w:tcPr>
            <w:tcW w:type="dxa" w:w="2863"/>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+~$40–$80 USD/mes por tarea adicional</w:t>
            </w:r>
          </w:p>
        </w:tc>
        <w:tc>
          <w:tcPr>
            <w:tcW w:type="dxa" w:w="3063"/>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Sin costo adicional</w:t>
            </w:r>
          </w:p>
        </w:tc>
      </w:tr>
    </w:tbl>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2.2 Decisión recomendada: Anclar a qdoora-api</w:t>
      </w:r>
    </w:p>
    <w:p>
      <w:pPr>
        <w:pBdr>
          <w:left w:val="thick" w:color="00B050" w:sz="12" w:space="8"/>
        </w:pBdr>
        <w:shd w:fill="E2EFDA" w:val="clear"/>
        <w:spacing w:after="100" w:before="100"/>
        <w:ind w:left="360"/>
      </w:pPr>
      <w:r>
        <w:rPr>
          <w:rFonts w:ascii="Arial" w:cs="Arial" w:eastAsia="Arial" w:hAnsi="Arial"/>
          <w:color w:val="5C4000"/>
          <w:sz w:val="21"/>
          <w:szCs w:val="21"/>
        </w:rPr>
        <w:t xml:space="preserve">RECOMENDACION: Implementar el módulo SII dentro de qdoora-api. El volúmen esperado para PYME no justifica el overhead operacional de un microservicio dedicado. La separación física se puede hacer en una Fase 2 si el uso escala.</w:t>
      </w:r>
    </w:p>
    <w:p>
      <w:pPr>
        <w:spacing w:after="60" w:before="60"/>
      </w:pPr>
      <w:r>
        <w:t xml:space="preserve"/>
      </w:r>
    </w:p>
    <w:p>
      <w:pPr>
        <w:spacing w:after="100" w:before="60"/>
      </w:pPr>
      <w:r>
        <w:rPr>
          <w:rFonts w:ascii="Arial" w:cs="Arial" w:eastAsia="Arial" w:hAnsi="Arial"/>
          <w:sz w:val="22"/>
          <w:szCs w:val="22"/>
        </w:rPr>
        <w:t xml:space="preserve">Estructura de carpetas dentro de qdoora-api:</w:t>
      </w:r>
    </w:p>
    <w:p>
      <w:pPr>
        <w:pStyle w:val="ListParagraph"/>
        <w:numPr>
          <w:ilvl w:val="0"/>
          <w:numId w:val="2"/>
        </w:numPr>
        <w:spacing w:after="40" w:before="40"/>
      </w:pPr>
      <w:r>
        <w:rPr>
          <w:rFonts w:ascii="Arial" w:cs="Arial" w:eastAsia="Arial" w:hAnsi="Arial"/>
          <w:sz w:val="22"/>
          <w:szCs w:val="22"/>
        </w:rPr>
        <w:t xml:space="preserve">app/Services/Sii/  — Lógica de negocio SII</w:t>
      </w:r>
    </w:p>
    <w:p>
      <w:pPr>
        <w:pStyle w:val="ListParagraph"/>
        <w:numPr>
          <w:ilvl w:val="1"/>
          <w:numId w:val="2"/>
        </w:numPr>
        <w:spacing w:after="40" w:before="40"/>
      </w:pPr>
      <w:r>
        <w:rPr>
          <w:rFonts w:ascii="Arial" w:cs="Arial" w:eastAsia="Arial" w:hAnsi="Arial"/>
          <w:sz w:val="22"/>
          <w:szCs w:val="22"/>
        </w:rPr>
        <w:t xml:space="preserve">SiiAuthService.php  — Obtención de token SOAP</w:t>
      </w:r>
    </w:p>
    <w:p>
      <w:pPr>
        <w:pStyle w:val="ListParagraph"/>
        <w:numPr>
          <w:ilvl w:val="1"/>
          <w:numId w:val="2"/>
        </w:numPr>
        <w:spacing w:after="40" w:before="40"/>
      </w:pPr>
      <w:r>
        <w:rPr>
          <w:rFonts w:ascii="Arial" w:cs="Arial" w:eastAsia="Arial" w:hAnsi="Arial"/>
          <w:sz w:val="22"/>
          <w:szCs w:val="22"/>
        </w:rPr>
        <w:t xml:space="preserve">CafService.php  — Gestión de CAF y folios</w:t>
      </w:r>
    </w:p>
    <w:p>
      <w:pPr>
        <w:pStyle w:val="ListParagraph"/>
        <w:numPr>
          <w:ilvl w:val="1"/>
          <w:numId w:val="2"/>
        </w:numPr>
        <w:spacing w:after="40" w:before="40"/>
      </w:pPr>
      <w:r>
        <w:rPr>
          <w:rFonts w:ascii="Arial" w:cs="Arial" w:eastAsia="Arial" w:hAnsi="Arial"/>
          <w:sz w:val="22"/>
          <w:szCs w:val="22"/>
        </w:rPr>
        <w:t xml:space="preserve">DteBuilderService.php  — Construcción XML DTE + TED</w:t>
      </w:r>
    </w:p>
    <w:p>
      <w:pPr>
        <w:pStyle w:val="ListParagraph"/>
        <w:numPr>
          <w:ilvl w:val="1"/>
          <w:numId w:val="2"/>
        </w:numPr>
        <w:spacing w:after="40" w:before="40"/>
      </w:pPr>
      <w:r>
        <w:rPr>
          <w:rFonts w:ascii="Arial" w:cs="Arial" w:eastAsia="Arial" w:hAnsi="Arial"/>
          <w:sz w:val="22"/>
          <w:szCs w:val="22"/>
        </w:rPr>
        <w:t xml:space="preserve">DteSenderService.php  — Envío sobre HTTPS al SII</w:t>
      </w:r>
    </w:p>
    <w:p>
      <w:pPr>
        <w:pStyle w:val="ListParagraph"/>
        <w:numPr>
          <w:ilvl w:val="1"/>
          <w:numId w:val="2"/>
        </w:numPr>
        <w:spacing w:after="40" w:before="40"/>
      </w:pPr>
      <w:r>
        <w:rPr>
          <w:rFonts w:ascii="Arial" w:cs="Arial" w:eastAsia="Arial" w:hAnsi="Arial"/>
          <w:sz w:val="22"/>
          <w:szCs w:val="22"/>
        </w:rPr>
        <w:t xml:space="preserve">DteStatusService.php  — Consulta estado en SII</w:t>
      </w:r>
    </w:p>
    <w:p>
      <w:pPr>
        <w:pStyle w:val="ListParagraph"/>
        <w:numPr>
          <w:ilvl w:val="1"/>
          <w:numId w:val="2"/>
        </w:numPr>
        <w:spacing w:after="40" w:before="40"/>
      </w:pPr>
      <w:r>
        <w:rPr>
          <w:rFonts w:ascii="Arial" w:cs="Arial" w:eastAsia="Arial" w:hAnsi="Arial"/>
          <w:sz w:val="22"/>
          <w:szCs w:val="22"/>
        </w:rPr>
        <w:t xml:space="preserve">RcvService.php  — Extracción RCV por token</w:t>
      </w:r>
    </w:p>
    <w:p>
      <w:pPr>
        <w:pStyle w:val="ListParagraph"/>
        <w:numPr>
          <w:ilvl w:val="0"/>
          <w:numId w:val="2"/>
        </w:numPr>
        <w:spacing w:after="40" w:before="40"/>
      </w:pPr>
      <w:r>
        <w:rPr>
          <w:rFonts w:ascii="Arial" w:cs="Arial" w:eastAsia="Arial" w:hAnsi="Arial"/>
          <w:sz w:val="22"/>
          <w:szCs w:val="22"/>
        </w:rPr>
        <w:t xml:space="preserve">app/Http/Controllers/Sii/  — Controladores ultra-ligeros</w:t>
      </w:r>
    </w:p>
    <w:p>
      <w:pPr>
        <w:pStyle w:val="ListParagraph"/>
        <w:numPr>
          <w:ilvl w:val="0"/>
          <w:numId w:val="2"/>
        </w:numPr>
        <w:spacing w:after="40" w:before="40"/>
      </w:pPr>
      <w:r>
        <w:rPr>
          <w:rFonts w:ascii="Arial" w:cs="Arial" w:eastAsia="Arial" w:hAnsi="Arial"/>
          <w:sz w:val="22"/>
          <w:szCs w:val="22"/>
        </w:rPr>
        <w:t xml:space="preserve">app/Models/Sii/  — Modelos: Certificate, Caf, DteEnvio</w:t>
      </w:r>
    </w:p>
    <w:p>
      <w:pPr>
        <w:pStyle w:val="ListParagraph"/>
        <w:numPr>
          <w:ilvl w:val="0"/>
          <w:numId w:val="2"/>
        </w:numPr>
        <w:spacing w:after="40" w:before="40"/>
      </w:pPr>
      <w:r>
        <w:rPr>
          <w:rFonts w:ascii="Arial" w:cs="Arial" w:eastAsia="Arial" w:hAnsi="Arial"/>
          <w:sz w:val="22"/>
          <w:szCs w:val="22"/>
        </w:rPr>
        <w:t xml:space="preserve">app/Jobs/Sii/  — Jobs: SendDteJob, CheckDteStatusJob, ImportRcvJob</w:t>
      </w:r>
    </w:p>
    <w:p>
      <w:pPr>
        <w:pStyle w:val="ListParagraph"/>
        <w:numPr>
          <w:ilvl w:val="0"/>
          <w:numId w:val="2"/>
        </w:numPr>
        <w:spacing w:after="40" w:before="40"/>
      </w:pPr>
      <w:r>
        <w:rPr>
          <w:rFonts w:ascii="Arial" w:cs="Arial" w:eastAsia="Arial" w:hAnsi="Arial"/>
          <w:sz w:val="22"/>
          <w:szCs w:val="22"/>
        </w:rPr>
        <w:t xml:space="preserve">app/Http/Requests/Sii/  — FormRequests con validación + IDOR</w:t>
      </w:r>
    </w:p>
    <w:p>
      <w:pPr>
        <w:pStyle w:val="Heading1"/>
        <w:pageBreakBefore/>
        <w:spacing w:after="200" w:before="0"/>
      </w:pPr>
      <w:r>
        <w:rPr>
          <w:rFonts w:ascii="Arial" w:cs="Arial" w:eastAsia="Arial" w:hAnsi="Arial"/>
          <w:b/>
          <w:bCs/>
          <w:color w:val="1F4E79"/>
          <w:sz w:val="36"/>
          <w:szCs w:val="36"/>
        </w:rPr>
        <w:t xml:space="preserve">3. Flujo Técnico SII</w:t>
      </w:r>
    </w:p>
    <w:p>
      <w:pPr>
        <w:pStyle w:val="Heading2"/>
        <w:pBdr>
          <w:bottom w:val="single" w:color="2E75B6" w:sz="4" w:space="4"/>
        </w:pBdr>
        <w:spacing w:after="120" w:before="280"/>
      </w:pPr>
      <w:r>
        <w:rPr>
          <w:rFonts w:ascii="Arial" w:cs="Arial" w:eastAsia="Arial" w:hAnsi="Arial"/>
          <w:b/>
          <w:bCs/>
          <w:color w:val="2E75B6"/>
          <w:sz w:val="28"/>
          <w:szCs w:val="28"/>
        </w:rPr>
        <w:t xml:space="preserve">3.1 Autenticación SII (por empresa)</w:t>
      </w:r>
    </w:p>
    <w:p>
      <w:pPr>
        <w:spacing w:after="100" w:before="60"/>
      </w:pPr>
      <w:r>
        <w:rPr>
          <w:rFonts w:ascii="Arial" w:cs="Arial" w:eastAsia="Arial" w:hAnsi="Arial"/>
          <w:sz w:val="22"/>
          <w:szCs w:val="22"/>
        </w:rPr>
        <w:t xml:space="preserve">Cada empresa debe autenticarse individualmente con su propio certificado digital ante el SII. El flujo es:</w:t>
      </w:r>
    </w:p>
    <w:p>
      <w:pPr>
        <w:spacing w:after="60" w:before="6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426"/>
      </w:tblGrid>
      <w:tr>
        <w:trPr>
          <w:tblHeader/>
        </w:trPr>
        <w:tc>
          <w:tcPr>
            <w:tcW w:type="dxa" w:w="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3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 SII</w:t>
            </w:r>
          </w:p>
        </w:tc>
        <w:tc>
          <w:tcPr>
            <w:tcW w:type="dxa" w:w="54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w:t>
            </w:r>
          </w:p>
        </w:tc>
      </w:tr>
      <w:tr>
        <w:tc>
          <w:tcPr>
            <w:tcW w:type="dxa" w:w="8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1. Obtener semilla</w:t>
            </w:r>
          </w:p>
        </w:tc>
        <w:tc>
          <w:tcPr>
            <w:tcW w:type="dxa" w:w="3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CrSeed.jws</w:t>
            </w:r>
          </w:p>
        </w:tc>
        <w:tc>
          <w:tcPr>
            <w:tcW w:type="dxa" w:w="5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GET SOAP → recibe &lt;SEMILLA&gt;</w:t>
            </w:r>
          </w:p>
        </w:tc>
      </w:tr>
      <w:tr>
        <w:tc>
          <w:tcPr>
            <w:tcW w:type="dxa" w:w="8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2. Firmar semilla</w:t>
            </w:r>
          </w:p>
        </w:tc>
        <w:tc>
          <w:tcPr>
            <w:tcW w:type="dxa" w:w="3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(local)</w:t>
            </w:r>
          </w:p>
        </w:tc>
        <w:tc>
          <w:tcPr>
            <w:tcW w:type="dxa" w:w="5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Firma XML con clave privada del certificado empresa (SHA1withRSA)</w:t>
            </w:r>
          </w:p>
        </w:tc>
      </w:tr>
      <w:tr>
        <w:tc>
          <w:tcPr>
            <w:tcW w:type="dxa" w:w="8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3. Obtener token</w:t>
            </w:r>
          </w:p>
        </w:tc>
        <w:tc>
          <w:tcPr>
            <w:tcW w:type="dxa" w:w="3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GetTokenFromSeed.jws</w:t>
            </w:r>
          </w:p>
        </w:tc>
        <w:tc>
          <w:tcPr>
            <w:tcW w:type="dxa" w:w="5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POST SOAP con semilla firmada → recibe &lt;TOKEN&gt;</w:t>
            </w:r>
          </w:p>
        </w:tc>
      </w:tr>
      <w:tr>
        <w:tc>
          <w:tcPr>
            <w:tcW w:type="dxa" w:w="8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4. Usar token</w:t>
            </w:r>
          </w:p>
        </w:tc>
        <w:tc>
          <w:tcPr>
            <w:tcW w:type="dxa" w:w="3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Endpoints subsiguientes</w:t>
            </w:r>
          </w:p>
        </w:tc>
        <w:tc>
          <w:tcPr>
            <w:tcW w:type="dxa" w:w="5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Header Cookie: TOKEN=XXXXXXX</w:t>
            </w:r>
          </w:p>
        </w:tc>
      </w:tr>
    </w:tbl>
    <w:p>
      <w:pPr>
        <w:spacing w:after="60" w:before="60"/>
      </w:pPr>
      <w:r>
        <w:t xml:space="preserve"/>
      </w:r>
    </w:p>
    <w:p>
      <w:pPr>
        <w:pBdr>
          <w:left w:val="thick" w:color="C00000" w:sz="12" w:space="8"/>
        </w:pBdr>
        <w:shd w:fill="FCE4D6" w:val="clear"/>
        <w:spacing w:after="100" w:before="100"/>
        <w:ind w:left="360"/>
      </w:pPr>
      <w:r>
        <w:rPr>
          <w:rFonts w:ascii="Arial" w:cs="Arial" w:eastAsia="Arial" w:hAnsi="Arial"/>
          <w:color w:val="5C4000"/>
          <w:sz w:val="21"/>
          <w:szCs w:val="21"/>
        </w:rPr>
        <w:t xml:space="preserve">CRITICO: Endpoints SII — Certificación: https://maullin.sii.cl/DTEWS/   Producción: https://palena.sii.cl/DTEWS/   El ambiente se configura por empresa (sii_environment en core_companies).</w:t>
      </w:r>
    </w:p>
    <w:p>
      <w:pPr>
        <w:pStyle w:val="Heading2"/>
        <w:pBdr>
          <w:bottom w:val="single" w:color="2E75B6" w:sz="4" w:space="4"/>
        </w:pBdr>
        <w:spacing w:after="120" w:before="280"/>
      </w:pPr>
      <w:r>
        <w:rPr>
          <w:rFonts w:ascii="Arial" w:cs="Arial" w:eastAsia="Arial" w:hAnsi="Arial"/>
          <w:b/>
          <w:bCs/>
          <w:color w:val="2E75B6"/>
          <w:sz w:val="28"/>
          <w:szCs w:val="28"/>
        </w:rPr>
        <w:t xml:space="preserve">3.2 Estructura CAF</w:t>
      </w:r>
    </w:p>
    <w:p>
      <w:pPr>
        <w:spacing w:after="100" w:before="60"/>
      </w:pPr>
      <w:r>
        <w:rPr>
          <w:rFonts w:ascii="Arial" w:cs="Arial" w:eastAsia="Arial" w:hAnsi="Arial"/>
          <w:sz w:val="22"/>
          <w:szCs w:val="22"/>
        </w:rPr>
        <w:t xml:space="preserve">El CAF (Código de Autorización de Folios) es un XML que el SII entrega por empresa, por tipo de documento, por rango de folios. Contiene:</w:t>
      </w:r>
    </w:p>
    <w:p>
      <w:pPr>
        <w:pStyle w:val="ListParagraph"/>
        <w:numPr>
          <w:ilvl w:val="0"/>
          <w:numId w:val="2"/>
        </w:numPr>
        <w:spacing w:after="40" w:before="40"/>
      </w:pPr>
      <w:r>
        <w:rPr>
          <w:rFonts w:ascii="Arial" w:cs="Arial" w:eastAsia="Arial" w:hAnsi="Arial"/>
          <w:sz w:val="22"/>
          <w:szCs w:val="22"/>
        </w:rPr>
        <w:t xml:space="preserve">&lt;AUTORIZACION&gt; → &lt;CAF&gt; (datos firmados por SII) + &lt;RSASK&gt; (clave privada RSA PEM) + &lt;RSAPUBK&gt; (clave pública RSA PEM)</w:t>
      </w:r>
    </w:p>
    <w:p>
      <w:pPr>
        <w:pStyle w:val="ListParagraph"/>
        <w:numPr>
          <w:ilvl w:val="0"/>
          <w:numId w:val="2"/>
        </w:numPr>
        <w:spacing w:after="40" w:before="40"/>
      </w:pPr>
      <w:r>
        <w:rPr>
          <w:rFonts w:ascii="Arial" w:cs="Arial" w:eastAsia="Arial" w:hAnsi="Arial"/>
          <w:sz w:val="22"/>
          <w:szCs w:val="22"/>
        </w:rPr>
        <w:t xml:space="preserve">La clave RSASK del CAF se usa úNICA y EXCLUSIVAMENTE para firmar el TED</w:t>
      </w:r>
    </w:p>
    <w:p>
      <w:pPr>
        <w:pStyle w:val="ListParagraph"/>
        <w:numPr>
          <w:ilvl w:val="0"/>
          <w:numId w:val="2"/>
        </w:numPr>
        <w:spacing w:after="40" w:before="40"/>
      </w:pPr>
      <w:r>
        <w:rPr>
          <w:rFonts w:ascii="Arial" w:cs="Arial" w:eastAsia="Arial" w:hAnsi="Arial"/>
          <w:sz w:val="22"/>
          <w:szCs w:val="22"/>
        </w:rPr>
        <w:t xml:space="preserve">La clave del certificado empresa se usa para firmar el DTE completo</w:t>
      </w:r>
    </w:p>
    <w:p>
      <w:pPr>
        <w:pStyle w:val="ListParagraph"/>
        <w:numPr>
          <w:ilvl w:val="0"/>
          <w:numId w:val="2"/>
        </w:numPr>
        <w:spacing w:after="40" w:before="40"/>
      </w:pPr>
      <w:r>
        <w:rPr>
          <w:rFonts w:ascii="Arial" w:cs="Arial" w:eastAsia="Arial" w:hAnsi="Arial"/>
          <w:sz w:val="22"/>
          <w:szCs w:val="22"/>
        </w:rPr>
        <w:t xml:space="preserve">Son dos operaciones de firma completamente distintas</w:t>
      </w:r>
    </w:p>
    <w:p>
      <w:pPr>
        <w:pStyle w:val="Heading2"/>
        <w:pBdr>
          <w:bottom w:val="single" w:color="2E75B6" w:sz="4" w:space="4"/>
        </w:pBdr>
        <w:spacing w:after="120" w:before="280"/>
      </w:pPr>
      <w:r>
        <w:rPr>
          <w:rFonts w:ascii="Arial" w:cs="Arial" w:eastAsia="Arial" w:hAnsi="Arial"/>
          <w:b/>
          <w:bCs/>
          <w:color w:val="2E75B6"/>
          <w:sz w:val="28"/>
          <w:szCs w:val="28"/>
        </w:rPr>
        <w:t xml:space="preserve">3.3 Construcción del DTE</w:t>
      </w:r>
    </w:p>
    <w:p>
      <w:pPr>
        <w:spacing w:after="100" w:before="60"/>
      </w:pPr>
      <w:r>
        <w:rPr>
          <w:rFonts w:ascii="Arial" w:cs="Arial" w:eastAsia="Arial" w:hAnsi="Arial"/>
          <w:sz w:val="22"/>
          <w:szCs w:val="22"/>
        </w:rPr>
        <w:t xml:space="preserve">Orden obligatorio de operaciones: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3626"/>
      </w:tblGrid>
      <w:tr>
        <w:trPr>
          <w:tblHeader/>
        </w:trPr>
        <w:tc>
          <w:tcPr>
            <w:tcW w:type="dxa" w:w="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53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36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 usada</w:t>
            </w:r>
          </w:p>
        </w:tc>
      </w:tr>
      <w:tr>
        <w:tc>
          <w:tcPr>
            <w:tcW w:type="dxa" w:w="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1</w:t>
            </w:r>
          </w:p>
        </w:tc>
        <w:tc>
          <w:tcPr>
            <w:tcW w:type="dxa" w:w="53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Asignar folio del CAF vigente</w:t>
            </w:r>
          </w:p>
        </w:tc>
        <w:tc>
          <w:tcPr>
            <w:tcW w:type="dxa" w:w="36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5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2</w:t>
            </w:r>
          </w:p>
        </w:tc>
        <w:tc>
          <w:tcPr>
            <w:tcW w:type="dxa" w:w="53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Construir XML del documento (Zonas A–J)</w:t>
            </w:r>
          </w:p>
        </w:tc>
        <w:tc>
          <w:tcPr>
            <w:tcW w:type="dxa" w:w="36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w:t>
            </w:r>
          </w:p>
        </w:tc>
      </w:tr>
      <w:tr>
        <w:tc>
          <w:tcPr>
            <w:tcW w:type="dxa" w:w="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3</w:t>
            </w:r>
          </w:p>
        </w:tc>
        <w:tc>
          <w:tcPr>
            <w:tcW w:type="dxa" w:w="53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Construir estructura TED (con timestamp)</w:t>
            </w:r>
          </w:p>
        </w:tc>
        <w:tc>
          <w:tcPr>
            <w:tcW w:type="dxa" w:w="36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5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4</w:t>
            </w:r>
          </w:p>
        </w:tc>
        <w:tc>
          <w:tcPr>
            <w:tcW w:type="dxa" w:w="53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Firmar TED con RSASK del CAF (SHA1withRSA)</w:t>
            </w:r>
          </w:p>
        </w:tc>
        <w:tc>
          <w:tcPr>
            <w:tcW w:type="dxa" w:w="36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CAF.RSASK</w:t>
            </w:r>
          </w:p>
        </w:tc>
      </w:tr>
      <w:tr>
        <w:tc>
          <w:tcPr>
            <w:tcW w:type="dxa" w:w="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5</w:t>
            </w:r>
          </w:p>
        </w:tc>
        <w:tc>
          <w:tcPr>
            <w:tcW w:type="dxa" w:w="53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Insertar TED firmado dentro del DTE</w:t>
            </w:r>
          </w:p>
        </w:tc>
        <w:tc>
          <w:tcPr>
            <w:tcW w:type="dxa" w:w="36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5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6</w:t>
            </w:r>
          </w:p>
        </w:tc>
        <w:tc>
          <w:tcPr>
            <w:tcW w:type="dxa" w:w="53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Firmar DTE completo con certificado empresa</w:t>
            </w:r>
          </w:p>
        </w:tc>
        <w:tc>
          <w:tcPr>
            <w:tcW w:type="dxa" w:w="36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Certificado empresa</w:t>
            </w:r>
          </w:p>
        </w:tc>
      </w:tr>
      <w:tr>
        <w:tc>
          <w:tcPr>
            <w:tcW w:type="dxa" w:w="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7</w:t>
            </w:r>
          </w:p>
        </w:tc>
        <w:tc>
          <w:tcPr>
            <w:tcW w:type="dxa" w:w="53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Empaquetar en EnvioDTE (SetDTE + Caratula)</w:t>
            </w:r>
          </w:p>
        </w:tc>
        <w:tc>
          <w:tcPr>
            <w:tcW w:type="dxa" w:w="36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5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8</w:t>
            </w:r>
          </w:p>
        </w:tc>
        <w:tc>
          <w:tcPr>
            <w:tcW w:type="dxa" w:w="53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Enviar a SII vía HTTPS multipart</w:t>
            </w:r>
          </w:p>
        </w:tc>
        <w:tc>
          <w:tcPr>
            <w:tcW w:type="dxa" w:w="36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w:t>
            </w:r>
          </w:p>
        </w:tc>
      </w:tr>
    </w:tbl>
    <w:p>
      <w:pPr>
        <w:spacing w:after="60" w:before="60"/>
      </w:pPr>
      <w:r>
        <w:t xml:space="preserve"/>
      </w:r>
    </w:p>
    <w:p>
      <w:pPr>
        <w:pBdr>
          <w:left w:val="thick" w:color="C00000" w:sz="12" w:space="8"/>
        </w:pBdr>
        <w:shd w:fill="FCE4D6" w:val="clear"/>
        <w:spacing w:after="100" w:before="100"/>
        <w:ind w:left="360"/>
      </w:pPr>
      <w:r>
        <w:rPr>
          <w:rFonts w:ascii="Arial" w:cs="Arial" w:eastAsia="Arial" w:hAnsi="Arial"/>
          <w:color w:val="5C4000"/>
          <w:sz w:val="21"/>
          <w:szCs w:val="21"/>
        </w:rPr>
        <w:t xml:space="preserve">CRITICO ISO-8859-1: El XML del DTE y todas las operaciones de firma DEBEN usar codificación ISO-8859-1. Nunca transformar a UTF-8. Si la librería PHP transforma la codificación, la firma quedará inválida y el SII rechazará el documento.</w:t>
      </w:r>
    </w:p>
    <w:p>
      <w:pPr>
        <w:pStyle w:val="Heading1"/>
        <w:pageBreakBefore/>
        <w:spacing w:after="200" w:before="0"/>
      </w:pPr>
      <w:r>
        <w:rPr>
          <w:rFonts w:ascii="Arial" w:cs="Arial" w:eastAsia="Arial" w:hAnsi="Arial"/>
          <w:b/>
          <w:bCs/>
          <w:color w:val="1F4E79"/>
          <w:sz w:val="36"/>
          <w:szCs w:val="36"/>
        </w:rPr>
        <w:t xml:space="preserve">4. Resguardos de Seguridad</w:t>
      </w:r>
    </w:p>
    <w:p>
      <w:pPr>
        <w:pStyle w:val="Heading2"/>
        <w:pBdr>
          <w:bottom w:val="single" w:color="2E75B6" w:sz="4" w:space="4"/>
        </w:pBdr>
        <w:spacing w:after="120" w:before="280"/>
      </w:pPr>
      <w:r>
        <w:rPr>
          <w:rFonts w:ascii="Arial" w:cs="Arial" w:eastAsia="Arial" w:hAnsi="Arial"/>
          <w:b/>
          <w:bCs/>
          <w:color w:val="2E75B6"/>
          <w:sz w:val="28"/>
          <w:szCs w:val="28"/>
        </w:rPr>
        <w:t xml:space="preserve">4.1 Almacenamiento de Certificados Digitales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500"/>
        <w:gridCol w:w="5926"/>
      </w:tblGrid>
      <w:tr>
        <w:trPr>
          <w:tblHeader/>
        </w:trPr>
        <w:tc>
          <w:tcPr>
            <w:tcW w:type="dxa" w:w="3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Aspecto</w:t>
            </w:r>
          </w:p>
        </w:tc>
        <w:tc>
          <w:tcPr>
            <w:tcW w:type="dxa" w:w="59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Requisito</w:t>
            </w:r>
          </w:p>
        </w:tc>
      </w:tr>
      <w:tr>
        <w:tc>
          <w:tcPr>
            <w:tcW w:type="dxa" w:w="3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Ubicación del archivo</w:t>
            </w:r>
          </w:p>
        </w:tc>
        <w:tc>
          <w:tcPr>
            <w:tcW w:type="dxa" w:w="59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S3 bajo ruta companies/{id}/certs/ (privada, sin URL pública)</w:t>
            </w:r>
          </w:p>
        </w:tc>
      </w:tr>
      <w:tr>
        <w:tc>
          <w:tcPr>
            <w:tcW w:type="dxa" w:w="35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Clave privada del .p12</w:t>
            </w:r>
          </w:p>
        </w:tc>
        <w:tc>
          <w:tcPr>
            <w:tcW w:type="dxa" w:w="59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Cifrada con AES-256-CBC antes de guardar en BD (columna certificate_password_encrypted)</w:t>
            </w:r>
          </w:p>
        </w:tc>
      </w:tr>
      <w:tr>
        <w:tc>
          <w:tcPr>
            <w:tcW w:type="dxa" w:w="3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Gestión de llaves AES</w:t>
            </w:r>
          </w:p>
        </w:tc>
        <w:tc>
          <w:tcPr>
            <w:tcW w:type="dxa" w:w="59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APP_KEY de Laravel — nunca hardcoded, solo en .env</w:t>
            </w:r>
          </w:p>
        </w:tc>
      </w:tr>
      <w:tr>
        <w:tc>
          <w:tcPr>
            <w:tcW w:type="dxa" w:w="35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Logs</w:t>
            </w:r>
          </w:p>
        </w:tc>
        <w:tc>
          <w:tcPr>
            <w:tcW w:type="dxa" w:w="59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PROHIBIDO loguear claves privadas, contraseñas o contenido de CAF</w:t>
            </w:r>
          </w:p>
        </w:tc>
      </w:tr>
      <w:tr>
        <w:tc>
          <w:tcPr>
            <w:tcW w:type="dxa" w:w="3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Rotación</w:t>
            </w:r>
          </w:p>
        </w:tc>
        <w:tc>
          <w:tcPr>
            <w:tcW w:type="dxa" w:w="59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Endpoint exclusivo para reemplazar certificado sin downtime</w:t>
            </w:r>
          </w:p>
        </w:tc>
      </w:tr>
      <w:tr>
        <w:tc>
          <w:tcPr>
            <w:tcW w:type="dxa" w:w="35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Acceso</w:t>
            </w:r>
          </w:p>
        </w:tc>
        <w:tc>
          <w:tcPr>
            <w:tcW w:type="dxa" w:w="59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Solo el servicio backend; NUNCA exponer al frontend</w:t>
            </w:r>
          </w:p>
        </w:tc>
      </w:tr>
    </w:tbl>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4.2 Gestión de CAF</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500"/>
        <w:gridCol w:w="5926"/>
      </w:tblGrid>
      <w:tr>
        <w:trPr>
          <w:tblHeader/>
        </w:trPr>
        <w:tc>
          <w:tcPr>
            <w:tcW w:type="dxa" w:w="3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Aspecto</w:t>
            </w:r>
          </w:p>
        </w:tc>
        <w:tc>
          <w:tcPr>
            <w:tcW w:type="dxa" w:w="59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Requisito</w:t>
            </w:r>
          </w:p>
        </w:tc>
      </w:tr>
      <w:tr>
        <w:tc>
          <w:tcPr>
            <w:tcW w:type="dxa" w:w="3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Archivo CAF XML</w:t>
            </w:r>
          </w:p>
        </w:tc>
        <w:tc>
          <w:tcPr>
            <w:tcW w:type="dxa" w:w="59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Guardado en S3 bajo companies/{id}/cafs/ (privado)</w:t>
            </w:r>
          </w:p>
        </w:tc>
      </w:tr>
      <w:tr>
        <w:tc>
          <w:tcPr>
            <w:tcW w:type="dxa" w:w="35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Clave RSASK dentro del CAF</w:t>
            </w:r>
          </w:p>
        </w:tc>
        <w:tc>
          <w:tcPr>
            <w:tcW w:type="dxa" w:w="59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No requiere cifrado adicional (ya está dentro del XML cifrado en S3)</w:t>
            </w:r>
          </w:p>
        </w:tc>
      </w:tr>
      <w:tr>
        <w:tc>
          <w:tcPr>
            <w:tcW w:type="dxa" w:w="3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Control de folios</w:t>
            </w:r>
          </w:p>
        </w:tc>
        <w:tc>
          <w:tcPr>
            <w:tcW w:type="dxa" w:w="59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Columna next_folio en sii_cafs, actualizada atómicamente con DB::transaction()</w:t>
            </w:r>
          </w:p>
        </w:tc>
      </w:tr>
      <w:tr>
        <w:tc>
          <w:tcPr>
            <w:tcW w:type="dxa" w:w="35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Alerta de agotamiento</w:t>
            </w:r>
          </w:p>
        </w:tc>
        <w:tc>
          <w:tcPr>
            <w:tcW w:type="dxa" w:w="59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Job programado que alerta cuando quedan &lt; 20% de folios disponibles</w:t>
            </w:r>
          </w:p>
        </w:tc>
      </w:tr>
      <w:tr>
        <w:tc>
          <w:tcPr>
            <w:tcW w:type="dxa" w:w="3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Solapamiento</w:t>
            </w:r>
          </w:p>
        </w:tc>
        <w:tc>
          <w:tcPr>
            <w:tcW w:type="dxa" w:w="59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Validar que no existan dos CAF activos para el mismo tipo de documento</w:t>
            </w:r>
          </w:p>
        </w:tc>
      </w:tr>
    </w:tbl>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4.3 Multi-tenancy y Aislamiento</w:t>
      </w:r>
    </w:p>
    <w:p>
      <w:pPr>
        <w:pBdr>
          <w:left w:val="thick" w:color="C00000" w:sz="12" w:space="8"/>
        </w:pBdr>
        <w:shd w:fill="FCE4D6" w:val="clear"/>
        <w:spacing w:after="100" w:before="100"/>
        <w:ind w:left="360"/>
      </w:pPr>
      <w:r>
        <w:rPr>
          <w:rFonts w:ascii="Arial" w:cs="Arial" w:eastAsia="Arial" w:hAnsi="Arial"/>
          <w:color w:val="5C4000"/>
          <w:sz w:val="21"/>
          <w:szCs w:val="21"/>
        </w:rPr>
        <w:t xml:space="preserve">Todo query relacionado con SII DEBE filtrar por company_id. El IDOR se valida en el FormRequest. Un usuario de la empresa A no puede acceder a certificados, CAF ni DTE de la empresa B.</w:t>
      </w:r>
    </w:p>
    <w:p>
      <w:pPr>
        <w:spacing w:after="60" w:before="6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800"/>
        <w:gridCol w:w="6626"/>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w:t>
            </w:r>
          </w:p>
        </w:tc>
        <w:tc>
          <w:tcPr>
            <w:tcW w:type="dxa" w:w="66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Control</w:t>
            </w:r>
          </w:p>
        </w:tc>
      </w:tr>
      <w:tr>
        <w:tc>
          <w:tcPr>
            <w:tcW w:type="dxa" w:w="28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FormRequest</w:t>
            </w:r>
          </w:p>
        </w:tc>
        <w:tc>
          <w:tcPr>
            <w:tcW w:type="dxa" w:w="66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authorize(): valida company_id del recurso contra el JWT del usuario</w:t>
            </w:r>
          </w:p>
        </w:tc>
      </w:tr>
      <w:tr>
        <w:tc>
          <w:tcPr>
            <w:tcW w:type="dxa" w:w="28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Service</w:t>
            </w:r>
          </w:p>
        </w:tc>
        <w:tc>
          <w:tcPr>
            <w:tcW w:type="dxa" w:w="66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Todos los métodos reciben $companyId como parámetro explícito</w:t>
            </w:r>
          </w:p>
        </w:tc>
      </w:tr>
      <w:tr>
        <w:tc>
          <w:tcPr>
            <w:tcW w:type="dxa" w:w="28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Model scope</w:t>
            </w:r>
          </w:p>
        </w:tc>
        <w:tc>
          <w:tcPr>
            <w:tcW w:type="dxa" w:w="66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Global scope by company_id en modelos Certificate, Caf, DteEnvio</w:t>
            </w:r>
          </w:p>
        </w:tc>
      </w:tr>
      <w:tr>
        <w:tc>
          <w:tcPr>
            <w:tcW w:type="dxa" w:w="28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Job</w:t>
            </w:r>
          </w:p>
        </w:tc>
        <w:tc>
          <w:tcPr>
            <w:tcW w:type="dxa" w:w="66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El payload incluye company_id; se valida al inicio del handle()</w:t>
            </w:r>
          </w:p>
        </w:tc>
      </w:tr>
      <w:tr>
        <w:tc>
          <w:tcPr>
            <w:tcW w:type="dxa" w:w="28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S3 paths</w:t>
            </w:r>
          </w:p>
        </w:tc>
        <w:tc>
          <w:tcPr>
            <w:tcW w:type="dxa" w:w="66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Siempre prefijados con companies/{company_id}/</w:t>
            </w:r>
          </w:p>
        </w:tc>
      </w:tr>
    </w:tbl>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4.4 Protección de Endpoints SII</w:t>
      </w:r>
    </w:p>
    <w:p>
      <w:pPr>
        <w:pStyle w:val="ListParagraph"/>
        <w:numPr>
          <w:ilvl w:val="0"/>
          <w:numId w:val="2"/>
        </w:numPr>
        <w:spacing w:after="40" w:before="40"/>
      </w:pPr>
      <w:r>
        <w:rPr>
          <w:rFonts w:ascii="Arial" w:cs="Arial" w:eastAsia="Arial" w:hAnsi="Arial"/>
          <w:sz w:val="22"/>
          <w:szCs w:val="22"/>
        </w:rPr>
        <w:t xml:space="preserve">Rate limiting: máx 60 req/min por empresa hacia SII (el SII puede bloquear IPs)</w:t>
      </w:r>
    </w:p>
    <w:p>
      <w:pPr>
        <w:pStyle w:val="ListParagraph"/>
        <w:numPr>
          <w:ilvl w:val="0"/>
          <w:numId w:val="2"/>
        </w:numPr>
        <w:spacing w:after="40" w:before="40"/>
      </w:pPr>
      <w:r>
        <w:rPr>
          <w:rFonts w:ascii="Arial" w:cs="Arial" w:eastAsia="Arial" w:hAnsi="Arial"/>
          <w:sz w:val="22"/>
          <w:szCs w:val="22"/>
        </w:rPr>
        <w:t xml:space="preserve">Timeout: máx 30s por llamada SOAP; reintentos exponenciales hasta 3 veces</w:t>
      </w:r>
    </w:p>
    <w:p>
      <w:pPr>
        <w:pStyle w:val="ListParagraph"/>
        <w:numPr>
          <w:ilvl w:val="0"/>
          <w:numId w:val="2"/>
        </w:numPr>
        <w:spacing w:after="40" w:before="40"/>
      </w:pPr>
      <w:r>
        <w:rPr>
          <w:rFonts w:ascii="Arial" w:cs="Arial" w:eastAsia="Arial" w:hAnsi="Arial"/>
          <w:sz w:val="22"/>
          <w:szCs w:val="22"/>
        </w:rPr>
        <w:t xml:space="preserve">Circuit breaker: si SII falla 5 veces seguidas, pausar envíos y notificar</w:t>
      </w:r>
    </w:p>
    <w:p>
      <w:pPr>
        <w:pStyle w:val="ListParagraph"/>
        <w:numPr>
          <w:ilvl w:val="0"/>
          <w:numId w:val="2"/>
        </w:numPr>
        <w:spacing w:after="40" w:before="40"/>
      </w:pPr>
      <w:r>
        <w:rPr>
          <w:rFonts w:ascii="Arial" w:cs="Arial" w:eastAsia="Arial" w:hAnsi="Arial"/>
          <w:sz w:val="22"/>
          <w:szCs w:val="22"/>
        </w:rPr>
        <w:t xml:space="preserve">Cola de envío: usar Job con delay para no saturar (Laravel Queue + Redis/SQS)</w:t>
      </w:r>
    </w:p>
    <w:p>
      <w:pPr>
        <w:pStyle w:val="ListParagraph"/>
        <w:numPr>
          <w:ilvl w:val="0"/>
          <w:numId w:val="2"/>
        </w:numPr>
        <w:spacing w:after="40" w:before="40"/>
      </w:pPr>
      <w:r>
        <w:rPr>
          <w:rFonts w:ascii="Arial" w:cs="Arial" w:eastAsia="Arial" w:hAnsi="Arial"/>
          <w:sz w:val="22"/>
          <w:szCs w:val="22"/>
        </w:rPr>
        <w:t xml:space="preserve">Firma en memoria: la clave privada del certificado NUNCA toca disco del servidor; se lee de S3, se usa en RAM y se descarta</w:t>
      </w:r>
    </w:p>
    <w:p>
      <w:pPr>
        <w:pStyle w:val="Heading2"/>
        <w:pBdr>
          <w:bottom w:val="single" w:color="2E75B6" w:sz="4" w:space="4"/>
        </w:pBdr>
        <w:spacing w:after="120" w:before="280"/>
      </w:pPr>
      <w:r>
        <w:rPr>
          <w:rFonts w:ascii="Arial" w:cs="Arial" w:eastAsia="Arial" w:hAnsi="Arial"/>
          <w:b/>
          <w:bCs/>
          <w:color w:val="2E75B6"/>
          <w:sz w:val="28"/>
          <w:szCs w:val="28"/>
        </w:rPr>
        <w:t xml:space="preserve">4.5 Validaciones de Integridad del DTE</w:t>
      </w:r>
    </w:p>
    <w:p>
      <w:pPr>
        <w:pStyle w:val="ListParagraph"/>
        <w:numPr>
          <w:ilvl w:val="0"/>
          <w:numId w:val="2"/>
        </w:numPr>
        <w:spacing w:after="40" w:before="40"/>
      </w:pPr>
      <w:r>
        <w:rPr>
          <w:rFonts w:ascii="Arial" w:cs="Arial" w:eastAsia="Arial" w:hAnsi="Arial"/>
          <w:sz w:val="22"/>
          <w:szCs w:val="22"/>
        </w:rPr>
        <w:t xml:space="preserve">Validar estructura XML contra esquema XSD oficial del SII antes de firmar</w:t>
      </w:r>
    </w:p>
    <w:p>
      <w:pPr>
        <w:pStyle w:val="ListParagraph"/>
        <w:numPr>
          <w:ilvl w:val="0"/>
          <w:numId w:val="2"/>
        </w:numPr>
        <w:spacing w:after="40" w:before="40"/>
      </w:pPr>
      <w:r>
        <w:rPr>
          <w:rFonts w:ascii="Arial" w:cs="Arial" w:eastAsia="Arial" w:hAnsi="Arial"/>
          <w:sz w:val="22"/>
          <w:szCs w:val="22"/>
        </w:rPr>
        <w:t xml:space="preserve">Verificar que el folio esté dentro del rango del CAF activo</w:t>
      </w:r>
    </w:p>
    <w:p>
      <w:pPr>
        <w:pStyle w:val="ListParagraph"/>
        <w:numPr>
          <w:ilvl w:val="0"/>
          <w:numId w:val="2"/>
        </w:numPr>
        <w:spacing w:after="40" w:before="40"/>
      </w:pPr>
      <w:r>
        <w:rPr>
          <w:rFonts w:ascii="Arial" w:cs="Arial" w:eastAsia="Arial" w:hAnsi="Arial"/>
          <w:sz w:val="22"/>
          <w:szCs w:val="22"/>
        </w:rPr>
        <w:t xml:space="preserve">Verificar fecha del documento vs. período de vigencia del CAF</w:t>
      </w:r>
    </w:p>
    <w:p>
      <w:pPr>
        <w:pStyle w:val="ListParagraph"/>
        <w:numPr>
          <w:ilvl w:val="0"/>
          <w:numId w:val="2"/>
        </w:numPr>
        <w:spacing w:after="40" w:before="40"/>
      </w:pPr>
      <w:r>
        <w:rPr>
          <w:rFonts w:ascii="Arial" w:cs="Arial" w:eastAsia="Arial" w:hAnsi="Arial"/>
          <w:sz w:val="22"/>
          <w:szCs w:val="22"/>
        </w:rPr>
        <w:t xml:space="preserve">Hash SHA1 del TED registrado en BD para detección de manipulación</w:t>
      </w:r>
    </w:p>
    <w:p>
      <w:pPr>
        <w:pStyle w:val="Heading1"/>
        <w:pageBreakBefore/>
        <w:spacing w:after="200" w:before="0"/>
      </w:pPr>
      <w:r>
        <w:rPr>
          <w:rFonts w:ascii="Arial" w:cs="Arial" w:eastAsia="Arial" w:hAnsi="Arial"/>
          <w:b/>
          <w:bCs/>
          <w:color w:val="1F4E79"/>
          <w:sz w:val="36"/>
          <w:szCs w:val="36"/>
        </w:rPr>
        <w:t xml:space="preserve">5. Análisis del Modelo de Datos Existente</w:t>
      </w:r>
    </w:p>
    <w:p>
      <w:pPr>
        <w:pStyle w:val="Heading2"/>
        <w:pBdr>
          <w:bottom w:val="single" w:color="2E75B6" w:sz="4" w:space="4"/>
        </w:pBdr>
        <w:spacing w:after="120" w:before="280"/>
      </w:pPr>
      <w:r>
        <w:rPr>
          <w:rFonts w:ascii="Arial" w:cs="Arial" w:eastAsia="Arial" w:hAnsi="Arial"/>
          <w:b/>
          <w:bCs/>
          <w:color w:val="2E75B6"/>
          <w:sz w:val="28"/>
          <w:szCs w:val="28"/>
        </w:rPr>
        <w:t xml:space="preserve">5.1 Tablas relevantes ya existentes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526"/>
      </w:tblGrid>
      <w:tr>
        <w:trPr>
          <w:tblHeader/>
        </w:trPr>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w:t>
            </w:r>
          </w:p>
        </w:tc>
        <w:tc>
          <w:tcPr>
            <w:tcW w:type="dxa" w:w="3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Columnas clave SII ya presentes</w:t>
            </w:r>
          </w:p>
        </w:tc>
        <w:tc>
          <w:tcPr>
            <w:tcW w:type="dxa" w:w="35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 detectado</w:t>
            </w:r>
          </w:p>
        </w:tc>
      </w:tr>
      <w:tr>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core_companies</w:t>
            </w:r>
          </w:p>
        </w:tc>
        <w:tc>
          <w:tcPr>
            <w:tcW w:type="dxa" w:w="3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rut, rut_legal_representative, tax_regime_id, subject_to_iva</w:t>
            </w:r>
          </w:p>
        </w:tc>
        <w:tc>
          <w:tcPr>
            <w:tcW w:type="dxa" w:w="35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Falta: sii_environment, sii_sw_rut, certificado_path, sii_resolution_num, sii_resolution_date</w:t>
            </w:r>
          </w:p>
        </w:tc>
      </w:tr>
      <w:tr>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core_documents</w:t>
            </w:r>
          </w:p>
        </w:tc>
        <w:tc>
          <w:tcPr>
            <w:tcW w:type="dxa" w:w="35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tributary_code, is_electronic, applies_vat, allows_taxes</w:t>
            </w:r>
          </w:p>
        </w:tc>
        <w:tc>
          <w:tcPr>
            <w:tcW w:type="dxa" w:w="35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Completo para clasificación; sin gaps</w:t>
            </w:r>
          </w:p>
        </w:tc>
      </w:tr>
      <w:tr>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doc_sales</w:t>
            </w:r>
          </w:p>
        </w:tc>
        <w:tc>
          <w:tcPr>
            <w:tcW w:type="dxa" w:w="3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sii_status (enum), num_doc, doc_id, client_id, totales</w:t>
            </w:r>
          </w:p>
        </w:tc>
        <w:tc>
          <w:tcPr>
            <w:tcW w:type="dxa" w:w="35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Falta: dte_folio, dte_xml_s3_path, dte_ted_hash, dte_sent_at, dte_track_id, dte_pdf_s3_path</w:t>
            </w:r>
          </w:p>
        </w:tc>
      </w:tr>
      <w:tr>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doc_purchases</w:t>
            </w:r>
          </w:p>
        </w:tc>
        <w:tc>
          <w:tcPr>
            <w:tcW w:type="dxa" w:w="35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sii_status (enum), num_doc, doc_id, provider_id, totales</w:t>
            </w:r>
          </w:p>
        </w:tc>
        <w:tc>
          <w:tcPr>
            <w:tcW w:type="dxa" w:w="35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Falta: dte_folio, dte_xml_s3_path, dte_ted_hash (para documentos recibidos)</w:t>
            </w:r>
          </w:p>
        </w:tc>
      </w:tr>
      <w:tr>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doc_purchase_items / doc_sale_items</w:t>
            </w:r>
          </w:p>
        </w:tc>
        <w:tc>
          <w:tcPr>
            <w:tcW w:type="dxa" w:w="3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Cantidades, precios, impuestos</w:t>
            </w:r>
          </w:p>
        </w:tc>
        <w:tc>
          <w:tcPr>
            <w:tcW w:type="dxa" w:w="35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Falta: product_code_sii (código interno SII para el item)</w:t>
            </w:r>
          </w:p>
        </w:tc>
      </w:tr>
    </w:tbl>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5.2 Enums ya implementados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26"/>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Enum</w:t>
            </w:r>
          </w:p>
        </w:tc>
        <w:tc>
          <w:tcPr>
            <w:tcW w:type="dxa" w:w="3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Valores actuales</w:t>
            </w:r>
          </w:p>
        </w:tc>
        <w:tc>
          <w:tcPr>
            <w:tcW w:type="dxa" w:w="34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Suficiente?</w:t>
            </w:r>
          </w:p>
        </w:tc>
      </w:tr>
      <w:tr>
        <w:tc>
          <w:tcPr>
            <w:tcW w:type="dxa" w:w="28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DocumentSiiStatus</w:t>
            </w:r>
          </w:p>
        </w:tc>
        <w:tc>
          <w:tcPr>
            <w:tcW w:type="dxa" w:w="3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PENDING, ACCEPTED, REJECTED, RECEIVED</w:t>
            </w:r>
          </w:p>
        </w:tc>
        <w:tc>
          <w:tcPr>
            <w:tcW w:type="dxa" w:w="3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Necesita: SENT (enviado pero sin respuesta), PROCESSING (en cola SII), CANCELLED</w:t>
            </w:r>
          </w:p>
        </w:tc>
      </w:tr>
      <w:tr>
        <w:tc>
          <w:tcPr>
            <w:tcW w:type="dxa" w:w="28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DocumentAccountingStatus</w:t>
            </w:r>
          </w:p>
        </w:tc>
        <w:tc>
          <w:tcPr>
            <w:tcW w:type="dxa" w:w="3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PENDING, JOURNALIZED, ERROR</w:t>
            </w:r>
          </w:p>
        </w:tc>
        <w:tc>
          <w:tcPr>
            <w:tcW w:type="dxa" w:w="3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Sin cambios necesarios</w:t>
            </w:r>
          </w:p>
        </w:tc>
      </w:tr>
    </w:tbl>
    <w:p>
      <w:pPr>
        <w:pStyle w:val="Heading1"/>
        <w:pageBreakBefore/>
        <w:spacing w:after="200" w:before="0"/>
      </w:pPr>
      <w:r>
        <w:rPr>
          <w:rFonts w:ascii="Arial" w:cs="Arial" w:eastAsia="Arial" w:hAnsi="Arial"/>
          <w:b/>
          <w:bCs/>
          <w:color w:val="1F4E79"/>
          <w:sz w:val="36"/>
          <w:szCs w:val="36"/>
        </w:rPr>
        <w:t xml:space="preserve">6. Migraciones de Base de Datos Requeridas</w:t>
      </w:r>
    </w:p>
    <w:p>
      <w:pPr>
        <w:pStyle w:val="Heading2"/>
        <w:pBdr>
          <w:bottom w:val="single" w:color="2E75B6" w:sz="4" w:space="4"/>
        </w:pBdr>
        <w:spacing w:after="120" w:before="280"/>
      </w:pPr>
      <w:r>
        <w:rPr>
          <w:rFonts w:ascii="Arial" w:cs="Arial" w:eastAsia="Arial" w:hAnsi="Arial"/>
          <w:b/>
          <w:bCs/>
          <w:color w:val="2E75B6"/>
          <w:sz w:val="28"/>
          <w:szCs w:val="28"/>
        </w:rPr>
        <w:t xml:space="preserve">6.1 Nuevas tablas (6 migraciones)</w:t>
      </w:r>
    </w:p>
    <w:p>
      <w:pPr>
        <w:pStyle w:val="Heading3"/>
        <w:spacing w:after="80" w:before="200"/>
      </w:pPr>
      <w:r>
        <w:rPr>
          <w:rFonts w:ascii="Arial" w:cs="Arial" w:eastAsia="Arial" w:hAnsi="Arial"/>
          <w:b/>
          <w:bCs/>
          <w:color w:val="595959"/>
          <w:sz w:val="24"/>
          <w:szCs w:val="24"/>
        </w:rPr>
        <w:t xml:space="preserve">6.1.1 sii_certificates — Certificados digitales por empresa</w:t>
      </w:r>
    </w:p>
    <w:p>
      <w:pPr>
        <w:spacing w:after="100" w:before="60"/>
      </w:pPr>
      <w:r>
        <w:rPr>
          <w:rFonts w:ascii="Arial" w:cs="Arial" w:eastAsia="Arial" w:hAnsi="Arial"/>
          <w:sz w:val="22"/>
          <w:szCs w:val="22"/>
        </w:rPr>
        <w:t xml:space="preserve">Una empresa puede tener un certificado vigente y uno en transición.</w:t>
      </w:r>
    </w:p>
    <w:p>
      <w:pPr>
        <w:spacing w:after="60" w:before="6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26"/>
      </w:tblGrid>
      <w:tr>
        <w:trPr>
          <w:tblHeader/>
        </w:trPr>
        <w:tc>
          <w:tcPr>
            <w:tcW w:type="dxa" w:w="2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Columna</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44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id</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bigint PK</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Identificador</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company_id</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FK core_companies</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Empresa propietaria (indexed)</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s3_path</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varchar(500)</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Ruta relativa en S3 del .p12</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certificate_password_encrypted</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text</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Contraseña cifrada con AES-256 (APP_KEY)</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holder_rut</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varchar(20)</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RUT del titular del certificado</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holder_name</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varchar(200)</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Nombre del titular</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valid_from</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date</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Inicio vigencia</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valid_until</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date</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Término vigencia (alertar 30 días antes)</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is_active</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boolean default true</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Solo 1 activo por empresa</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created_at / updated_at</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timestamps</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w:t>
            </w:r>
          </w:p>
        </w:tc>
      </w:tr>
    </w:tbl>
    <w:p>
      <w:pPr>
        <w:spacing w:after="60" w:before="60"/>
      </w:pPr>
      <w:r>
        <w:t xml:space="preserve"/>
      </w:r>
    </w:p>
    <w:p>
      <w:pPr>
        <w:pStyle w:val="Heading3"/>
        <w:spacing w:after="80" w:before="200"/>
      </w:pPr>
      <w:r>
        <w:rPr>
          <w:rFonts w:ascii="Arial" w:cs="Arial" w:eastAsia="Arial" w:hAnsi="Arial"/>
          <w:b/>
          <w:bCs/>
          <w:color w:val="595959"/>
          <w:sz w:val="24"/>
          <w:szCs w:val="24"/>
        </w:rPr>
        <w:t xml:space="preserve">6.1.2 sii_cafs — Códigos de Autorización de Folios</w:t>
      </w:r>
    </w:p>
    <w:p>
      <w:pPr>
        <w:spacing w:after="60" w:before="6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26"/>
      </w:tblGrid>
      <w:tr>
        <w:trPr>
          <w:tblHeader/>
        </w:trPr>
        <w:tc>
          <w:tcPr>
            <w:tcW w:type="dxa" w:w="2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Columna</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44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id</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bigint PK</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company_id</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FK core_companies</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Empresa (indexed)</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doc_tributary_code</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tinyint</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Código tipo documento SII (ej: 33=Factura, 61=NC)</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s3_path</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varchar(500)</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Ruta relativa XML del CAF en S3</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folio_from</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int unsigned</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Primer folio del rango</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folio_to</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int unsigned</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Último folio del rango</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next_folio</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int unsigned</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Siguiente folio a usar (actualizar atómicamente)</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authorized_at</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datetime</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Fecha autorización SII</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expires_at</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datetime</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Fecha expiración del CAF</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is_active</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boolean default true</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Solo 1 activo por empresa+tipo</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created_at / updated_at</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timestamps</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bl>
    <w:p>
      <w:pPr>
        <w:spacing w:after="60" w:before="60"/>
      </w:pPr>
      <w:r>
        <w:t xml:space="preserve"/>
      </w:r>
    </w:p>
    <w:p>
      <w:pPr>
        <w:pBdr>
          <w:left w:val="thick" w:color="FF8C00" w:sz="12" w:space="8"/>
        </w:pBdr>
        <w:shd w:fill="FFF2CC" w:val="clear"/>
        <w:spacing w:after="100" w:before="100"/>
        <w:ind w:left="360"/>
      </w:pPr>
      <w:r>
        <w:rPr>
          <w:rFonts w:ascii="Arial" w:cs="Arial" w:eastAsia="Arial" w:hAnsi="Arial"/>
          <w:color w:val="5C4000"/>
          <w:sz w:val="21"/>
          <w:szCs w:val="21"/>
        </w:rPr>
        <w:t xml:space="preserve">INDEX: UNIQUE (company_id, doc_tributary_code, folio_from) para prevenir duplicados. INDEX en (company_id, doc_tributary_code, is_active) para búsqueda rápida del CAF vigente.</w:t>
      </w:r>
    </w:p>
    <w:p>
      <w:pPr>
        <w:spacing w:after="60" w:before="60"/>
      </w:pPr>
      <w:r>
        <w:t xml:space="preserve"/>
      </w:r>
    </w:p>
    <w:p>
      <w:pPr>
        <w:pStyle w:val="Heading3"/>
        <w:spacing w:after="80" w:before="200"/>
      </w:pPr>
      <w:r>
        <w:rPr>
          <w:rFonts w:ascii="Arial" w:cs="Arial" w:eastAsia="Arial" w:hAnsi="Arial"/>
          <w:b/>
          <w:bCs/>
          <w:color w:val="595959"/>
          <w:sz w:val="24"/>
          <w:szCs w:val="24"/>
        </w:rPr>
        <w:t xml:space="preserve">6.1.3 sii_dte_envios — Envíos DTE al SII</w:t>
      </w:r>
    </w:p>
    <w:p>
      <w:pPr>
        <w:spacing w:after="100" w:before="60"/>
      </w:pPr>
      <w:r>
        <w:rPr>
          <w:rFonts w:ascii="Arial" w:cs="Arial" w:eastAsia="Arial" w:hAnsi="Arial"/>
          <w:sz w:val="22"/>
          <w:szCs w:val="22"/>
        </w:rPr>
        <w:t xml:space="preserve">Cada sobre (EnvioDTE) puede contener 1 o varios DTE. Registra el lifecycle de un envío.</w:t>
      </w:r>
    </w:p>
    <w:p>
      <w:pPr>
        <w:spacing w:after="60" w:before="6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26"/>
      </w:tblGrid>
      <w:tr>
        <w:trPr>
          <w:tblHeader/>
        </w:trPr>
        <w:tc>
          <w:tcPr>
            <w:tcW w:type="dxa" w:w="2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Columna</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44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id</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bigint PK</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company_id</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FK core_companies</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Empresa emisora (indexed)</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track_id</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varchar(50) nullable</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ID de seguimiento devuelto por SII al recibir</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xml_s3_path</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varchar(500)</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Ruta S3 del XML EnvioDTE completo</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sii_environment</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enum(certificacion, produccion)</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Ambiente al que se envió</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status</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enum(PENDING,SENT,PROCESSING,ACCEPTED,REJECTED)</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Estado actual</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sii_response_raw</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text nullable</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Respuesta cruda del SII (para depuración)</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sent_at</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datetime nullable</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Cuando se envió efectivamente al SII</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responded_at</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datetime nullable</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Cuando SII respondó definitivamente</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retry_count</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tinyint default 0</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Número de reintentos</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created_at / updated_at</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timestamps</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bl>
    <w:p>
      <w:pPr>
        <w:spacing w:after="60" w:before="60"/>
      </w:pPr>
      <w:r>
        <w:t xml:space="preserve"/>
      </w:r>
    </w:p>
    <w:p>
      <w:pPr>
        <w:pStyle w:val="Heading3"/>
        <w:spacing w:after="80" w:before="200"/>
      </w:pPr>
      <w:r>
        <w:rPr>
          <w:rFonts w:ascii="Arial" w:cs="Arial" w:eastAsia="Arial" w:hAnsi="Arial"/>
          <w:b/>
          <w:bCs/>
          <w:color w:val="595959"/>
          <w:sz w:val="24"/>
          <w:szCs w:val="24"/>
        </w:rPr>
        <w:t xml:space="preserve">6.1.4 sii_dte_envio_items — DTE incluidos en cada sobre</w:t>
      </w:r>
    </w:p>
    <w:p>
      <w:pPr>
        <w:spacing w:after="60" w:before="6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26"/>
      </w:tblGrid>
      <w:tr>
        <w:trPr>
          <w:tblHeader/>
        </w:trPr>
        <w:tc>
          <w:tcPr>
            <w:tcW w:type="dxa" w:w="2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Columna</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44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id</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bigint PK</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envio_id</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FK sii_dte_envios</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Sobre al que pertenece</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doc_type</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enum(sale, purchase, honorarium)</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Tipo de tabla origen</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doc_id</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bigint</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ID en doc_sales / doc_purchases</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folio</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int unsigned</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Folio asignado</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doc_tributary_code</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tinyint</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Código tipo documento SII</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ted_hash</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varchar(100)</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Hash SHA1 del TED generado</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individual_status</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enum(PENDING,ACCEPTED,REJECTED)</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Estado individual del DTE</w:t>
            </w:r>
          </w:p>
        </w:tc>
      </w:tr>
    </w:tbl>
    <w:p>
      <w:pPr>
        <w:spacing w:after="60" w:before="60"/>
      </w:pPr>
      <w:r>
        <w:t xml:space="preserve"/>
      </w:r>
    </w:p>
    <w:p>
      <w:pPr>
        <w:pStyle w:val="Heading3"/>
        <w:spacing w:after="80" w:before="200"/>
      </w:pPr>
      <w:r>
        <w:rPr>
          <w:rFonts w:ascii="Arial" w:cs="Arial" w:eastAsia="Arial" w:hAnsi="Arial"/>
          <w:b/>
          <w:bCs/>
          <w:color w:val="595959"/>
          <w:sz w:val="24"/>
          <w:szCs w:val="24"/>
        </w:rPr>
        <w:t xml:space="preserve">6.1.5 sii_rcv_sessions — Sesiones de importación RCV</w:t>
      </w:r>
    </w:p>
    <w:p>
      <w:pPr>
        <w:spacing w:after="100" w:before="60"/>
      </w:pPr>
      <w:r>
        <w:rPr>
          <w:rFonts w:ascii="Arial" w:cs="Arial" w:eastAsia="Arial" w:hAnsi="Arial"/>
          <w:sz w:val="22"/>
          <w:szCs w:val="22"/>
        </w:rPr>
        <w:t xml:space="preserve">Registra cada vez que se extrae el RCV (Registro Compras y Ventas) del portal SII.</w:t>
      </w:r>
    </w:p>
    <w:p>
      <w:pPr>
        <w:spacing w:after="60" w:before="6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26"/>
      </w:tblGrid>
      <w:tr>
        <w:trPr>
          <w:tblHeader/>
        </w:trPr>
        <w:tc>
          <w:tcPr>
            <w:tcW w:type="dxa" w:w="2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Columna</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44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id</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bigint PK</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company_id</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FK core_companies</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Empresa (indexed)</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period</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varchar(7)</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Periodo consultado (MM/YYYY)</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rcv_type</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enum(purchases, sales, honorarium)</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Tipo de libro</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source</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enum(sii_token, third_party_api)</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Método de extracción usado</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status</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enum(PENDING, IN_PROGRESS, COMPLETED, FAILED)</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Estado</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records_fetched</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int default 0</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Registros obtenidos del SII</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records_imported</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int default 0</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Registros importados a BD</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records_failed</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int default 0</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Registros rechazados</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error_detail</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text nullable</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Detalle de error si falló</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started_at</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datetime nullable</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completed_at</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datetime nullable</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created_at / updated_at</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timestamps</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bl>
    <w:p>
      <w:pPr>
        <w:spacing w:after="60" w:before="60"/>
      </w:pPr>
      <w:r>
        <w:t xml:space="preserve"/>
      </w:r>
    </w:p>
    <w:p>
      <w:pPr>
        <w:pStyle w:val="Heading3"/>
        <w:spacing w:after="80" w:before="200"/>
      </w:pPr>
      <w:r>
        <w:rPr>
          <w:rFonts w:ascii="Arial" w:cs="Arial" w:eastAsia="Arial" w:hAnsi="Arial"/>
          <w:b/>
          <w:bCs/>
          <w:color w:val="595959"/>
          <w:sz w:val="24"/>
          <w:szCs w:val="24"/>
        </w:rPr>
        <w:t xml:space="preserve">6.1.6 sii_folios_alert_config — Configuración de alertas de folios</w:t>
      </w:r>
    </w:p>
    <w:p>
      <w:pPr>
        <w:spacing w:after="60" w:before="6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26"/>
      </w:tblGrid>
      <w:tr>
        <w:trPr>
          <w:tblHeader/>
        </w:trPr>
        <w:tc>
          <w:tcPr>
            <w:tcW w:type="dxa" w:w="2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Columna</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44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id</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bigint PK</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company_id</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FK core_companies</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Empresa</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doc_tributary_code</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tinyint</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Tipo de documento</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alert_threshold_pct</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tinyint default 20</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Porcentaje de folios restantes para alertar</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notify_email</w:t>
            </w:r>
          </w:p>
        </w:tc>
        <w:tc>
          <w:tcPr>
            <w:tcW w:type="dxa" w:w="2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varchar(200) nullable</w:t>
            </w:r>
          </w:p>
        </w:tc>
        <w:tc>
          <w:tcPr>
            <w:tcW w:type="dxa" w:w="4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Email adicional para notificación</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last_alerted_at</w:t>
            </w:r>
          </w:p>
        </w:tc>
        <w:tc>
          <w:tcPr>
            <w:tcW w:type="dxa" w:w="2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datetime nullable</w:t>
            </w:r>
          </w:p>
        </w:tc>
        <w:tc>
          <w:tcPr>
            <w:tcW w:type="dxa" w:w="4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w:t>
            </w:r>
          </w:p>
        </w:tc>
      </w:tr>
    </w:tbl>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6.2 Alteraciones a tablas existentes (2 migraciones)</w:t>
      </w:r>
    </w:p>
    <w:p>
      <w:pPr>
        <w:pStyle w:val="Heading3"/>
        <w:spacing w:after="80" w:before="200"/>
      </w:pPr>
      <w:r>
        <w:rPr>
          <w:rFonts w:ascii="Arial" w:cs="Arial" w:eastAsia="Arial" w:hAnsi="Arial"/>
          <w:b/>
          <w:bCs/>
          <w:color w:val="595959"/>
          <w:sz w:val="24"/>
          <w:szCs w:val="24"/>
        </w:rPr>
        <w:t xml:space="preserve">6.2.1 ALTER TABLE core_companies</w:t>
      </w:r>
    </w:p>
    <w:p>
      <w:pPr>
        <w:spacing w:after="60" w:before="6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626"/>
      </w:tblGrid>
      <w:tr>
        <w:trPr>
          <w:tblHeader/>
        </w:trPr>
        <w:tc>
          <w:tcPr>
            <w:tcW w:type="dxa" w:w="3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Columna nueva</w:t>
            </w:r>
          </w:p>
        </w:tc>
        <w:tc>
          <w:tcPr>
            <w:tcW w:type="dxa" w:w="3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26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3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sii_environment</w:t>
            </w:r>
          </w:p>
        </w:tc>
        <w:tc>
          <w:tcPr>
            <w:tcW w:type="dxa" w:w="3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enum('certificacion','produccion') default 'certificacion'</w:t>
            </w:r>
          </w:p>
        </w:tc>
        <w:tc>
          <w:tcPr>
            <w:tcW w:type="dxa" w:w="26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Ambiente SII activo para esta empresa</w:t>
            </w:r>
          </w:p>
        </w:tc>
      </w:tr>
      <w:tr>
        <w:tc>
          <w:tcPr>
            <w:tcW w:type="dxa" w:w="3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sii_sw_rut</w:t>
            </w:r>
          </w:p>
        </w:tc>
        <w:tc>
          <w:tcPr>
            <w:tcW w:type="dxa" w:w="3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varchar(12) nullable</w:t>
            </w:r>
          </w:p>
        </w:tc>
        <w:tc>
          <w:tcPr>
            <w:tcW w:type="dxa" w:w="26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RUT del proveedor tecnológico (si aplica)</w:t>
            </w:r>
          </w:p>
        </w:tc>
      </w:tr>
      <w:tr>
        <w:tc>
          <w:tcPr>
            <w:tcW w:type="dxa" w:w="3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sii_sw_name</w:t>
            </w:r>
          </w:p>
        </w:tc>
        <w:tc>
          <w:tcPr>
            <w:tcW w:type="dxa" w:w="3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varchar(200) nullable</w:t>
            </w:r>
          </w:p>
        </w:tc>
        <w:tc>
          <w:tcPr>
            <w:tcW w:type="dxa" w:w="26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Razón social del proveedor tecnológico</w:t>
            </w:r>
          </w:p>
        </w:tc>
      </w:tr>
      <w:tr>
        <w:tc>
          <w:tcPr>
            <w:tcW w:type="dxa" w:w="3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sii_resolution_num</w:t>
            </w:r>
          </w:p>
        </w:tc>
        <w:tc>
          <w:tcPr>
            <w:tcW w:type="dxa" w:w="3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varchar(20) nullable</w:t>
            </w:r>
          </w:p>
        </w:tc>
        <w:tc>
          <w:tcPr>
            <w:tcW w:type="dxa" w:w="26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Número resolución SII que autoriza DTEs</w:t>
            </w:r>
          </w:p>
        </w:tc>
      </w:tr>
      <w:tr>
        <w:tc>
          <w:tcPr>
            <w:tcW w:type="dxa" w:w="3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sii_resolution_date</w:t>
            </w:r>
          </w:p>
        </w:tc>
        <w:tc>
          <w:tcPr>
            <w:tcW w:type="dxa" w:w="3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date nullable</w:t>
            </w:r>
          </w:p>
        </w:tc>
        <w:tc>
          <w:tcPr>
            <w:tcW w:type="dxa" w:w="26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Fecha de la resolución SII</w:t>
            </w:r>
          </w:p>
        </w:tc>
      </w:tr>
      <w:tr>
        <w:tc>
          <w:tcPr>
            <w:tcW w:type="dxa" w:w="3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sii_dte_enabled</w:t>
            </w:r>
          </w:p>
        </w:tc>
        <w:tc>
          <w:tcPr>
            <w:tcW w:type="dxa" w:w="3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boolean default false</w:t>
            </w:r>
          </w:p>
        </w:tc>
        <w:tc>
          <w:tcPr>
            <w:tcW w:type="dxa" w:w="26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Si la empresa tiene habilitado el módulo DTE</w:t>
            </w:r>
          </w:p>
        </w:tc>
      </w:tr>
    </w:tbl>
    <w:p>
      <w:pPr>
        <w:spacing w:after="60" w:before="60"/>
      </w:pPr>
      <w:r>
        <w:t xml:space="preserve"/>
      </w:r>
    </w:p>
    <w:p>
      <w:pPr>
        <w:pStyle w:val="Heading3"/>
        <w:spacing w:after="80" w:before="200"/>
      </w:pPr>
      <w:r>
        <w:rPr>
          <w:rFonts w:ascii="Arial" w:cs="Arial" w:eastAsia="Arial" w:hAnsi="Arial"/>
          <w:b/>
          <w:bCs/>
          <w:color w:val="595959"/>
          <w:sz w:val="24"/>
          <w:szCs w:val="24"/>
        </w:rPr>
        <w:t xml:space="preserve">6.2.2 ALTER TABLE doc_sales + doc_purchases</w:t>
      </w:r>
    </w:p>
    <w:p>
      <w:pPr>
        <w:spacing w:after="60" w:before="6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626"/>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Columna nueva</w:t>
            </w:r>
          </w:p>
        </w:tc>
        <w:tc>
          <w:tcPr>
            <w:tcW w:type="dxa" w:w="1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1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Aplica a</w:t>
            </w:r>
          </w:p>
        </w:tc>
        <w:tc>
          <w:tcPr>
            <w:tcW w:type="dxa" w:w="36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8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dte_folio</w:t>
            </w:r>
          </w:p>
        </w:tc>
        <w:tc>
          <w:tcPr>
            <w:tcW w:type="dxa" w:w="1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int unsigned nullable</w:t>
            </w:r>
          </w:p>
        </w:tc>
        <w:tc>
          <w:tcPr>
            <w:tcW w:type="dxa" w:w="1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Ambas</w:t>
            </w:r>
          </w:p>
        </w:tc>
        <w:tc>
          <w:tcPr>
            <w:tcW w:type="dxa" w:w="36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Folio asignado por CAF</w:t>
            </w:r>
          </w:p>
        </w:tc>
      </w:tr>
      <w:tr>
        <w:tc>
          <w:tcPr>
            <w:tcW w:type="dxa" w:w="28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dte_xml_s3_path</w:t>
            </w:r>
          </w:p>
        </w:tc>
        <w:tc>
          <w:tcPr>
            <w:tcW w:type="dxa" w:w="1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varchar(500) nullable</w:t>
            </w:r>
          </w:p>
        </w:tc>
        <w:tc>
          <w:tcPr>
            <w:tcW w:type="dxa" w:w="1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Ambas</w:t>
            </w:r>
          </w:p>
        </w:tc>
        <w:tc>
          <w:tcPr>
            <w:tcW w:type="dxa" w:w="36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Ruta S3 del XML DTE firmado</w:t>
            </w:r>
          </w:p>
        </w:tc>
      </w:tr>
      <w:tr>
        <w:tc>
          <w:tcPr>
            <w:tcW w:type="dxa" w:w="28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dte_pdf_s3_path</w:t>
            </w:r>
          </w:p>
        </w:tc>
        <w:tc>
          <w:tcPr>
            <w:tcW w:type="dxa" w:w="1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varchar(500) nullable</w:t>
            </w:r>
          </w:p>
        </w:tc>
        <w:tc>
          <w:tcPr>
            <w:tcW w:type="dxa" w:w="1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Solo sales</w:t>
            </w:r>
          </w:p>
        </w:tc>
        <w:tc>
          <w:tcPr>
            <w:tcW w:type="dxa" w:w="36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Ruta S3 del PDF representación impresa</w:t>
            </w:r>
          </w:p>
        </w:tc>
      </w:tr>
      <w:tr>
        <w:tc>
          <w:tcPr>
            <w:tcW w:type="dxa" w:w="28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dte_ted_hash</w:t>
            </w:r>
          </w:p>
        </w:tc>
        <w:tc>
          <w:tcPr>
            <w:tcW w:type="dxa" w:w="1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varchar(100) nullable</w:t>
            </w:r>
          </w:p>
        </w:tc>
        <w:tc>
          <w:tcPr>
            <w:tcW w:type="dxa" w:w="1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Ambas</w:t>
            </w:r>
          </w:p>
        </w:tc>
        <w:tc>
          <w:tcPr>
            <w:tcW w:type="dxa" w:w="36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Hash SHA1 del TED (integridad)</w:t>
            </w:r>
          </w:p>
        </w:tc>
      </w:tr>
      <w:tr>
        <w:tc>
          <w:tcPr>
            <w:tcW w:type="dxa" w:w="28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dte_sent_at</w:t>
            </w:r>
          </w:p>
        </w:tc>
        <w:tc>
          <w:tcPr>
            <w:tcW w:type="dxa" w:w="1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datetime nullable</w:t>
            </w:r>
          </w:p>
        </w:tc>
        <w:tc>
          <w:tcPr>
            <w:tcW w:type="dxa" w:w="1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Ambas</w:t>
            </w:r>
          </w:p>
        </w:tc>
        <w:tc>
          <w:tcPr>
            <w:tcW w:type="dxa" w:w="36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Timestamp cuando se envió al SII</w:t>
            </w:r>
          </w:p>
        </w:tc>
      </w:tr>
      <w:tr>
        <w:tc>
          <w:tcPr>
            <w:tcW w:type="dxa" w:w="28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dte_track_id</w:t>
            </w:r>
          </w:p>
        </w:tc>
        <w:tc>
          <w:tcPr>
            <w:tcW w:type="dxa" w:w="1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varchar(50) nullable</w:t>
            </w:r>
          </w:p>
        </w:tc>
        <w:tc>
          <w:tcPr>
            <w:tcW w:type="dxa" w:w="1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Solo sales</w:t>
            </w:r>
          </w:p>
        </w:tc>
        <w:tc>
          <w:tcPr>
            <w:tcW w:type="dxa" w:w="36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Track ID devuelto por SII</w:t>
            </w:r>
          </w:p>
        </w:tc>
      </w:tr>
      <w:tr>
        <w:tc>
          <w:tcPr>
            <w:tcW w:type="dxa" w:w="28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dte_envio_id</w:t>
            </w:r>
          </w:p>
        </w:tc>
        <w:tc>
          <w:tcPr>
            <w:tcW w:type="dxa" w:w="1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FK sii_dte_envios nullable</w:t>
            </w:r>
          </w:p>
        </w:tc>
        <w:tc>
          <w:tcPr>
            <w:tcW w:type="dxa" w:w="14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Ambas</w:t>
            </w:r>
          </w:p>
        </w:tc>
        <w:tc>
          <w:tcPr>
            <w:tcW w:type="dxa" w:w="36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Sobre en que fue incluido</w:t>
            </w:r>
          </w:p>
        </w:tc>
      </w:tr>
      <w:tr>
        <w:tc>
          <w:tcPr>
            <w:tcW w:type="dxa" w:w="28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dte_rejection_reason</w:t>
            </w:r>
          </w:p>
        </w:tc>
        <w:tc>
          <w:tcPr>
            <w:tcW w:type="dxa" w:w="1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text nullable</w:t>
            </w:r>
          </w:p>
        </w:tc>
        <w:tc>
          <w:tcPr>
            <w:tcW w:type="dxa" w:w="14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Ambas</w:t>
            </w:r>
          </w:p>
        </w:tc>
        <w:tc>
          <w:tcPr>
            <w:tcW w:type="dxa" w:w="36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Glosa de rechazo si SII rechazó</w:t>
            </w:r>
          </w:p>
        </w:tc>
      </w:tr>
    </w:tbl>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6.3 Modificación del Enum DocumentSiiStatus</w:t>
      </w:r>
    </w:p>
    <w:p>
      <w:pPr>
        <w:pBdr>
          <w:left w:val="thick" w:color="FF8C00" w:sz="12" w:space="8"/>
        </w:pBdr>
        <w:shd w:fill="FFF2CC" w:val="clear"/>
        <w:spacing w:after="100" w:before="100"/>
        <w:ind w:left="360"/>
      </w:pPr>
      <w:r>
        <w:rPr>
          <w:rFonts w:ascii="Arial" w:cs="Arial" w:eastAsia="Arial" w:hAnsi="Arial"/>
          <w:color w:val="5C4000"/>
          <w:sz w:val="21"/>
          <w:szCs w:val="21"/>
        </w:rPr>
        <w:t xml:space="preserve">Agregar valores: SENT (enviado al SII, esperando respuesta), PROCESSING (SII lo tiene en procesamiento), CANCELLED (anulado antes de enviar). Requiere migration ALTER COLUMN y actualizar el Enum de PHP.</w:t>
      </w:r>
    </w:p>
    <w:p>
      <w:pPr>
        <w:pStyle w:val="Heading1"/>
        <w:pageBreakBefore/>
        <w:spacing w:after="200" w:before="0"/>
      </w:pPr>
      <w:r>
        <w:rPr>
          <w:rFonts w:ascii="Arial" w:cs="Arial" w:eastAsia="Arial" w:hAnsi="Arial"/>
          <w:b/>
          <w:bCs/>
          <w:color w:val="1F4E79"/>
          <w:sz w:val="36"/>
          <w:szCs w:val="36"/>
        </w:rPr>
        <w:t xml:space="preserve">7. Catastro de Responsabilidades por Componente</w:t>
      </w:r>
    </w:p>
    <w:p>
      <w:pPr>
        <w:pStyle w:val="Heading2"/>
        <w:pBdr>
          <w:bottom w:val="single" w:color="2E75B6" w:sz="4" w:space="4"/>
        </w:pBdr>
        <w:spacing w:after="120" w:before="280"/>
      </w:pPr>
      <w:r>
        <w:rPr>
          <w:rFonts w:ascii="Arial" w:cs="Arial" w:eastAsia="Arial" w:hAnsi="Arial"/>
          <w:b/>
          <w:bCs/>
          <w:color w:val="2E75B6"/>
          <w:sz w:val="28"/>
          <w:szCs w:val="28"/>
        </w:rPr>
        <w:t xml:space="preserve">7.1 Capa Service</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726"/>
      </w:tblGrid>
      <w:tr>
        <w:trPr>
          <w:tblHeader/>
        </w:trPr>
        <w:tc>
          <w:tcPr>
            <w:tcW w:type="dxa" w:w="2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Servicio</w:t>
            </w:r>
          </w:p>
        </w:tc>
        <w:tc>
          <w:tcPr>
            <w:tcW w:type="dxa" w:w="4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Responsabilidad</w:t>
            </w:r>
          </w:p>
        </w:tc>
        <w:tc>
          <w:tcPr>
            <w:tcW w:type="dxa" w:w="27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Dependencias internas</w:t>
            </w:r>
          </w:p>
        </w:tc>
      </w:tr>
      <w:tr>
        <w:tc>
          <w:tcPr>
            <w:tcW w:type="dxa" w:w="2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SiiAuthService</w:t>
            </w:r>
          </w:p>
        </w:tc>
        <w:tc>
          <w:tcPr>
            <w:tcW w:type="dxa" w:w="4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Obtener token SII para una empresa (flujo semilla + firma + token). Cachear token con TTL ~30 min.</w:t>
            </w:r>
          </w:p>
        </w:tc>
        <w:tc>
          <w:tcPr>
            <w:tcW w:type="dxa" w:w="27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Certificate model, S3FileService</w:t>
            </w:r>
          </w:p>
        </w:tc>
      </w:tr>
      <w:tr>
        <w:tc>
          <w:tcPr>
            <w:tcW w:type="dxa" w:w="25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CafService</w:t>
            </w:r>
          </w:p>
        </w:tc>
        <w:tc>
          <w:tcPr>
            <w:tcW w:type="dxa" w:w="4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Cargar, validar y asignar folios de CAF. Detectar agotamiento. Alertar.</w:t>
            </w:r>
          </w:p>
        </w:tc>
        <w:tc>
          <w:tcPr>
            <w:tcW w:type="dxa" w:w="27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Caf model, S3FileService, LoggerService</w:t>
            </w:r>
          </w:p>
        </w:tc>
      </w:tr>
      <w:tr>
        <w:tc>
          <w:tcPr>
            <w:tcW w:type="dxa" w:w="2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DteBuilderService</w:t>
            </w:r>
          </w:p>
        </w:tc>
        <w:tc>
          <w:tcPr>
            <w:tcW w:type="dxa" w:w="4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Construir XML DTE v2.5 en ISO-8859-1. Firmar TED con RSASK. Firmar DTE con certificado empresa.</w:t>
            </w:r>
          </w:p>
        </w:tc>
        <w:tc>
          <w:tcPr>
            <w:tcW w:type="dxa" w:w="27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CafService, Certificate model</w:t>
            </w:r>
          </w:p>
        </w:tc>
      </w:tr>
      <w:tr>
        <w:tc>
          <w:tcPr>
            <w:tcW w:type="dxa" w:w="25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DteSenderService</w:t>
            </w:r>
          </w:p>
        </w:tc>
        <w:tc>
          <w:tcPr>
            <w:tcW w:type="dxa" w:w="4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Empaquetar EnvioDTE y enviar a SII vía HTTPS. Registrar track_id. Manejar reintentos.</w:t>
            </w:r>
          </w:p>
        </w:tc>
        <w:tc>
          <w:tcPr>
            <w:tcW w:type="dxa" w:w="27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SiiAuthService, DteEnvio model</w:t>
            </w:r>
          </w:p>
        </w:tc>
      </w:tr>
      <w:tr>
        <w:tc>
          <w:tcPr>
            <w:tcW w:type="dxa" w:w="2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DteStatusService</w:t>
            </w:r>
          </w:p>
        </w:tc>
        <w:tc>
          <w:tcPr>
            <w:tcW w:type="dxa" w:w="4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Consultar estado de track_id en SII. Actualizar doc_sales.sii_status.</w:t>
            </w:r>
          </w:p>
        </w:tc>
        <w:tc>
          <w:tcPr>
            <w:tcW w:type="dxa" w:w="27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SiiAuthService, DteEnvio model</w:t>
            </w:r>
          </w:p>
        </w:tc>
      </w:tr>
      <w:tr>
        <w:tc>
          <w:tcPr>
            <w:tcW w:type="dxa" w:w="25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RcvService</w:t>
            </w:r>
          </w:p>
        </w:tc>
        <w:tc>
          <w:tcPr>
            <w:tcW w:type="dxa" w:w="4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Obtener libros compras/ventas del SII usando token. Delegar a ImportSesionService.</w:t>
            </w:r>
          </w:p>
        </w:tc>
        <w:tc>
          <w:tcPr>
            <w:tcW w:type="dxa" w:w="27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SiiAuthService, ImportSesionService</w:t>
            </w:r>
          </w:p>
        </w:tc>
      </w:tr>
      <w:tr>
        <w:tc>
          <w:tcPr>
            <w:tcW w:type="dxa" w:w="25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CertificateService</w:t>
            </w:r>
          </w:p>
        </w:tc>
        <w:tc>
          <w:tcPr>
            <w:tcW w:type="dxa" w:w="4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CRUD de certificados. Cifrar/descifrar contraseña. Gestionar S3.</w:t>
            </w:r>
          </w:p>
        </w:tc>
        <w:tc>
          <w:tcPr>
            <w:tcW w:type="dxa" w:w="27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S3FileService, Certificate model</w:t>
            </w:r>
          </w:p>
        </w:tc>
      </w:tr>
    </w:tbl>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7.2 Capa Jobs (Queue)</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826"/>
      </w:tblGrid>
      <w:tr>
        <w:trPr>
          <w:tblHeader/>
        </w:trPr>
        <w:tc>
          <w:tcPr>
            <w:tcW w:type="dxa" w:w="2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Job</w:t>
            </w:r>
          </w:p>
        </w:tc>
        <w:tc>
          <w:tcPr>
            <w:tcW w:type="dxa" w:w="4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w:t>
            </w:r>
          </w:p>
        </w:tc>
        <w:tc>
          <w:tcPr>
            <w:tcW w:type="dxa" w:w="28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Timeout sugerido</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SendDteJob</w:t>
            </w:r>
          </w:p>
        </w:tc>
        <w:tc>
          <w:tcPr>
            <w:tcW w:type="dxa" w:w="40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Al emitir una venta/documento electrónico</w:t>
            </w:r>
          </w:p>
        </w:tc>
        <w:tc>
          <w:tcPr>
            <w:tcW w:type="dxa" w:w="28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60s</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CheckDteStatusJob</w:t>
            </w:r>
          </w:p>
        </w:tc>
        <w:tc>
          <w:tcPr>
            <w:tcW w:type="dxa" w:w="40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Scheduled cada 15 min para DTE en estado SENT/PROCESSING</w:t>
            </w:r>
          </w:p>
        </w:tc>
        <w:tc>
          <w:tcPr>
            <w:tcW w:type="dxa" w:w="28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30s</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ImportRcvJob</w:t>
            </w:r>
          </w:p>
        </w:tc>
        <w:tc>
          <w:tcPr>
            <w:tcW w:type="dxa" w:w="40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Manual o mensual automático</w:t>
            </w:r>
          </w:p>
        </w:tc>
        <w:tc>
          <w:tcPr>
            <w:tcW w:type="dxa" w:w="28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300s</w:t>
            </w:r>
          </w:p>
        </w:tc>
      </w:tr>
      <w:tr>
        <w:tc>
          <w:tcPr>
            <w:tcW w:type="dxa" w:w="26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AlertFoliosJob</w:t>
            </w:r>
          </w:p>
        </w:tc>
        <w:tc>
          <w:tcPr>
            <w:tcW w:type="dxa" w:w="40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Scheduled diario; revisa todos los CAF activos</w:t>
            </w:r>
          </w:p>
        </w:tc>
        <w:tc>
          <w:tcPr>
            <w:tcW w:type="dxa" w:w="28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30s</w:t>
            </w:r>
          </w:p>
        </w:tc>
      </w:tr>
      <w:tr>
        <w:tc>
          <w:tcPr>
            <w:tcW w:type="dxa" w:w="26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CertificateExpiryJob</w:t>
            </w:r>
          </w:p>
        </w:tc>
        <w:tc>
          <w:tcPr>
            <w:tcW w:type="dxa" w:w="40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Scheduled semanal; alerta certs con &lt; 30 días de vigencia</w:t>
            </w:r>
          </w:p>
        </w:tc>
        <w:tc>
          <w:tcPr>
            <w:tcW w:type="dxa" w:w="28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30s</w:t>
            </w:r>
          </w:p>
        </w:tc>
      </w:tr>
    </w:tbl>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7.3 Capa Controller (ultra-ligeros)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800"/>
        <w:gridCol w:w="6626"/>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Controlador</w:t>
            </w:r>
          </w:p>
        </w:tc>
        <w:tc>
          <w:tcPr>
            <w:tcW w:type="dxa" w:w="66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Endpoints principales</w:t>
            </w:r>
          </w:p>
        </w:tc>
      </w:tr>
      <w:tr>
        <w:tc>
          <w:tcPr>
            <w:tcW w:type="dxa" w:w="28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CertificateController</w:t>
            </w:r>
          </w:p>
        </w:tc>
        <w:tc>
          <w:tcPr>
            <w:tcW w:type="dxa" w:w="66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POST /sii/certificates, PUT /sii/certificates/{id}, DELETE (soft)</w:t>
            </w:r>
          </w:p>
        </w:tc>
      </w:tr>
      <w:tr>
        <w:tc>
          <w:tcPr>
            <w:tcW w:type="dxa" w:w="28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CafController</w:t>
            </w:r>
          </w:p>
        </w:tc>
        <w:tc>
          <w:tcPr>
            <w:tcW w:type="dxa" w:w="66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POST /sii/cafs (subida XML), GET /sii/cafs (listado por empresa), GET /sii/cafs/{id}/folios</w:t>
            </w:r>
          </w:p>
        </w:tc>
      </w:tr>
      <w:tr>
        <w:tc>
          <w:tcPr>
            <w:tcW w:type="dxa" w:w="28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DteController</w:t>
            </w:r>
          </w:p>
        </w:tc>
        <w:tc>
          <w:tcPr>
            <w:tcW w:type="dxa" w:w="66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POST /sii/dte/send/{sale_id}, GET /sii/dte/status/{track_id}, GET /sii/dte/{id}/pdf</w:t>
            </w:r>
          </w:p>
        </w:tc>
      </w:tr>
      <w:tr>
        <w:tc>
          <w:tcPr>
            <w:tcW w:type="dxa" w:w="28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RcvController</w:t>
            </w:r>
          </w:p>
        </w:tc>
        <w:tc>
          <w:tcPr>
            <w:tcW w:type="dxa" w:w="66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POST /sii/rcv/import (lanza job), GET /sii/rcv/sessions (historial)</w:t>
            </w:r>
          </w:p>
        </w:tc>
      </w:tr>
      <w:tr>
        <w:tc>
          <w:tcPr>
            <w:tcW w:type="dxa" w:w="28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SiiConfigController</w:t>
            </w:r>
          </w:p>
        </w:tc>
        <w:tc>
          <w:tcPr>
            <w:tcW w:type="dxa" w:w="66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GET/PUT /sii/config (sii_environment, resolution, etc.)</w:t>
            </w:r>
          </w:p>
        </w:tc>
      </w:tr>
    </w:tbl>
    <w:p>
      <w:pPr>
        <w:spacing w:after="60" w:before="6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7.4 Fase de implementación sugerida</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426"/>
      </w:tblGrid>
      <w:tr>
        <w:trPr>
          <w:tblHeader/>
        </w:trPr>
        <w:tc>
          <w:tcPr>
            <w:tcW w:type="dxa" w:w="1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c>
          <w:tcPr>
            <w:tcW w:type="dxa" w:w="5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Contenido</w:t>
            </w:r>
          </w:p>
        </w:tc>
        <w:tc>
          <w:tcPr>
            <w:tcW w:type="dxa" w:w="24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Semanas estimadas</w:t>
            </w:r>
          </w:p>
        </w:tc>
      </w:tr>
      <w:tr>
        <w:tc>
          <w:tcPr>
            <w:tcW w:type="dxa" w:w="18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Fase 1 – Infraestructura</w:t>
            </w:r>
          </w:p>
        </w:tc>
        <w:tc>
          <w:tcPr>
            <w:tcW w:type="dxa" w:w="5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Migraciones, modelos, Certificate + CAF services, tests unitarios</w:t>
            </w:r>
          </w:p>
        </w:tc>
        <w:tc>
          <w:tcPr>
            <w:tcW w:type="dxa" w:w="2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2</w:t>
            </w:r>
          </w:p>
        </w:tc>
      </w:tr>
      <w:tr>
        <w:tc>
          <w:tcPr>
            <w:tcW w:type="dxa" w:w="18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Fase 2 – Emisión DTE</w:t>
            </w:r>
          </w:p>
        </w:tc>
        <w:tc>
          <w:tcPr>
            <w:tcW w:type="dxa" w:w="5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DteBuilderService, firma TED y DTE, SendDteJob, integración ambiente certificación SII</w:t>
            </w:r>
          </w:p>
        </w:tc>
        <w:tc>
          <w:tcPr>
            <w:tcW w:type="dxa" w:w="2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3</w:t>
            </w:r>
          </w:p>
        </w:tc>
      </w:tr>
      <w:tr>
        <w:tc>
          <w:tcPr>
            <w:tcW w:type="dxa" w:w="18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Fase 3 – Estados y PDF</w:t>
            </w:r>
          </w:p>
        </w:tc>
        <w:tc>
          <w:tcPr>
            <w:tcW w:type="dxa" w:w="5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DteStatusService, CheckDteStatusJob, generación PDF representación impresa</w:t>
            </w:r>
          </w:p>
        </w:tc>
        <w:tc>
          <w:tcPr>
            <w:tcW w:type="dxa" w:w="2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2</w:t>
            </w:r>
          </w:p>
        </w:tc>
      </w:tr>
      <w:tr>
        <w:tc>
          <w:tcPr>
            <w:tcW w:type="dxa" w:w="18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Fase 4 – RCV</w:t>
            </w:r>
          </w:p>
        </w:tc>
        <w:tc>
          <w:tcPr>
            <w:tcW w:type="dxa" w:w="5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RcvService, integración con ImportSesionService existente</w:t>
            </w:r>
          </w:p>
        </w:tc>
        <w:tc>
          <w:tcPr>
            <w:tcW w:type="dxa" w:w="24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2</w:t>
            </w:r>
          </w:p>
        </w:tc>
      </w:tr>
      <w:tr>
        <w:tc>
          <w:tcPr>
            <w:tcW w:type="dxa" w:w="18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Fase 5 – UI Angular</w:t>
            </w:r>
          </w:p>
        </w:tc>
        <w:tc>
          <w:tcPr>
            <w:tcW w:type="dxa" w:w="5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Módulo SII en frontend: carga certs/CAF, emisión, estado, historial</w:t>
            </w:r>
          </w:p>
        </w:tc>
        <w:tc>
          <w:tcPr>
            <w:tcW w:type="dxa" w:w="24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3</w:t>
            </w:r>
          </w:p>
        </w:tc>
      </w:tr>
    </w:tbl>
    <w:p>
      <w:pPr>
        <w:spacing w:after="60" w:before="60"/>
      </w:pPr>
      <w:r>
        <w:t xml:space="preserve"/>
      </w:r>
    </w:p>
    <w:p>
      <w:pPr>
        <w:pStyle w:val="Heading1"/>
        <w:pageBreakBefore/>
        <w:spacing w:after="200" w:before="0"/>
      </w:pPr>
      <w:r>
        <w:rPr>
          <w:rFonts w:ascii="Arial" w:cs="Arial" w:eastAsia="Arial" w:hAnsi="Arial"/>
          <w:b/>
          <w:bCs/>
          <w:color w:val="1F4E79"/>
          <w:sz w:val="36"/>
          <w:szCs w:val="36"/>
        </w:rPr>
        <w:t xml:space="preserve">8. Referencias Técnicas SII</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200"/>
        <w:gridCol w:w="6226"/>
      </w:tblGrid>
      <w:tr>
        <w:trPr>
          <w:tblHeader/>
        </w:trPr>
        <w:tc>
          <w:tcPr>
            <w:tcW w:type="dxa" w:w="3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Recurso</w:t>
            </w:r>
          </w:p>
        </w:tc>
        <w:tc>
          <w:tcPr>
            <w:tcW w:type="dxa" w:w="6226"/>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 / Ruta</w:t>
            </w:r>
          </w:p>
        </w:tc>
      </w:tr>
      <w:tr>
        <w:tc>
          <w:tcPr>
            <w:tcW w:type="dxa" w:w="3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Endpoint autenticación (prod)</w:t>
            </w:r>
          </w:p>
        </w:tc>
        <w:tc>
          <w:tcPr>
            <w:tcW w:type="dxa" w:w="62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https://palena.sii.cl/DTEWS/</w:t>
            </w:r>
          </w:p>
        </w:tc>
      </w:tr>
      <w:tr>
        <w:tc>
          <w:tcPr>
            <w:tcW w:type="dxa" w:w="3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Endpoint autenticación (cert)</w:t>
            </w:r>
          </w:p>
        </w:tc>
        <w:tc>
          <w:tcPr>
            <w:tcW w:type="dxa" w:w="62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https://maullin.sii.cl/DTEWS/</w:t>
            </w:r>
          </w:p>
        </w:tc>
      </w:tr>
      <w:tr>
        <w:tc>
          <w:tcPr>
            <w:tcW w:type="dxa" w:w="3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Formato DTE v2.5 (Feb 2026)</w:t>
            </w:r>
          </w:p>
        </w:tc>
        <w:tc>
          <w:tcPr>
            <w:tcW w:type="dxa" w:w="62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Documento oficial SII — 10 tipos doc, 60 líneas máx, Zonas A-J</w:t>
            </w:r>
          </w:p>
        </w:tc>
      </w:tr>
      <w:tr>
        <w:tc>
          <w:tcPr>
            <w:tcW w:type="dxa" w:w="3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Instructivo Emisión DTE</w:t>
            </w:r>
          </w:p>
        </w:tc>
        <w:tc>
          <w:tcPr>
            <w:tcW w:type="dxa" w:w="62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Documento oficial SII adjunto en esta sesión</w:t>
            </w:r>
          </w:p>
        </w:tc>
      </w:tr>
      <w:tr>
        <w:tc>
          <w:tcPr>
            <w:tcW w:type="dxa" w:w="3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Manual Muestras Impresas</w:t>
            </w:r>
          </w:p>
        </w:tc>
        <w:tc>
          <w:tcPr>
            <w:tcW w:type="dxa" w:w="62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Documento oficial SII adjunto en esta sesión</w:t>
            </w:r>
          </w:p>
        </w:tc>
      </w:tr>
      <w:tr>
        <w:tc>
          <w:tcPr>
            <w:tcW w:type="dxa" w:w="3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Librería PHP sugerida</w:t>
            </w:r>
          </w:p>
        </w:tc>
        <w:tc>
          <w:tcPr>
            <w:tcW w:type="dxa" w:w="6226"/>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20"/>
                <w:szCs w:val="20"/>
              </w:rPr>
              <w:t xml:space="preserve">sasco/dte (PHP, ISO-8859-1 nativo, SOAP SII)</w:t>
            </w:r>
          </w:p>
        </w:tc>
      </w:tr>
      <w:tr>
        <w:tc>
          <w:tcPr>
            <w:tcW w:type="dxa" w:w="3200"/>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Codificación requerida</w:t>
            </w:r>
          </w:p>
        </w:tc>
        <w:tc>
          <w:tcPr>
            <w:tcW w:type="dxa" w:w="6226"/>
            <w:tcBorders>
              <w:top w:val="single" w:color="BDD7EE" w:sz="1"/>
              <w:left w:val="single" w:color="BDD7EE" w:sz="1"/>
              <w:bottom w:val="single" w:color="BDD7EE" w:sz="1"/>
              <w:right w:val="single" w:color="BDD7EE" w:sz="1"/>
            </w:tcBorders>
            <w:shd w:fill="F2F2F2" w:val="clear"/>
            <w:tcMar>
              <w:top w:type="dxa" w:w="60"/>
              <w:left w:type="dxa" w:w="120"/>
              <w:bottom w:type="dxa" w:w="60"/>
              <w:right w:type="dxa" w:w="120"/>
            </w:tcMar>
          </w:tcPr>
          <w:p>
            <w:r>
              <w:rPr>
                <w:rFonts w:ascii="Arial" w:cs="Arial" w:eastAsia="Arial" w:hAnsi="Arial"/>
                <w:sz w:val="20"/>
                <w:szCs w:val="20"/>
              </w:rPr>
              <w:t xml:space="preserve">ISO-8859-1 — NUNCA UTF-8 en operaciones de firma</w:t>
            </w:r>
          </w:p>
        </w:tc>
      </w:tr>
    </w:tbl>
    <w:p>
      <w:pPr>
        <w:spacing w:after="60" w:before="60"/>
      </w:pPr>
      <w:r>
        <w:t xml:space="preserve"/>
      </w:r>
    </w:p>
    <w:p>
      <w:pPr>
        <w:spacing w:after="60" w:before="60"/>
      </w:pPr>
      <w:r>
        <w:t xml:space="preserve"/>
      </w:r>
    </w:p>
    <w:p>
      <w:pPr>
        <w:spacing w:after="60" w:before="60"/>
      </w:pPr>
      <w:r>
        <w:t xml:space="preserve"/>
      </w:r>
    </w:p>
    <w:p>
      <w:pPr>
        <w:spacing w:after="0" w:before="400"/>
        <w:jc w:val="center"/>
      </w:pPr>
      <w:r>
        <w:rPr>
          <w:rFonts w:ascii="Arial" w:cs="Arial" w:eastAsia="Arial" w:hAnsi="Arial"/>
          <w:i/>
          <w:iCs/>
          <w:color w:val="595959"/>
          <w:sz w:val="20"/>
          <w:szCs w:val="20"/>
        </w:rPr>
        <w:t xml:space="preserve">Fin del documento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tabs>
        <w:tab w:val="right" w:pos="9026"/>
      </w:tabs>
    </w:pPr>
    <w:r>
      <w:rPr>
        <w:rFonts w:ascii="Arial" w:cs="Arial" w:eastAsia="Arial" w:hAnsi="Arial"/>
        <w:color w:val="595959"/>
        <w:sz w:val="16"/>
        <w:szCs w:val="16"/>
      </w:rPr>
      <w:t xml:space="preserve">Confidencial – Uso interno QdoorA</w:t>
    </w:r>
    <w:r>
      <w:rPr>
        <w:sz w:val="16"/>
        <w:szCs w:val="16"/>
      </w:rPr>
      <w:t xml:space="preserve">	</w:t>
    </w: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tabs>
        <w:tab w:val="right" w:pos="9026"/>
      </w:tabs>
    </w:pPr>
    <w:r>
      <w:rPr>
        <w:rFonts w:ascii="Arial" w:cs="Arial" w:eastAsia="Arial" w:hAnsi="Arial"/>
        <w:b/>
        <w:bCs/>
        <w:color w:val="2E75B6"/>
        <w:sz w:val="18"/>
        <w:szCs w:val="18"/>
      </w:rPr>
      <w:t xml:space="preserve">QdoorA Chile  –  Módulo SII/DTE</w:t>
    </w:r>
    <w:r>
      <w:rPr>
        <w:rFonts w:ascii="Arial" w:cs="Arial" w:eastAsia="Arial" w:hAnsi="Arial"/>
        <w:sz w:val="18"/>
        <w:szCs w:val="18"/>
      </w:rPr>
      <w:t xml:space="preserve">	</w:t>
    </w:r>
    <w:r>
      <w:rPr>
        <w:rFonts w:ascii="Arial" w:cs="Arial" w:eastAsia="Arial" w:hAnsi="Arial"/>
        <w:color w:val="595959"/>
        <w:sz w:val="18"/>
        <w:szCs w:val="18"/>
      </w:rPr>
      <w:t xml:space="preserve">Catastro de Responsabilidades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2026-06-30T16:57:54.562Z</dcterms:created>
  <dcterms:modified xsi:type="dcterms:W3CDTF">2026-06-30T16:57:54.563Z</dcterms:modified>
</cp:coreProperties>
</file>

<file path=docProps/custom.xml><?xml version="1.0" encoding="utf-8"?>
<Properties xmlns="http://schemas.openxmlformats.org/officeDocument/2006/custom-properties" xmlns:vt="http://schemas.openxmlformats.org/officeDocument/2006/docPropsVTypes"/>
</file>