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hu-HU"/>
        </w:rPr>
        <w:id w:val="-3960547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</w:sdtEndPr>
      <w:sdtContent>
        <w:p w:rsidR="00E077D6" w:rsidRPr="00A67C56" w:rsidRDefault="008937EE" w:rsidP="004C28C9">
          <w:pPr>
            <w:spacing w:line="240" w:lineRule="auto"/>
            <w:jc w:val="center"/>
            <w:rPr>
              <w:szCs w:val="24"/>
              <w:lang w:val="hu-HU"/>
            </w:rPr>
          </w:pPr>
          <w:r w:rsidRPr="00A67C56">
            <w:rPr>
              <w:noProof/>
              <w:sz w:val="56"/>
            </w:rPr>
            <w:drawing>
              <wp:anchor distT="0" distB="0" distL="114300" distR="114300" simplePos="0" relativeHeight="251658240" behindDoc="1" locked="0" layoutInCell="1" allowOverlap="1" wp14:anchorId="149823CE" wp14:editId="2BA25633">
                <wp:simplePos x="0" y="0"/>
                <wp:positionH relativeFrom="margin">
                  <wp:align>center</wp:align>
                </wp:positionH>
                <wp:positionV relativeFrom="paragraph">
                  <wp:posOffset>41</wp:posOffset>
                </wp:positionV>
                <wp:extent cx="2488680" cy="1248120"/>
                <wp:effectExtent l="0" t="0" r="6985" b="952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pientia-logo-hu-600px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8680" cy="124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5DD2" w:rsidRPr="00A67C56" w:rsidRDefault="00795DD2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  <w:r w:rsidRPr="00A67C56">
            <w:rPr>
              <w:sz w:val="36"/>
              <w:szCs w:val="24"/>
              <w:lang w:val="hu-HU"/>
            </w:rPr>
            <w:t>TUDOMÁNYOS DIÁKKÖRI DOLGOZAT</w:t>
          </w:r>
        </w:p>
        <w:p w:rsidR="004C28C9" w:rsidRPr="00A67C56" w:rsidRDefault="004C28C9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</w:p>
        <w:p w:rsidR="00795DD2" w:rsidRPr="00A67C56" w:rsidRDefault="00BE7339" w:rsidP="004C28C9">
          <w:pPr>
            <w:spacing w:line="240" w:lineRule="auto"/>
            <w:jc w:val="center"/>
            <w:rPr>
              <w:b/>
              <w:caps/>
              <w:sz w:val="44"/>
              <w:szCs w:val="24"/>
              <w:lang w:val="hu-HU"/>
            </w:rPr>
          </w:pPr>
          <w:r>
            <w:rPr>
              <w:b/>
              <w:caps/>
              <w:sz w:val="44"/>
              <w:szCs w:val="24"/>
              <w:lang w:val="hu-HU"/>
            </w:rPr>
            <w:t>RELÁCIÓS ADATBÁZISOK NORMALIZÁCIÓJÁHOZ HASZNÁLT ALGORITMUSOK AZ OKTATÁSBAN</w:t>
          </w:r>
        </w:p>
        <w:p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p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tbl>
          <w:tblPr>
            <w:tblW w:w="9110" w:type="dxa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2376"/>
            <w:gridCol w:w="1938"/>
            <w:gridCol w:w="4796"/>
          </w:tblGrid>
          <w:tr w:rsidR="00795DD2" w:rsidRPr="00A67C56" w:rsidTr="00BE7339">
            <w:trPr>
              <w:trHeight w:val="495"/>
              <w:jc w:val="center"/>
            </w:trPr>
            <w:tc>
              <w:tcPr>
                <w:tcW w:w="2376" w:type="dxa"/>
                <w:vAlign w:val="center"/>
              </w:tcPr>
              <w:p w:rsidR="00795DD2" w:rsidRPr="00A67C56" w:rsidRDefault="00795DD2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:rsidR="00795DD2" w:rsidRPr="00A67C56" w:rsidRDefault="00795DD2" w:rsidP="004C28C9">
                <w:pPr>
                  <w:spacing w:before="120"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Szerző(k):</w:t>
                </w:r>
              </w:p>
            </w:tc>
            <w:tc>
              <w:tcPr>
                <w:tcW w:w="4796" w:type="dxa"/>
                <w:vAlign w:val="center"/>
              </w:tcPr>
              <w:p w:rsidR="00795DD2" w:rsidRPr="00A67C56" w:rsidRDefault="00BE7339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>Kiss Gergely</w:t>
                </w:r>
              </w:p>
            </w:tc>
          </w:tr>
          <w:tr w:rsidR="00795DD2" w:rsidRPr="00A67C56" w:rsidTr="00BE7339">
            <w:trPr>
              <w:trHeight w:val="293"/>
              <w:jc w:val="center"/>
            </w:trPr>
            <w:tc>
              <w:tcPr>
                <w:tcW w:w="2376" w:type="dxa"/>
                <w:vAlign w:val="center"/>
              </w:tcPr>
              <w:p w:rsidR="00795DD2" w:rsidRPr="00A67C56" w:rsidRDefault="00795DD2" w:rsidP="004C28C9">
                <w:pPr>
                  <w:spacing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:rsidR="00795DD2" w:rsidRPr="00A67C56" w:rsidRDefault="00795DD2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</w:p>
            </w:tc>
            <w:tc>
              <w:tcPr>
                <w:tcW w:w="4796" w:type="dxa"/>
                <w:vAlign w:val="center"/>
              </w:tcPr>
              <w:p w:rsidR="00795DD2" w:rsidRPr="00A67C56" w:rsidRDefault="00E76F08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S</w:t>
                </w:r>
                <w:r w:rsidR="00BE7339">
                  <w:rPr>
                    <w:sz w:val="28"/>
                    <w:lang w:val="hu-HU"/>
                  </w:rPr>
                  <w:t xml:space="preserve">zámítástechnika MSc. szak, </w:t>
                </w:r>
                <w:r w:rsidR="00795DD2" w:rsidRPr="00A67C56">
                  <w:rPr>
                    <w:sz w:val="28"/>
                    <w:lang w:val="hu-HU"/>
                  </w:rPr>
                  <w:t>I. évf.</w:t>
                </w:r>
              </w:p>
            </w:tc>
          </w:tr>
        </w:tbl>
        <w:p w:rsidR="008937EE" w:rsidRPr="00A67C56" w:rsidRDefault="008937EE" w:rsidP="00BE7339">
          <w:pPr>
            <w:spacing w:line="240" w:lineRule="auto"/>
            <w:rPr>
              <w:szCs w:val="24"/>
              <w:lang w:val="hu-HU"/>
            </w:rPr>
          </w:pPr>
        </w:p>
        <w:tbl>
          <w:tblPr>
            <w:tblW w:w="0" w:type="auto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1980"/>
            <w:gridCol w:w="2126"/>
            <w:gridCol w:w="4650"/>
          </w:tblGrid>
          <w:tr w:rsidR="000D66DA" w:rsidRPr="00A67C56" w:rsidTr="00855936">
            <w:trPr>
              <w:trHeight w:val="429"/>
              <w:jc w:val="center"/>
            </w:trPr>
            <w:tc>
              <w:tcPr>
                <w:tcW w:w="1980" w:type="dxa"/>
              </w:tcPr>
              <w:p w:rsidR="000D66DA" w:rsidRPr="00A67C56" w:rsidRDefault="000D66DA" w:rsidP="004C28C9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:rsidR="000D66DA" w:rsidRPr="00A67C56" w:rsidRDefault="000D66DA" w:rsidP="004C28C9">
                <w:pPr>
                  <w:spacing w:before="120"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Konzulens(ek):</w:t>
                </w:r>
              </w:p>
            </w:tc>
            <w:tc>
              <w:tcPr>
                <w:tcW w:w="4650" w:type="dxa"/>
              </w:tcPr>
              <w:p w:rsidR="000D66DA" w:rsidRPr="00A67C56" w:rsidRDefault="00A67C56" w:rsidP="00A67C56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 xml:space="preserve">dr. </w:t>
                </w:r>
                <w:r w:rsidRPr="00A67C56">
                  <w:rPr>
                    <w:b/>
                    <w:sz w:val="28"/>
                    <w:lang w:val="hu-HU"/>
                  </w:rPr>
                  <w:t>Első Konzulens</w:t>
                </w:r>
              </w:p>
            </w:tc>
          </w:tr>
          <w:tr w:rsidR="000D66DA" w:rsidRPr="00A67C56" w:rsidTr="00855936">
            <w:trPr>
              <w:jc w:val="center"/>
            </w:trPr>
            <w:tc>
              <w:tcPr>
                <w:tcW w:w="1980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</w:p>
            </w:tc>
            <w:tc>
              <w:tcPr>
                <w:tcW w:w="4650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egyetemi docens</w:t>
                </w:r>
              </w:p>
            </w:tc>
          </w:tr>
        </w:tbl>
        <w:p w:rsidR="000D66DA" w:rsidRPr="00A67C56" w:rsidRDefault="000D66DA" w:rsidP="00BE7339">
          <w:pPr>
            <w:spacing w:line="240" w:lineRule="auto"/>
            <w:rPr>
              <w:szCs w:val="24"/>
              <w:lang w:val="hu-HU"/>
            </w:rPr>
          </w:pPr>
        </w:p>
        <w:p w:rsidR="00865D1B" w:rsidRPr="00A67C56" w:rsidRDefault="00B556CF">
          <w:pPr>
            <w:spacing w:line="259" w:lineRule="auto"/>
            <w:jc w:val="left"/>
            <w:rPr>
              <w:sz w:val="56"/>
              <w:lang w:val="hu-HU"/>
            </w:rPr>
            <w:sectPr w:rsidR="00865D1B" w:rsidRPr="00A67C56" w:rsidSect="00B556CF">
              <w:footerReference w:type="default" r:id="rId9"/>
              <w:footerReference w:type="first" r:id="rId10"/>
              <w:pgSz w:w="11907" w:h="16840" w:code="9"/>
              <w:pgMar w:top="1418" w:right="1418" w:bottom="1418" w:left="1701" w:header="709" w:footer="709" w:gutter="0"/>
              <w:pgNumType w:start="0"/>
              <w:cols w:space="720"/>
              <w:titlePg/>
              <w:docGrid w:linePitch="360"/>
            </w:sectPr>
          </w:pPr>
          <w:r w:rsidRPr="00A67C56">
            <w:rPr>
              <w:sz w:val="56"/>
              <w:lang w:val="hu-HU"/>
            </w:rPr>
            <w:br w:type="page"/>
          </w:r>
        </w:p>
        <w:p w:rsidR="00E10497" w:rsidRPr="00A67C56" w:rsidRDefault="00E10497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9C2389" w:rsidRPr="00A67C56" w:rsidRDefault="009C2389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E301CF" w:rsidRPr="00A67C56" w:rsidRDefault="00AE33EB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 w:rsidRPr="00A67C56">
            <w:rPr>
              <w:b/>
              <w:caps/>
              <w:sz w:val="28"/>
              <w:szCs w:val="28"/>
              <w:lang w:val="hu-HU"/>
            </w:rPr>
            <w:t>Sapienti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A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Erdély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i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magyar tudományEgyetem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E10497" w:rsidRPr="00A67C56" w:rsidRDefault="00BE7339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>
            <w:rPr>
              <w:b/>
              <w:caps/>
              <w:sz w:val="28"/>
              <w:szCs w:val="28"/>
              <w:lang w:val="hu-HU"/>
            </w:rPr>
            <w:t>RELÁCIÓS ADATBÁZISOK NORMALIZÁCIÓJÁHOZ HASZNÁLT ALGORITMUSOK AZ OKTATÁSBAN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E10497" w:rsidRPr="00A67C56" w:rsidRDefault="00BE7339" w:rsidP="0016010F">
          <w:pPr>
            <w:spacing w:line="240" w:lineRule="auto"/>
            <w:jc w:val="center"/>
            <w:rPr>
              <w:b/>
              <w:sz w:val="28"/>
              <w:szCs w:val="28"/>
              <w:lang w:val="hu-HU"/>
            </w:rPr>
          </w:pPr>
          <w:r>
            <w:rPr>
              <w:b/>
              <w:sz w:val="28"/>
              <w:szCs w:val="28"/>
              <w:lang w:val="hu-HU"/>
            </w:rPr>
            <w:t>RELATIONAL DATABASE NORMALIZATION ALGORITHMS IN EDUCATION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A67C56" w:rsidRPr="00A67C56" w:rsidRDefault="00BE7339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t>Kiss Gergely</w:t>
          </w:r>
        </w:p>
        <w:p w:rsidR="008A53B3" w:rsidRPr="00A67C56" w:rsidRDefault="008A53B3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A56B72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>Konzulens</w:t>
          </w:r>
          <w:r w:rsidR="00A56B72">
            <w:rPr>
              <w:sz w:val="28"/>
              <w:szCs w:val="28"/>
              <w:lang w:val="hu-HU"/>
            </w:rPr>
            <w:t>(ek)</w:t>
          </w:r>
          <w:r w:rsidRPr="00A67C56">
            <w:rPr>
              <w:sz w:val="28"/>
              <w:szCs w:val="28"/>
              <w:lang w:val="hu-HU"/>
            </w:rPr>
            <w:t xml:space="preserve">: </w:t>
          </w:r>
        </w:p>
        <w:p w:rsidR="00A56B72" w:rsidRPr="00A67C56" w:rsidRDefault="0016010F" w:rsidP="00BE7339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Dr. </w:t>
          </w:r>
          <w:r w:rsidR="00A56B72">
            <w:rPr>
              <w:sz w:val="28"/>
              <w:szCs w:val="28"/>
              <w:lang w:val="hu-HU"/>
            </w:rPr>
            <w:t>Első Konzulens</w:t>
          </w:r>
        </w:p>
        <w:p w:rsidR="00FB3E5C" w:rsidRPr="00A67C56" w:rsidRDefault="00FB3E5C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652183" w:rsidRPr="00A67C56" w:rsidRDefault="00652183" w:rsidP="00A56B72">
          <w:pPr>
            <w:spacing w:line="240" w:lineRule="auto"/>
            <w:rPr>
              <w:sz w:val="28"/>
              <w:szCs w:val="28"/>
              <w:lang w:val="hu-HU"/>
            </w:rPr>
          </w:pPr>
        </w:p>
        <w:p w:rsidR="00D766A4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Kézirat lezárva: </w:t>
          </w:r>
          <w:r w:rsidR="002202E2" w:rsidRPr="00A67C56">
            <w:rPr>
              <w:sz w:val="28"/>
              <w:szCs w:val="28"/>
              <w:lang w:val="hu-HU"/>
            </w:rPr>
            <w:t>2017 április 12.</w:t>
          </w:r>
        </w:p>
        <w:p w:rsidR="00D766A4" w:rsidRDefault="00D766A4">
          <w:pPr>
            <w:spacing w:line="259" w:lineRule="auto"/>
            <w:jc w:val="left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br w:type="page"/>
          </w:r>
        </w:p>
        <w:p w:rsidR="00D766A4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Abstract</w:t>
          </w:r>
        </w:p>
        <w:p w:rsidR="00F00FFD" w:rsidRDefault="00F00FFD" w:rsidP="00F00FFD">
          <w:pPr>
            <w:rPr>
              <w:lang w:val="hu-HU"/>
            </w:rPr>
          </w:pPr>
        </w:p>
        <w:p w:rsidR="00F00FFD" w:rsidRPr="00827EA3" w:rsidRDefault="00F00FFD" w:rsidP="00F00FFD">
          <w:pPr>
            <w:rPr>
              <w:lang w:val="hu-HU"/>
            </w:rPr>
          </w:pPr>
          <w:r>
            <w:rPr>
              <w:lang w:val="hu-HU"/>
            </w:rPr>
            <w:t>Ide jön a ½</w:t>
          </w:r>
          <w:r w:rsidRPr="00F00FFD">
            <w:rPr>
              <w:lang w:val="hu-HU"/>
            </w:rPr>
            <w:t xml:space="preserve">-1 oldalas </w:t>
          </w:r>
          <w:r>
            <w:rPr>
              <w:lang w:val="hu-HU"/>
            </w:rPr>
            <w:t xml:space="preserve">angol </w:t>
          </w:r>
          <w:r w:rsidRPr="00F00FFD">
            <w:rPr>
              <w:lang w:val="hu-HU"/>
            </w:rPr>
            <w:t>nyelvű</w:t>
          </w:r>
          <w:r>
            <w:rPr>
              <w:lang w:val="hu-HU"/>
            </w:rPr>
            <w:t xml:space="preserve"> kivonat.</w:t>
          </w:r>
        </w:p>
        <w:p w:rsidR="00D766A4" w:rsidRDefault="00D766A4">
          <w:pPr>
            <w:spacing w:line="259" w:lineRule="auto"/>
            <w:jc w:val="left"/>
            <w:rPr>
              <w:szCs w:val="24"/>
              <w:lang w:val="hu-HU"/>
            </w:rPr>
          </w:pPr>
          <w:r>
            <w:rPr>
              <w:szCs w:val="24"/>
              <w:lang w:val="hu-HU"/>
            </w:rPr>
            <w:br w:type="page"/>
          </w:r>
        </w:p>
        <w:p w:rsidR="00296403" w:rsidRPr="00827EA3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Kivonat</w:t>
          </w:r>
        </w:p>
        <w:p w:rsidR="00296403" w:rsidRDefault="00296403" w:rsidP="00F00FFD">
          <w:pPr>
            <w:rPr>
              <w:lang w:val="hu-HU"/>
            </w:rPr>
          </w:pPr>
        </w:p>
        <w:p w:rsidR="00F00FFD" w:rsidRDefault="00F00FFD" w:rsidP="00F00FFD">
          <w:pPr>
            <w:rPr>
              <w:lang w:val="hu-HU"/>
            </w:rPr>
          </w:pPr>
          <w:r>
            <w:rPr>
              <w:lang w:val="hu-HU"/>
            </w:rPr>
            <w:t xml:space="preserve">Ide jön a </w:t>
          </w:r>
          <w:r w:rsidRPr="00F00FFD">
            <w:rPr>
              <w:lang w:val="hu-HU"/>
            </w:rPr>
            <w:t>½-1 oldalas magyar nyelvű</w:t>
          </w:r>
          <w:r>
            <w:rPr>
              <w:lang w:val="hu-HU"/>
            </w:rPr>
            <w:t xml:space="preserve"> kivonat.</w:t>
          </w:r>
        </w:p>
        <w:p w:rsidR="00F00FFD" w:rsidRDefault="00F00FFD">
          <w:pPr>
            <w:spacing w:line="259" w:lineRule="auto"/>
            <w:jc w:val="left"/>
            <w:rPr>
              <w:lang w:val="hu-HU"/>
            </w:rPr>
          </w:pPr>
          <w:r>
            <w:rPr>
              <w:lang w:val="hu-HU"/>
            </w:rPr>
            <w:br w:type="page"/>
          </w:r>
        </w:p>
        <w:p w:rsidR="00F00FFD" w:rsidRPr="00A67C56" w:rsidRDefault="00F00FFD" w:rsidP="00F00FFD">
          <w:pPr>
            <w:rPr>
              <w:lang w:val="hu-HU"/>
            </w:rPr>
            <w:sectPr w:rsidR="00F00FFD" w:rsidRPr="00A67C56" w:rsidSect="00296403">
              <w:footerReference w:type="default" r:id="rId11"/>
              <w:pgSz w:w="11907" w:h="16840" w:code="9"/>
              <w:pgMar w:top="1418" w:right="1418" w:bottom="1418" w:left="1701" w:header="709" w:footer="709" w:gutter="0"/>
              <w:cols w:space="720"/>
              <w:docGrid w:linePitch="360"/>
            </w:sectPr>
          </w:pPr>
        </w:p>
        <w:sdt>
          <w:sdtPr>
            <w:rPr>
              <w:b/>
              <w:lang w:val="hu-HU"/>
            </w:rPr>
            <w:id w:val="-874620161"/>
            <w:docPartObj>
              <w:docPartGallery w:val="Table of Contents"/>
              <w:docPartUnique/>
            </w:docPartObj>
          </w:sdtPr>
          <w:sdtEndPr>
            <w:rPr>
              <w:b w:val="0"/>
              <w:bCs/>
            </w:rPr>
          </w:sdtEndPr>
          <w:sdtContent>
            <w:p w:rsidR="00F219E7" w:rsidRPr="00A67C56" w:rsidRDefault="00F219E7" w:rsidP="009E70DF">
              <w:pPr>
                <w:tabs>
                  <w:tab w:val="left" w:pos="3138"/>
                </w:tabs>
                <w:jc w:val="center"/>
                <w:rPr>
                  <w:lang w:val="hu-HU"/>
                </w:rPr>
              </w:pPr>
              <w:r w:rsidRPr="00A67C56">
                <w:rPr>
                  <w:lang w:val="hu-HU"/>
                </w:rPr>
                <w:t>Tartalomjegyzék</w:t>
              </w:r>
            </w:p>
            <w:p w:rsidR="00194F27" w:rsidRDefault="00F219E7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 w:rsidRPr="00A67C56">
                <w:rPr>
                  <w:lang w:val="hu-HU"/>
                </w:rPr>
                <w:fldChar w:fldCharType="begin"/>
              </w:r>
              <w:r w:rsidRPr="00A67C56">
                <w:rPr>
                  <w:lang w:val="hu-HU"/>
                </w:rPr>
                <w:instrText xml:space="preserve"> TOC \o "1-5" \h \z \u </w:instrText>
              </w:r>
              <w:r w:rsidRPr="00A67C56">
                <w:rPr>
                  <w:lang w:val="hu-HU"/>
                </w:rPr>
                <w:fldChar w:fldCharType="separate"/>
              </w:r>
              <w:hyperlink w:anchor="_Toc469042456" w:history="1">
                <w:r w:rsidR="00194F27" w:rsidRPr="006F4FA5">
                  <w:rPr>
                    <w:rStyle w:val="Hyperlink"/>
                    <w:noProof/>
                  </w:rPr>
                  <w:t>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Bevezető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_Toc469042456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57" w:history="1">
                <w:r w:rsidR="00194F27" w:rsidRPr="006F4FA5">
                  <w:rPr>
                    <w:rStyle w:val="Hyperlink"/>
                    <w:noProof/>
                  </w:rPr>
                  <w:t>1.1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Címsorok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_Toc469042457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58" w:history="1">
                <w:r w:rsidR="00194F27" w:rsidRPr="006F4FA5">
                  <w:rPr>
                    <w:rStyle w:val="Hyperlink"/>
                    <w:noProof/>
                  </w:rPr>
                  <w:t>1.1.1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Mélyebb cím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_Toc469042458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59" w:history="1">
                <w:r w:rsidR="00194F27" w:rsidRPr="006F4FA5">
                  <w:rPr>
                    <w:rStyle w:val="Hyperlink"/>
                    <w:noProof/>
                  </w:rPr>
                  <w:t>1.1.1.1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Legmélyebb cím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_Toc469042459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0" w:history="1">
                <w:r w:rsidR="00194F27" w:rsidRPr="006F4FA5">
                  <w:rPr>
                    <w:rStyle w:val="Hyperlink"/>
                    <w:noProof/>
                  </w:rPr>
                  <w:t>2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Irodalom áttekintés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_Toc469042460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1" w:history="1">
                <w:r w:rsidR="00194F27" w:rsidRPr="006F4FA5">
                  <w:rPr>
                    <w:rStyle w:val="Hyperlink"/>
                    <w:noProof/>
                  </w:rPr>
                  <w:t>3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Célkitűzések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_Toc469042461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2" w:history="1">
                <w:r w:rsidR="00194F27" w:rsidRPr="006F4FA5">
                  <w:rPr>
                    <w:rStyle w:val="Hyperlink"/>
                    <w:noProof/>
                  </w:rPr>
                  <w:t>4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Elméleti megalapozás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_Toc469042462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3" w:history="1">
                <w:r w:rsidR="00194F27" w:rsidRPr="006F4FA5">
                  <w:rPr>
                    <w:rStyle w:val="Hyperlink"/>
                    <w:noProof/>
                  </w:rPr>
                  <w:t>4.1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Képletek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_Toc469042463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2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4" w:history="1">
                <w:r w:rsidR="00194F27" w:rsidRPr="006F4FA5">
                  <w:rPr>
                    <w:rStyle w:val="Hyperlink"/>
                    <w:noProof/>
                  </w:rPr>
                  <w:t>4.2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Képek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_Toc469042464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2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5" w:history="1">
                <w:r w:rsidR="00194F27" w:rsidRPr="006F4FA5">
                  <w:rPr>
                    <w:rStyle w:val="Hyperlink"/>
                    <w:noProof/>
                  </w:rPr>
                  <w:t>5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Gyakorlati megvalósítás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_Toc469042465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3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6" w:history="1">
                <w:r w:rsidR="00194F27" w:rsidRPr="006F4FA5">
                  <w:rPr>
                    <w:rStyle w:val="Hyperlink"/>
                    <w:noProof/>
                  </w:rPr>
                  <w:t>5.1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Kódrészletek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_Toc469042466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3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7" w:history="1">
                <w:r w:rsidR="00194F27" w:rsidRPr="006F4FA5">
                  <w:rPr>
                    <w:rStyle w:val="Hyperlink"/>
                    <w:noProof/>
                  </w:rPr>
                  <w:t>6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Eredmények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_Toc469042467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4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8" w:history="1">
                <w:r w:rsidR="00194F27" w:rsidRPr="006F4FA5">
                  <w:rPr>
                    <w:rStyle w:val="Hyperlink"/>
                    <w:noProof/>
                  </w:rPr>
                  <w:t>7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Tárgyalás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_Toc469042468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4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9" w:history="1">
                <w:r w:rsidR="00194F27" w:rsidRPr="006F4FA5">
                  <w:rPr>
                    <w:rStyle w:val="Hyperlink"/>
                    <w:noProof/>
                  </w:rPr>
                  <w:t>8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Összefoglalás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_Toc469042469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5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70" w:history="1">
                <w:r w:rsidR="00194F27" w:rsidRPr="006F4FA5">
                  <w:rPr>
                    <w:rStyle w:val="Hyperlink"/>
                    <w:noProof/>
                  </w:rPr>
                  <w:t>8.1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Következtetések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_Toc469042470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5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71" w:history="1">
                <w:r w:rsidR="00194F27" w:rsidRPr="006F4FA5">
                  <w:rPr>
                    <w:rStyle w:val="Hyperlink"/>
                    <w:noProof/>
                  </w:rPr>
                  <w:t>9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Irodalomjegyzék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_Toc469042471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6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453D85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72" w:history="1">
                <w:r w:rsidR="00194F27" w:rsidRPr="006F4FA5">
                  <w:rPr>
                    <w:rStyle w:val="Hyperlink"/>
                    <w:noProof/>
                  </w:rPr>
                  <w:t>10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Mellékletek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_Toc469042472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7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F219E7" w:rsidRPr="00A67C56" w:rsidRDefault="00F219E7" w:rsidP="00F219E7">
              <w:pPr>
                <w:rPr>
                  <w:lang w:val="hu-HU"/>
                </w:rPr>
              </w:pPr>
              <w:r w:rsidRPr="00A67C56">
                <w:rPr>
                  <w:lang w:val="hu-HU"/>
                </w:rPr>
                <w:fldChar w:fldCharType="end"/>
              </w:r>
            </w:p>
          </w:sdtContent>
        </w:sdt>
        <w:p w:rsidR="00F219E7" w:rsidRPr="00A67C56" w:rsidRDefault="00F219E7" w:rsidP="00194F27">
          <w:pPr>
            <w:pStyle w:val="TOCHeading"/>
            <w:rPr>
              <w:lang w:val="hu-HU"/>
            </w:rPr>
          </w:pPr>
          <w:r w:rsidRPr="00A67C56">
            <w:rPr>
              <w:lang w:val="hu-HU"/>
            </w:rPr>
            <w:t xml:space="preserve"> </w:t>
          </w:r>
        </w:p>
        <w:p w:rsidR="00194159" w:rsidRPr="00A67C56" w:rsidRDefault="00F219E7" w:rsidP="00194159">
          <w:pPr>
            <w:spacing w:line="259" w:lineRule="auto"/>
            <w:jc w:val="left"/>
            <w:rPr>
              <w:sz w:val="56"/>
              <w:lang w:val="hu-HU"/>
            </w:rPr>
          </w:pPr>
          <w:r w:rsidRPr="00A67C56">
            <w:rPr>
              <w:sz w:val="56"/>
              <w:lang w:val="hu-HU"/>
            </w:rPr>
            <w:br w:type="page"/>
          </w:r>
        </w:p>
        <w:p w:rsidR="00194159" w:rsidRPr="00A67C56" w:rsidRDefault="00194159" w:rsidP="00194159">
          <w:pPr>
            <w:tabs>
              <w:tab w:val="left" w:pos="3138"/>
            </w:tabs>
            <w:jc w:val="center"/>
            <w:rPr>
              <w:szCs w:val="24"/>
              <w:lang w:val="hu-HU"/>
            </w:rPr>
          </w:pPr>
          <w:r w:rsidRPr="00A67C56">
            <w:rPr>
              <w:lang w:val="hu-HU"/>
            </w:rPr>
            <w:lastRenderedPageBreak/>
            <w:t>Ábrajegyzék</w:t>
          </w:r>
        </w:p>
        <w:p w:rsidR="00194159" w:rsidRPr="00A67C56" w:rsidRDefault="00194159" w:rsidP="00194159">
          <w:pPr>
            <w:spacing w:line="259" w:lineRule="auto"/>
            <w:jc w:val="left"/>
            <w:rPr>
              <w:szCs w:val="24"/>
              <w:lang w:val="hu-HU"/>
            </w:rPr>
          </w:pPr>
        </w:p>
        <w:p w:rsidR="00194F27" w:rsidRDefault="00903F3D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sz w:val="56"/>
              <w:lang w:val="hu-HU"/>
            </w:rPr>
            <w:fldChar w:fldCharType="begin"/>
          </w:r>
          <w:r>
            <w:rPr>
              <w:sz w:val="56"/>
              <w:lang w:val="hu-HU"/>
            </w:rPr>
            <w:instrText xml:space="preserve"> TOC \h \z \c "Ábra" </w:instrText>
          </w:r>
          <w:r>
            <w:rPr>
              <w:sz w:val="56"/>
              <w:lang w:val="hu-HU"/>
            </w:rPr>
            <w:fldChar w:fldCharType="separate"/>
          </w:r>
          <w:hyperlink r:id="rId12" w:anchor="_Toc469042473" w:history="1">
            <w:r w:rsidR="00194F27" w:rsidRPr="005A0899">
              <w:rPr>
                <w:rStyle w:val="Hyperlink"/>
                <w:noProof/>
                <w:lang w:val="hu-HU"/>
              </w:rPr>
              <w:t>4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A Sapientia Erdély Magyar Tudomány Egyetem logója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_Toc469042473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3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194F27" w:rsidRDefault="00453D85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3" w:anchor="_Toc469042474" w:history="1">
            <w:r w:rsidR="00194F27" w:rsidRPr="005A0899">
              <w:rPr>
                <w:rStyle w:val="Hyperlink"/>
                <w:noProof/>
                <w:lang w:val="hu-HU"/>
              </w:rPr>
              <w:t>5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Hóval borított táj, melyen egy fehér ló száguld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_Toc469042474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3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194F27" w:rsidRDefault="00453D85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4" w:anchor="_Toc469042475" w:history="1">
            <w:r w:rsidR="00194F27" w:rsidRPr="005A0899">
              <w:rPr>
                <w:rStyle w:val="Hyperlink"/>
                <w:noProof/>
                <w:lang w:val="hu-HU"/>
              </w:rPr>
              <w:t>6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A robot pályája az akadályok mellett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_Toc469042475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4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194F27" w:rsidRDefault="00453D85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5" w:anchor="_Toc469042476" w:history="1">
            <w:r w:rsidR="00194F27" w:rsidRPr="005A0899">
              <w:rPr>
                <w:rStyle w:val="Hyperlink"/>
                <w:noProof/>
                <w:lang w:val="hu-HU"/>
              </w:rPr>
              <w:t>7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A felhasználó által érzékelt erők a robot pályája mentén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_Toc469042476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5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296403" w:rsidRPr="00A67C56" w:rsidRDefault="00903F3D" w:rsidP="0062739F">
          <w:pPr>
            <w:spacing w:line="259" w:lineRule="auto"/>
            <w:jc w:val="left"/>
            <w:rPr>
              <w:sz w:val="56"/>
              <w:lang w:val="hu-HU"/>
            </w:rPr>
            <w:sectPr w:rsidR="00296403" w:rsidRPr="00A67C56" w:rsidSect="00865D1B">
              <w:pgSz w:w="11907" w:h="16840" w:code="9"/>
              <w:pgMar w:top="1418" w:right="1418" w:bottom="1418" w:left="1701" w:header="709" w:footer="709" w:gutter="0"/>
              <w:pgNumType w:start="1"/>
              <w:cols w:space="720"/>
              <w:docGrid w:linePitch="360"/>
            </w:sectPr>
          </w:pPr>
          <w:r>
            <w:rPr>
              <w:sz w:val="56"/>
              <w:lang w:val="hu-HU"/>
            </w:rPr>
            <w:fldChar w:fldCharType="end"/>
          </w:r>
        </w:p>
        <w:p w:rsidR="0069188E" w:rsidRPr="00A67C56" w:rsidRDefault="00453D85" w:rsidP="0062739F">
          <w:pPr>
            <w:spacing w:line="259" w:lineRule="auto"/>
            <w:jc w:val="left"/>
            <w:rPr>
              <w:lang w:val="hu-HU"/>
            </w:rPr>
          </w:pPr>
        </w:p>
      </w:sdtContent>
    </w:sdt>
    <w:p w:rsidR="00935CAD" w:rsidRDefault="001A1DA7" w:rsidP="00194F27">
      <w:pPr>
        <w:pStyle w:val="Heading1"/>
      </w:pPr>
      <w:bookmarkStart w:id="0" w:name="_Toc469042456"/>
      <w:r w:rsidRPr="00A67C56">
        <w:t>Bevezető</w:t>
      </w:r>
      <w:bookmarkEnd w:id="0"/>
    </w:p>
    <w:p w:rsidR="008541F4" w:rsidRDefault="008541F4" w:rsidP="00194F27">
      <w:pPr>
        <w:pStyle w:val="Heading1"/>
      </w:pPr>
      <w:bookmarkStart w:id="1" w:name="_Toc469042460"/>
      <w:r w:rsidRPr="008541F4">
        <w:t>Irodalom áttekintés</w:t>
      </w:r>
      <w:bookmarkEnd w:id="1"/>
    </w:p>
    <w:p w:rsidR="008541F4" w:rsidRDefault="008541F4" w:rsidP="00194F27">
      <w:pPr>
        <w:pStyle w:val="Heading1"/>
      </w:pPr>
      <w:bookmarkStart w:id="2" w:name="_Toc469042461"/>
      <w:r w:rsidRPr="008541F4">
        <w:t>Célkitűzések</w:t>
      </w:r>
      <w:bookmarkEnd w:id="2"/>
    </w:p>
    <w:p w:rsidR="00CA4586" w:rsidRDefault="008541F4" w:rsidP="00CA4586">
      <w:pPr>
        <w:pStyle w:val="Heading1"/>
      </w:pPr>
      <w:bookmarkStart w:id="3" w:name="_Toc469042462"/>
      <w:r w:rsidRPr="008541F4">
        <w:t>Elméleti megalapozás</w:t>
      </w:r>
      <w:bookmarkEnd w:id="3"/>
    </w:p>
    <w:p w:rsidR="00143E99" w:rsidRDefault="00143E99" w:rsidP="00143E99">
      <w:pPr>
        <w:rPr>
          <w:lang w:val="hu-HU"/>
        </w:rPr>
      </w:pPr>
      <w:r>
        <w:rPr>
          <w:lang w:val="hu-HU"/>
        </w:rPr>
        <w:t>FZ</w:t>
      </w:r>
    </w:p>
    <w:p w:rsidR="00143E99" w:rsidRPr="00143E99" w:rsidRDefault="00143E99" w:rsidP="00143E99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f:X→Y</m:t>
          </m:r>
        </m:oMath>
      </m:oMathPara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ab/>
        <w:t>X i Y skupovi obelezja (podskupovi skupa U)</w:t>
      </w:r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ab/>
        <w:t>F je oznaka FZ</w:t>
      </w:r>
    </w:p>
    <w:p w:rsidR="00143E99" w:rsidRPr="00143E99" w:rsidRDefault="00143E99" w:rsidP="00143E99">
      <w:pPr>
        <w:rPr>
          <w:rFonts w:eastAsiaTheme="minorEastAsia"/>
          <w:lang w:val="hu-H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∀u,v∈r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(u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⇒u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=v[Y])</m:t>
          </m:r>
        </m:oMath>
      </m:oMathPara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ab/>
        <w:t>u i v su proizvoljne dve torke relacije r</w:t>
      </w:r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Trivijalna FZ</w:t>
      </w:r>
    </w:p>
    <w:p w:rsidR="00143E99" w:rsidRPr="00143E99" w:rsidRDefault="00143E99" w:rsidP="00143E99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X→Y, Y⊆X</m:t>
          </m:r>
        </m:oMath>
      </m:oMathPara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Logicka posledica</w:t>
      </w:r>
    </w:p>
    <w:p w:rsidR="00143E99" w:rsidRPr="00143E99" w:rsidRDefault="00143E99" w:rsidP="00143E9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r>
            <w:rPr>
              <w:rFonts w:ascii="Cambria Math" w:eastAsiaTheme="minorEastAsia" w:hAnsi="Cambria Math"/>
            </w:rPr>
            <m:t>⊨f</m:t>
          </m:r>
        </m:oMath>
      </m:oMathPara>
    </w:p>
    <w:p w:rsidR="00143E99" w:rsidRPr="00143E99" w:rsidRDefault="00143E99" w:rsidP="00143E9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(∀r∈SAT(U))(r⊨F⇒r⊨f)</m:t>
          </m:r>
        </m:oMath>
      </m:oMathPara>
    </w:p>
    <w:p w:rsidR="001B2370" w:rsidRDefault="001B2370" w:rsidP="00D67C29">
      <w:pPr>
        <w:rPr>
          <w:rFonts w:eastAsiaTheme="minorEastAsia"/>
        </w:rPr>
      </w:pPr>
      <w:r>
        <w:rPr>
          <w:rFonts w:eastAsiaTheme="minorEastAsia"/>
        </w:rPr>
        <w:t>Zatvarac skupa FZ</w:t>
      </w:r>
    </w:p>
    <w:p w:rsidR="001B2370" w:rsidRPr="001B2370" w:rsidRDefault="001B2370" w:rsidP="00D67C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 </m:t>
              </m:r>
            </m:e>
          </m:d>
          <m:r>
            <w:rPr>
              <w:rFonts w:ascii="Cambria Math" w:eastAsiaTheme="minorEastAsia" w:hAnsi="Cambria Math"/>
            </w:rPr>
            <m:t xml:space="preserve"> F⊨f}</m:t>
          </m:r>
        </m:oMath>
      </m:oMathPara>
    </w:p>
    <w:p w:rsidR="001B2370" w:rsidRDefault="001B2370" w:rsidP="00D67C29">
      <w:pPr>
        <w:rPr>
          <w:rFonts w:eastAsiaTheme="minorEastAsia"/>
        </w:rPr>
      </w:pPr>
      <w:r>
        <w:rPr>
          <w:rFonts w:eastAsiaTheme="minorEastAsia"/>
        </w:rPr>
        <w:t>Zatvarac skupa obelezja</w:t>
      </w:r>
    </w:p>
    <w:p w:rsidR="001B2370" w:rsidRPr="001B2370" w:rsidRDefault="001B2370" w:rsidP="00D67C2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X→A∈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}</m:t>
          </m:r>
        </m:oMath>
      </m:oMathPara>
    </w:p>
    <w:p w:rsidR="001B2370" w:rsidRPr="001B2370" w:rsidRDefault="001B2370" w:rsidP="00D67C29">
      <w:pPr>
        <w:rPr>
          <w:rFonts w:eastAsiaTheme="minorEastAsia"/>
        </w:rPr>
      </w:pPr>
      <w:bookmarkStart w:id="4" w:name="_GoBack"/>
      <w:bookmarkEnd w:id="4"/>
    </w:p>
    <w:p w:rsidR="00D67C29" w:rsidRPr="00D67C29" w:rsidRDefault="00D67C29" w:rsidP="00D67C29">
      <w:pPr>
        <w:rPr>
          <w:lang w:val="hu-HU"/>
        </w:rPr>
      </w:pPr>
      <w:r>
        <w:rPr>
          <w:lang w:val="hu-HU"/>
        </w:rPr>
        <w:t>2NF</w:t>
      </w:r>
    </w:p>
    <w:p w:rsidR="0038224D" w:rsidRPr="00D67C29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(∀A∈R</m:t>
          </m:r>
          <m:r>
            <w:rPr>
              <w:rFonts w:ascii="Cambria Math" w:hAnsi="Cambria Math"/>
            </w:rPr>
            <m:t>∖</m:t>
          </m:r>
          <m:r>
            <w:rPr>
              <w:rFonts w:ascii="Cambria Math" w:hAnsi="Cambria Math"/>
            </w:rPr>
            <m:t>Kpr</m:t>
          </m:r>
          <m:r>
            <w:rPr>
              <w:rFonts w:ascii="Cambria Math" w:hAnsi="Cambria Math"/>
              <w:lang w:val="hu-HU"/>
            </w:rPr>
            <m:t>)(∀X∈K)(∀Y⊂X)(F⊭Y→A)</m:t>
          </m:r>
        </m:oMath>
      </m:oMathPara>
    </w:p>
    <w:p w:rsidR="00D67C29" w:rsidRPr="00D67C29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w:lastRenderedPageBreak/>
            <m:t>Kpr=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hu-HU"/>
                </w:rPr>
                <m:t>K</m:t>
              </m:r>
            </m:sub>
            <m:sup/>
            <m:e>
              <m:r>
                <w:rPr>
                  <w:rFonts w:ascii="Cambria Math" w:hAnsi="Cambria Math"/>
                  <w:lang w:val="hu-HU"/>
                </w:rPr>
                <m:t>(K)</m:t>
              </m:r>
            </m:e>
          </m:nary>
        </m:oMath>
      </m:oMathPara>
    </w:p>
    <w:p w:rsidR="00D67C29" w:rsidRDefault="00D67C29" w:rsidP="0038224D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3NF</w:t>
      </w:r>
    </w:p>
    <w:p w:rsidR="00D67C29" w:rsidRPr="00D67C29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(∀A∈R</m:t>
          </m:r>
          <m:r>
            <w:rPr>
              <w:rFonts w:ascii="Cambria Math" w:hAnsi="Cambria Math"/>
              <w:lang w:val="hu-HU"/>
            </w:rPr>
            <m:t>∖</m:t>
          </m:r>
          <m:r>
            <w:rPr>
              <w:rFonts w:ascii="Cambria Math" w:hAnsi="Cambria Math"/>
              <w:lang w:val="hu-HU"/>
            </w:rPr>
            <m:t>Kpr)(∀X∈K)(∀Y⊆R</m:t>
          </m:r>
          <m:r>
            <m:rPr>
              <m:lit/>
            </m:rPr>
            <w:rPr>
              <w:rFonts w:ascii="Cambria Math" w:hAnsi="Cambria Math"/>
              <w:lang w:val="hu-HU"/>
            </w:rPr>
            <m:t>{</m:t>
          </m:r>
          <m:r>
            <w:rPr>
              <w:rFonts w:ascii="Cambria Math" w:hAnsi="Cambria Math"/>
              <w:lang w:val="hu-HU"/>
            </w:rPr>
            <m:t>A})(F⊨Y→A ⇒F⊨Y→X)</m:t>
          </m:r>
        </m:oMath>
      </m:oMathPara>
    </w:p>
    <w:p w:rsidR="00D67C29" w:rsidRPr="00D67C29" w:rsidRDefault="00D67C29" w:rsidP="00D67C29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Kpr=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hu-HU"/>
                </w:rPr>
                <m:t>K</m:t>
              </m:r>
            </m:sub>
            <m:sup/>
            <m:e>
              <m:r>
                <w:rPr>
                  <w:rFonts w:ascii="Cambria Math" w:hAnsi="Cambria Math"/>
                  <w:lang w:val="hu-HU"/>
                </w:rPr>
                <m:t>(K)</m:t>
              </m:r>
            </m:e>
          </m:nary>
        </m:oMath>
      </m:oMathPara>
    </w:p>
    <w:p w:rsidR="00D67C29" w:rsidRDefault="00D67C29" w:rsidP="00D67C2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ALT. 3NF</w:t>
      </w:r>
    </w:p>
    <w:p w:rsidR="00D67C29" w:rsidRPr="00D67C29" w:rsidRDefault="00D67C29" w:rsidP="00D67C29">
      <w:pPr>
        <w:rPr>
          <w:rFonts w:eastAsiaTheme="minorEastAsia"/>
          <w:lang w:val="hu-H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∀A∈</m:t>
              </m:r>
              <m:r>
                <w:rPr>
                  <w:rFonts w:ascii="Cambria Math" w:eastAsiaTheme="minorEastAsia" w:hAnsi="Cambria Math"/>
                  <w:lang w:val="hu-HU"/>
                </w:rPr>
                <m:t>R∖</m:t>
              </m:r>
              <m:r>
                <w:rPr>
                  <w:rFonts w:ascii="Cambria Math" w:eastAsiaTheme="minorEastAsia" w:hAnsi="Cambria Math"/>
                  <w:lang w:val="hu-HU"/>
                </w:rPr>
                <m:t>Kpr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(∀Y⊆R∖{A})(F⊨Y→A⇒(∃X∈K)(X⊆Y))</m:t>
          </m:r>
        </m:oMath>
      </m:oMathPara>
    </w:p>
    <w:p w:rsidR="00D67C29" w:rsidRDefault="00D67C29" w:rsidP="0038224D">
      <w:pPr>
        <w:rPr>
          <w:lang w:val="hu-HU"/>
        </w:rPr>
      </w:pPr>
      <w:r>
        <w:rPr>
          <w:lang w:val="hu-HU"/>
        </w:rPr>
        <w:t>BCNF</w:t>
      </w:r>
    </w:p>
    <w:p w:rsidR="00D67C29" w:rsidRPr="0038224D" w:rsidRDefault="00D67C29" w:rsidP="0038224D">
      <w:pPr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(∀A∈R)(∀Y⊆R</m:t>
          </m:r>
          <m:r>
            <m:rPr>
              <m:lit/>
            </m:rPr>
            <w:rPr>
              <w:rFonts w:ascii="Cambria Math" w:hAnsi="Cambria Math"/>
              <w:lang w:val="hu-HU"/>
            </w:rPr>
            <m:t>{</m:t>
          </m:r>
          <m:r>
            <w:rPr>
              <w:rFonts w:ascii="Cambria Math" w:hAnsi="Cambria Math"/>
              <w:lang w:val="hu-HU"/>
            </w:rPr>
            <m:t>A})(F⊨Y→A⇒(∃X∈K)(X⊆Y))</m:t>
          </m:r>
        </m:oMath>
      </m:oMathPara>
    </w:p>
    <w:p w:rsidR="006141A6" w:rsidRDefault="006141A6" w:rsidP="00194F27">
      <w:pPr>
        <w:pStyle w:val="Heading1"/>
      </w:pPr>
      <w:bookmarkStart w:id="5" w:name="_Toc469042465"/>
      <w:r w:rsidRPr="006141A6">
        <w:t>Gyakorlati megvalósítás</w:t>
      </w:r>
      <w:bookmarkEnd w:id="5"/>
    </w:p>
    <w:p w:rsidR="00C83916" w:rsidRPr="00C83916" w:rsidRDefault="00C83916" w:rsidP="00194F27">
      <w:pPr>
        <w:pStyle w:val="Heading1"/>
      </w:pPr>
      <w:bookmarkStart w:id="6" w:name="_Toc469042467"/>
      <w:r>
        <w:t>Eredmények</w:t>
      </w:r>
      <w:bookmarkEnd w:id="6"/>
    </w:p>
    <w:p w:rsidR="00C83916" w:rsidRDefault="00C83916" w:rsidP="00194F27">
      <w:pPr>
        <w:pStyle w:val="Heading1"/>
      </w:pPr>
      <w:bookmarkStart w:id="7" w:name="_Toc469042468"/>
      <w:r w:rsidRPr="006141A6">
        <w:t>Tárgyalás</w:t>
      </w:r>
      <w:bookmarkEnd w:id="7"/>
    </w:p>
    <w:p w:rsidR="006141A6" w:rsidRDefault="006141A6" w:rsidP="00194F27">
      <w:pPr>
        <w:pStyle w:val="Heading1"/>
      </w:pPr>
      <w:bookmarkStart w:id="8" w:name="_Toc469042469"/>
      <w:r w:rsidRPr="006141A6">
        <w:t>Összefoglalás</w:t>
      </w:r>
      <w:bookmarkEnd w:id="8"/>
      <w:r w:rsidRPr="006141A6">
        <w:t xml:space="preserve"> </w:t>
      </w:r>
    </w:p>
    <w:p w:rsidR="00C83916" w:rsidRDefault="00C83916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bookmarkStart w:id="9" w:name="_Toc469042471" w:displacedByCustomXml="next"/>
    <w:sdt>
      <w:sdtPr>
        <w:rPr>
          <w:rFonts w:eastAsiaTheme="minorHAnsi" w:cstheme="minorBidi"/>
          <w:b w:val="0"/>
          <w:sz w:val="24"/>
          <w:szCs w:val="22"/>
          <w:lang w:val="en-US"/>
        </w:rPr>
        <w:id w:val="1748072588"/>
        <w:docPartObj>
          <w:docPartGallery w:val="Bibliographies"/>
          <w:docPartUnique/>
        </w:docPartObj>
      </w:sdtPr>
      <w:sdtEndPr/>
      <w:sdtContent>
        <w:p w:rsidR="00CB53CA" w:rsidRPr="00A67C56" w:rsidRDefault="00CB53CA" w:rsidP="00194F27">
          <w:pPr>
            <w:pStyle w:val="Heading1"/>
          </w:pPr>
          <w:r w:rsidRPr="00A67C56">
            <w:t>Irodalomjegyzék</w:t>
          </w:r>
          <w:bookmarkEnd w:id="9"/>
        </w:p>
        <w:sdt>
          <w:sdtPr>
            <w:id w:val="111145805"/>
            <w:bibliography/>
          </w:sdtPr>
          <w:sdtEndPr/>
          <w:sdtContent>
            <w:p w:rsidR="00194F27" w:rsidRDefault="00CB53CA" w:rsidP="00194F27">
              <w:pPr>
                <w:pStyle w:val="Bibliography"/>
                <w:rPr>
                  <w:noProof/>
                  <w:szCs w:val="24"/>
                  <w:lang w:val="hu-HU"/>
                </w:rPr>
              </w:pPr>
              <w:r w:rsidRPr="00DB1D6A">
                <w:fldChar w:fldCharType="begin"/>
              </w:r>
              <w:r w:rsidRPr="00A67C56">
                <w:instrText xml:space="preserve"> BIBLIOGRAPHY </w:instrText>
              </w:r>
              <w:r w:rsidRPr="00DB1D6A">
                <w:fldChar w:fldCharType="separate"/>
              </w:r>
              <w:r w:rsidR="00194F27">
                <w:rPr>
                  <w:noProof/>
                  <w:lang w:val="hu-HU"/>
                </w:rPr>
                <w:t xml:space="preserve">Á., T., 2005. Road safety techniques in Hungary according to EU directives. </w:t>
              </w:r>
              <w:r w:rsidR="00194F27">
                <w:rPr>
                  <w:i/>
                  <w:iCs/>
                  <w:noProof/>
                  <w:lang w:val="hu-HU"/>
                </w:rPr>
                <w:t xml:space="preserve">MOSATT Proceedings on the Modern Safety Technologies in Transportation, </w:t>
              </w:r>
              <w:r w:rsidR="00194F27">
                <w:rPr>
                  <w:noProof/>
                  <w:lang w:val="hu-HU"/>
                </w:rPr>
                <w:t>pp. 410-413.</w:t>
              </w:r>
            </w:p>
            <w:p w:rsidR="00194F27" w:rsidRDefault="00194F27" w:rsidP="00194F27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Bokor Z., T. K., 2003. Social costs of transport and their general and mode specific characteristics. </w:t>
              </w:r>
              <w:r>
                <w:rPr>
                  <w:i/>
                  <w:iCs/>
                  <w:noProof/>
                  <w:lang w:val="hu-HU"/>
                </w:rPr>
                <w:t xml:space="preserve">Közlekedéstudományi Szemle, </w:t>
              </w:r>
              <w:r>
                <w:rPr>
                  <w:noProof/>
                  <w:lang w:val="hu-HU"/>
                </w:rPr>
                <w:t>58(8), pp. 281-291.</w:t>
              </w:r>
            </w:p>
            <w:p w:rsidR="00194F27" w:rsidRDefault="00194F27" w:rsidP="00194F27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István, M., 1988. </w:t>
              </w:r>
              <w:r>
                <w:rPr>
                  <w:i/>
                  <w:iCs/>
                  <w:noProof/>
                  <w:lang w:val="hu-HU"/>
                </w:rPr>
                <w:t xml:space="preserve">Középszintű iskoláink kronológiája és topográgfiája. </w:t>
              </w:r>
              <w:r>
                <w:rPr>
                  <w:noProof/>
                  <w:lang w:val="hu-HU"/>
                </w:rPr>
                <w:t>Budapest: Akadémiai Kiadó.</w:t>
              </w:r>
            </w:p>
            <w:p w:rsidR="00194F27" w:rsidRDefault="00194F27" w:rsidP="00194F27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László, K., 1998. </w:t>
              </w:r>
              <w:r>
                <w:rPr>
                  <w:i/>
                  <w:iCs/>
                  <w:noProof/>
                  <w:lang w:val="hu-HU"/>
                </w:rPr>
                <w:t xml:space="preserve">NIIFP hálózati multimédia pilot projekt.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https://www.sztaki.hu/</w:t>
              </w:r>
            </w:p>
            <w:p w:rsidR="00C52D6D" w:rsidRDefault="00194F27" w:rsidP="00194F27">
              <w:pPr>
                <w:pStyle w:val="Bibliography"/>
              </w:pPr>
              <w:r>
                <w:rPr>
                  <w:noProof/>
                  <w:lang w:val="hu-HU"/>
                </w:rPr>
                <w:t xml:space="preserve">Mihály, V., 2010. </w:t>
              </w:r>
              <w:r>
                <w:rPr>
                  <w:i/>
                  <w:iCs/>
                  <w:noProof/>
                  <w:lang w:val="hu-HU"/>
                </w:rPr>
                <w:t xml:space="preserve">Az időjárás-előrejelzés. </w:t>
              </w:r>
              <w:r>
                <w:rPr>
                  <w:noProof/>
                  <w:lang w:val="hu-HU"/>
                </w:rPr>
                <w:t>Budapest: Akadémiai Kiadó.</w:t>
              </w:r>
              <w:r w:rsidR="00CB53CA" w:rsidRPr="00DB1D6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A26AC" w:rsidRPr="00BE7339" w:rsidRDefault="00EA26AC" w:rsidP="00BE7339">
      <w:pPr>
        <w:spacing w:line="259" w:lineRule="auto"/>
        <w:jc w:val="left"/>
      </w:pPr>
    </w:p>
    <w:sectPr w:rsidR="00EA26AC" w:rsidRPr="00BE7339" w:rsidSect="00865D1B">
      <w:footerReference w:type="default" r:id="rId16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641" w:rsidRDefault="00202641" w:rsidP="00F219E7">
      <w:pPr>
        <w:spacing w:after="0" w:line="240" w:lineRule="auto"/>
      </w:pPr>
      <w:r>
        <w:separator/>
      </w:r>
    </w:p>
  </w:endnote>
  <w:endnote w:type="continuationSeparator" w:id="0">
    <w:p w:rsidR="00202641" w:rsidRDefault="00202641" w:rsidP="00F2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698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F3D" w:rsidRDefault="00903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3F3D" w:rsidRDefault="00903F3D" w:rsidP="00865D1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3D" w:rsidRPr="00792A58" w:rsidRDefault="00BE7339" w:rsidP="00792A58">
    <w:pPr>
      <w:pStyle w:val="Footer"/>
      <w:jc w:val="center"/>
      <w:rPr>
        <w:lang w:val="hu-HU"/>
      </w:rPr>
    </w:pPr>
    <w:r>
      <w:rPr>
        <w:lang w:val="hu-HU"/>
      </w:rPr>
      <w:t>Temesvár,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3D" w:rsidRDefault="00903F3D" w:rsidP="00865D1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64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F3D" w:rsidRDefault="00903F3D" w:rsidP="006E4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8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641" w:rsidRDefault="00202641" w:rsidP="00F219E7">
      <w:pPr>
        <w:spacing w:after="0" w:line="240" w:lineRule="auto"/>
      </w:pPr>
      <w:r>
        <w:separator/>
      </w:r>
    </w:p>
  </w:footnote>
  <w:footnote w:type="continuationSeparator" w:id="0">
    <w:p w:rsidR="00202641" w:rsidRDefault="00202641" w:rsidP="00F2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AC1"/>
    <w:multiLevelType w:val="hybridMultilevel"/>
    <w:tmpl w:val="8D7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8CAA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89E"/>
    <w:multiLevelType w:val="multilevel"/>
    <w:tmpl w:val="9D6831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E1C92"/>
    <w:multiLevelType w:val="hybridMultilevel"/>
    <w:tmpl w:val="CA5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3E6"/>
    <w:multiLevelType w:val="hybridMultilevel"/>
    <w:tmpl w:val="C794FDF2"/>
    <w:lvl w:ilvl="0" w:tplc="CB3A0F30">
      <w:start w:val="1"/>
      <w:numFmt w:val="decimal"/>
      <w:pStyle w:val="Irodalom"/>
      <w:lvlText w:val="[%1]"/>
      <w:lvlJc w:val="left"/>
      <w:pPr>
        <w:ind w:left="8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3BF61B2"/>
    <w:multiLevelType w:val="hybridMultilevel"/>
    <w:tmpl w:val="62C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2AE"/>
    <w:multiLevelType w:val="hybridMultilevel"/>
    <w:tmpl w:val="A77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D4CC6"/>
    <w:multiLevelType w:val="hybridMultilevel"/>
    <w:tmpl w:val="27D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42E2F"/>
    <w:multiLevelType w:val="hybridMultilevel"/>
    <w:tmpl w:val="FC7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12718"/>
    <w:multiLevelType w:val="multilevel"/>
    <w:tmpl w:val="7DF21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8B2741"/>
    <w:multiLevelType w:val="hybridMultilevel"/>
    <w:tmpl w:val="FC5A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14A63"/>
    <w:multiLevelType w:val="hybridMultilevel"/>
    <w:tmpl w:val="0D0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21AD9"/>
    <w:multiLevelType w:val="hybridMultilevel"/>
    <w:tmpl w:val="75B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64581"/>
    <w:multiLevelType w:val="hybridMultilevel"/>
    <w:tmpl w:val="4A1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323"/>
    <w:multiLevelType w:val="multilevel"/>
    <w:tmpl w:val="E73A2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C1055B"/>
    <w:multiLevelType w:val="hybridMultilevel"/>
    <w:tmpl w:val="38268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96"/>
    <w:rsid w:val="000001EE"/>
    <w:rsid w:val="00026EA1"/>
    <w:rsid w:val="00030759"/>
    <w:rsid w:val="00036B9A"/>
    <w:rsid w:val="0004787F"/>
    <w:rsid w:val="000600E8"/>
    <w:rsid w:val="000A6574"/>
    <w:rsid w:val="000A7B83"/>
    <w:rsid w:val="000B1F78"/>
    <w:rsid w:val="000B4238"/>
    <w:rsid w:val="000C573D"/>
    <w:rsid w:val="000D66DA"/>
    <w:rsid w:val="000D7B30"/>
    <w:rsid w:val="000F03EF"/>
    <w:rsid w:val="000F73F8"/>
    <w:rsid w:val="00100D54"/>
    <w:rsid w:val="001023E4"/>
    <w:rsid w:val="00140E87"/>
    <w:rsid w:val="00143E99"/>
    <w:rsid w:val="0016010F"/>
    <w:rsid w:val="00164B6C"/>
    <w:rsid w:val="0016735D"/>
    <w:rsid w:val="0018729D"/>
    <w:rsid w:val="00194159"/>
    <w:rsid w:val="00194F27"/>
    <w:rsid w:val="001A1DA7"/>
    <w:rsid w:val="001B2370"/>
    <w:rsid w:val="001B588F"/>
    <w:rsid w:val="001D35A9"/>
    <w:rsid w:val="00202641"/>
    <w:rsid w:val="0020602D"/>
    <w:rsid w:val="002202E2"/>
    <w:rsid w:val="0022646D"/>
    <w:rsid w:val="002543AB"/>
    <w:rsid w:val="00282147"/>
    <w:rsid w:val="00283F40"/>
    <w:rsid w:val="00291DF7"/>
    <w:rsid w:val="00296403"/>
    <w:rsid w:val="002C1DB5"/>
    <w:rsid w:val="002C561B"/>
    <w:rsid w:val="002C5A5D"/>
    <w:rsid w:val="002E06AA"/>
    <w:rsid w:val="00311329"/>
    <w:rsid w:val="00317112"/>
    <w:rsid w:val="00324D58"/>
    <w:rsid w:val="0033021D"/>
    <w:rsid w:val="0033497A"/>
    <w:rsid w:val="00340CA7"/>
    <w:rsid w:val="0035176F"/>
    <w:rsid w:val="00375FB9"/>
    <w:rsid w:val="0038224D"/>
    <w:rsid w:val="003A3F84"/>
    <w:rsid w:val="003B713D"/>
    <w:rsid w:val="003C0FCB"/>
    <w:rsid w:val="003C3D13"/>
    <w:rsid w:val="003C3F46"/>
    <w:rsid w:val="00427570"/>
    <w:rsid w:val="00427E1E"/>
    <w:rsid w:val="0043063C"/>
    <w:rsid w:val="00430D73"/>
    <w:rsid w:val="00432021"/>
    <w:rsid w:val="00434DBE"/>
    <w:rsid w:val="00437DBB"/>
    <w:rsid w:val="004518BF"/>
    <w:rsid w:val="00453D85"/>
    <w:rsid w:val="00483B3F"/>
    <w:rsid w:val="004910DE"/>
    <w:rsid w:val="004933D3"/>
    <w:rsid w:val="004979F7"/>
    <w:rsid w:val="004A0A78"/>
    <w:rsid w:val="004A500F"/>
    <w:rsid w:val="004B364B"/>
    <w:rsid w:val="004C28C9"/>
    <w:rsid w:val="004C63FC"/>
    <w:rsid w:val="004D0098"/>
    <w:rsid w:val="005043F2"/>
    <w:rsid w:val="00504BA0"/>
    <w:rsid w:val="00524D28"/>
    <w:rsid w:val="00524F84"/>
    <w:rsid w:val="0054400B"/>
    <w:rsid w:val="0055245D"/>
    <w:rsid w:val="005563A3"/>
    <w:rsid w:val="00582636"/>
    <w:rsid w:val="00586DF6"/>
    <w:rsid w:val="00596E5A"/>
    <w:rsid w:val="005B6ADC"/>
    <w:rsid w:val="005E1E0E"/>
    <w:rsid w:val="005F2CB7"/>
    <w:rsid w:val="00600C2C"/>
    <w:rsid w:val="006141A6"/>
    <w:rsid w:val="0062739F"/>
    <w:rsid w:val="00652183"/>
    <w:rsid w:val="00655D29"/>
    <w:rsid w:val="00664ED8"/>
    <w:rsid w:val="006657C7"/>
    <w:rsid w:val="00666351"/>
    <w:rsid w:val="00684621"/>
    <w:rsid w:val="0069188E"/>
    <w:rsid w:val="00691BD7"/>
    <w:rsid w:val="006931EC"/>
    <w:rsid w:val="00695C95"/>
    <w:rsid w:val="00697694"/>
    <w:rsid w:val="006A3CAC"/>
    <w:rsid w:val="006D675E"/>
    <w:rsid w:val="006D7B9A"/>
    <w:rsid w:val="006E486A"/>
    <w:rsid w:val="006E4DF2"/>
    <w:rsid w:val="006E7045"/>
    <w:rsid w:val="006F409A"/>
    <w:rsid w:val="00703650"/>
    <w:rsid w:val="00731147"/>
    <w:rsid w:val="00756D39"/>
    <w:rsid w:val="00773558"/>
    <w:rsid w:val="00783131"/>
    <w:rsid w:val="007902AC"/>
    <w:rsid w:val="00792A58"/>
    <w:rsid w:val="00793B26"/>
    <w:rsid w:val="00795DD2"/>
    <w:rsid w:val="007B3896"/>
    <w:rsid w:val="007F6C32"/>
    <w:rsid w:val="008016E5"/>
    <w:rsid w:val="008044F1"/>
    <w:rsid w:val="008056C2"/>
    <w:rsid w:val="0082143D"/>
    <w:rsid w:val="00824684"/>
    <w:rsid w:val="00824EFD"/>
    <w:rsid w:val="00827EA3"/>
    <w:rsid w:val="008305DB"/>
    <w:rsid w:val="008541F4"/>
    <w:rsid w:val="00855936"/>
    <w:rsid w:val="00865D1B"/>
    <w:rsid w:val="00880B42"/>
    <w:rsid w:val="008857B6"/>
    <w:rsid w:val="008937EE"/>
    <w:rsid w:val="00896006"/>
    <w:rsid w:val="008A228D"/>
    <w:rsid w:val="008A53B3"/>
    <w:rsid w:val="008A59BF"/>
    <w:rsid w:val="008B21C3"/>
    <w:rsid w:val="008C45C8"/>
    <w:rsid w:val="00903F3D"/>
    <w:rsid w:val="009169A5"/>
    <w:rsid w:val="00935CAD"/>
    <w:rsid w:val="00951623"/>
    <w:rsid w:val="00970F09"/>
    <w:rsid w:val="00986811"/>
    <w:rsid w:val="00987230"/>
    <w:rsid w:val="00990601"/>
    <w:rsid w:val="00991C00"/>
    <w:rsid w:val="00996764"/>
    <w:rsid w:val="009A295D"/>
    <w:rsid w:val="009A44F5"/>
    <w:rsid w:val="009B255C"/>
    <w:rsid w:val="009C058D"/>
    <w:rsid w:val="009C2389"/>
    <w:rsid w:val="009C275F"/>
    <w:rsid w:val="009D6F9A"/>
    <w:rsid w:val="009E70DF"/>
    <w:rsid w:val="009F2D0A"/>
    <w:rsid w:val="00A251A1"/>
    <w:rsid w:val="00A42AF8"/>
    <w:rsid w:val="00A42E8B"/>
    <w:rsid w:val="00A56B72"/>
    <w:rsid w:val="00A65C98"/>
    <w:rsid w:val="00A67A21"/>
    <w:rsid w:val="00A67C56"/>
    <w:rsid w:val="00A73DED"/>
    <w:rsid w:val="00A740CD"/>
    <w:rsid w:val="00A75636"/>
    <w:rsid w:val="00A835C3"/>
    <w:rsid w:val="00A931F7"/>
    <w:rsid w:val="00AA705F"/>
    <w:rsid w:val="00AB44C7"/>
    <w:rsid w:val="00AD062B"/>
    <w:rsid w:val="00AD53EA"/>
    <w:rsid w:val="00AD5DB6"/>
    <w:rsid w:val="00AE33EB"/>
    <w:rsid w:val="00AF2BA3"/>
    <w:rsid w:val="00B01DB4"/>
    <w:rsid w:val="00B227C8"/>
    <w:rsid w:val="00B26BE6"/>
    <w:rsid w:val="00B27E18"/>
    <w:rsid w:val="00B314EF"/>
    <w:rsid w:val="00B40F4B"/>
    <w:rsid w:val="00B556CF"/>
    <w:rsid w:val="00B62ABA"/>
    <w:rsid w:val="00B67752"/>
    <w:rsid w:val="00B81991"/>
    <w:rsid w:val="00B90AC2"/>
    <w:rsid w:val="00BA6252"/>
    <w:rsid w:val="00BA68B3"/>
    <w:rsid w:val="00BB13C6"/>
    <w:rsid w:val="00BC025A"/>
    <w:rsid w:val="00BE7339"/>
    <w:rsid w:val="00BF0A61"/>
    <w:rsid w:val="00BF40D6"/>
    <w:rsid w:val="00C25F8B"/>
    <w:rsid w:val="00C333D6"/>
    <w:rsid w:val="00C420FA"/>
    <w:rsid w:val="00C52D6D"/>
    <w:rsid w:val="00C5369D"/>
    <w:rsid w:val="00C61142"/>
    <w:rsid w:val="00C63DC6"/>
    <w:rsid w:val="00C83916"/>
    <w:rsid w:val="00C9048A"/>
    <w:rsid w:val="00CA4586"/>
    <w:rsid w:val="00CB2EA0"/>
    <w:rsid w:val="00CB53CA"/>
    <w:rsid w:val="00CB7F68"/>
    <w:rsid w:val="00CD2ED3"/>
    <w:rsid w:val="00CE18B3"/>
    <w:rsid w:val="00CF1117"/>
    <w:rsid w:val="00D01244"/>
    <w:rsid w:val="00D04E23"/>
    <w:rsid w:val="00D60903"/>
    <w:rsid w:val="00D6721C"/>
    <w:rsid w:val="00D67C29"/>
    <w:rsid w:val="00D7400D"/>
    <w:rsid w:val="00D766A4"/>
    <w:rsid w:val="00DA11ED"/>
    <w:rsid w:val="00DA1FDE"/>
    <w:rsid w:val="00DA79DC"/>
    <w:rsid w:val="00DB1D6A"/>
    <w:rsid w:val="00DD1D71"/>
    <w:rsid w:val="00DE4A19"/>
    <w:rsid w:val="00E01029"/>
    <w:rsid w:val="00E04412"/>
    <w:rsid w:val="00E077D6"/>
    <w:rsid w:val="00E10497"/>
    <w:rsid w:val="00E11F30"/>
    <w:rsid w:val="00E21775"/>
    <w:rsid w:val="00E301CF"/>
    <w:rsid w:val="00E4182E"/>
    <w:rsid w:val="00E509E5"/>
    <w:rsid w:val="00E76EDD"/>
    <w:rsid w:val="00E76F08"/>
    <w:rsid w:val="00E83793"/>
    <w:rsid w:val="00E85A0B"/>
    <w:rsid w:val="00EA0E1C"/>
    <w:rsid w:val="00EA2424"/>
    <w:rsid w:val="00EA26AC"/>
    <w:rsid w:val="00EA62D7"/>
    <w:rsid w:val="00EB7454"/>
    <w:rsid w:val="00ED709A"/>
    <w:rsid w:val="00EF1F7D"/>
    <w:rsid w:val="00F00FFD"/>
    <w:rsid w:val="00F01F4E"/>
    <w:rsid w:val="00F073EB"/>
    <w:rsid w:val="00F10865"/>
    <w:rsid w:val="00F219E7"/>
    <w:rsid w:val="00F26160"/>
    <w:rsid w:val="00F54E8B"/>
    <w:rsid w:val="00F55968"/>
    <w:rsid w:val="00F77769"/>
    <w:rsid w:val="00F81208"/>
    <w:rsid w:val="00F84638"/>
    <w:rsid w:val="00F875E4"/>
    <w:rsid w:val="00F94F8B"/>
    <w:rsid w:val="00F974C0"/>
    <w:rsid w:val="00FA4354"/>
    <w:rsid w:val="00FB3E5C"/>
    <w:rsid w:val="00FC5F4C"/>
    <w:rsid w:val="00FC63D0"/>
    <w:rsid w:val="00FC6712"/>
    <w:rsid w:val="00FD3DCD"/>
    <w:rsid w:val="00FD5856"/>
    <w:rsid w:val="00FE27C6"/>
    <w:rsid w:val="00FF0F62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903C1D"/>
  <w15:chartTrackingRefBased/>
  <w15:docId w15:val="{00AF20B3-622C-43A7-A76D-DB05CC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8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F27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hu-H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26EA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26EA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974C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974C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F974C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F974C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F974C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4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6918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18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F27"/>
    <w:rPr>
      <w:rFonts w:ascii="Times New Roman" w:eastAsiaTheme="majorEastAsia" w:hAnsi="Times New Roman" w:cstheme="majorBidi"/>
      <w:b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26EA1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26EA1"/>
    <w:rPr>
      <w:rFonts w:ascii="Times New Roman" w:eastAsiaTheme="majorEastAsia" w:hAnsi="Times New Roman" w:cstheme="majorBidi"/>
      <w:b/>
      <w:sz w:val="24"/>
      <w:szCs w:val="32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F219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19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19E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19E7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E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F219E7"/>
    <w:pPr>
      <w:ind w:left="720"/>
      <w:contextualSpacing/>
    </w:pPr>
  </w:style>
  <w:style w:type="table" w:styleId="TableGrid">
    <w:name w:val="Table Grid"/>
    <w:basedOn w:val="TableNormal"/>
    <w:uiPriority w:val="59"/>
    <w:rsid w:val="00F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B53CA"/>
  </w:style>
  <w:style w:type="character" w:styleId="PlaceholderText">
    <w:name w:val="Placeholder Text"/>
    <w:basedOn w:val="DefaultParagraphFont"/>
    <w:uiPriority w:val="99"/>
    <w:semiHidden/>
    <w:rsid w:val="00FC5F4C"/>
    <w:rPr>
      <w:color w:val="808080"/>
    </w:rPr>
  </w:style>
  <w:style w:type="paragraph" w:styleId="Caption">
    <w:name w:val="caption"/>
    <w:basedOn w:val="Normal"/>
    <w:next w:val="Normal"/>
    <w:unhideWhenUsed/>
    <w:qFormat/>
    <w:rsid w:val="009F2D0A"/>
    <w:pPr>
      <w:spacing w:before="120" w:after="240" w:line="240" w:lineRule="auto"/>
      <w:jc w:val="center"/>
    </w:pPr>
    <w:rPr>
      <w:b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4159"/>
    <w:pPr>
      <w:spacing w:after="0"/>
    </w:pPr>
  </w:style>
  <w:style w:type="paragraph" w:customStyle="1" w:styleId="Fig">
    <w:name w:val="Fig"/>
    <w:basedOn w:val="Caption"/>
    <w:rsid w:val="002C561B"/>
    <w:pPr>
      <w:suppressLineNumbers/>
      <w:suppressAutoHyphens/>
      <w:spacing w:after="120"/>
    </w:pPr>
    <w:rPr>
      <w:rFonts w:eastAsia="Times New Roman" w:cs="Mangal"/>
      <w:noProof/>
      <w:sz w:val="24"/>
      <w:szCs w:val="24"/>
      <w:lang w:val="ro-RO" w:eastAsia="ar-SA"/>
    </w:rPr>
  </w:style>
  <w:style w:type="table" w:customStyle="1" w:styleId="TableGrid1">
    <w:name w:val="Table Grid1"/>
    <w:basedOn w:val="TableNormal"/>
    <w:next w:val="TableGrid"/>
    <w:uiPriority w:val="39"/>
    <w:rsid w:val="002C5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D2ED3"/>
    <w:pPr>
      <w:spacing w:after="100"/>
      <w:ind w:left="960"/>
    </w:pPr>
  </w:style>
  <w:style w:type="paragraph" w:styleId="PlainText">
    <w:name w:val="Plain Text"/>
    <w:basedOn w:val="Normal"/>
    <w:link w:val="PlainTextChar"/>
    <w:uiPriority w:val="99"/>
    <w:unhideWhenUsed/>
    <w:rsid w:val="006846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6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9"/>
    <w:rPr>
      <w:rFonts w:ascii="Segoe UI" w:hAnsi="Segoe UI" w:cs="Segoe UI"/>
      <w:sz w:val="18"/>
      <w:szCs w:val="18"/>
    </w:rPr>
  </w:style>
  <w:style w:type="paragraph" w:customStyle="1" w:styleId="Irodalom">
    <w:name w:val="Irodalom"/>
    <w:basedOn w:val="Normal"/>
    <w:link w:val="IrodalomChar"/>
    <w:rsid w:val="00D766A4"/>
    <w:pPr>
      <w:numPr>
        <w:numId w:val="13"/>
      </w:numPr>
      <w:tabs>
        <w:tab w:val="left" w:pos="425"/>
        <w:tab w:val="left" w:pos="7088"/>
      </w:tabs>
      <w:spacing w:before="120" w:after="120" w:line="276" w:lineRule="auto"/>
      <w:ind w:left="0" w:firstLine="57"/>
    </w:pPr>
    <w:rPr>
      <w:rFonts w:eastAsia="Times New Roman" w:cs="Times New Roman"/>
      <w:b/>
      <w:szCs w:val="24"/>
      <w:lang w:val="hu-HU"/>
    </w:rPr>
  </w:style>
  <w:style w:type="character" w:customStyle="1" w:styleId="IrodalomChar">
    <w:name w:val="Irodalom Char"/>
    <w:basedOn w:val="DefaultParagraphFont"/>
    <w:link w:val="Irodalom"/>
    <w:rsid w:val="00D766A4"/>
    <w:rPr>
      <w:rFonts w:ascii="Times New Roman" w:eastAsia="Times New Roman" w:hAnsi="Times New Roman" w:cs="Times New Roman"/>
      <w:b/>
      <w:sz w:val="24"/>
      <w:szCs w:val="24"/>
      <w:lang w:val="hu-HU"/>
    </w:rPr>
  </w:style>
  <w:style w:type="paragraph" w:customStyle="1" w:styleId="Algorithm">
    <w:name w:val="Algorithm"/>
    <w:basedOn w:val="Normal"/>
    <w:qFormat/>
    <w:rsid w:val="004910DE"/>
    <w:pPr>
      <w:shd w:val="clear" w:color="auto" w:fill="E7E6E6" w:themeFill="background2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</w:pPr>
    <w:rPr>
      <w:rFonts w:ascii="Consolas" w:eastAsia="Times New Roman" w:hAnsi="Consolas" w:cs="Times New Roman"/>
      <w:sz w:val="20"/>
      <w:szCs w:val="24"/>
      <w:lang w:val="hu-HU"/>
    </w:rPr>
  </w:style>
  <w:style w:type="character" w:styleId="Emphasis">
    <w:name w:val="Emphasis"/>
    <w:rsid w:val="00A740CD"/>
    <w:rPr>
      <w:i/>
      <w:iCs/>
    </w:rPr>
  </w:style>
  <w:style w:type="character" w:styleId="Strong">
    <w:name w:val="Strong"/>
    <w:rsid w:val="00A74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Kelemen%20Kalman\Desktop\minta-dolgozat.doc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Kelemen%20Kalman\Desktop\minta-dolgozat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Kelemen%20Kalman\Desktop\minta-dolgozat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Kelemen%20Kalman\Desktop\minta-dolgozat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3C"/>
    <w:rsid w:val="00D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4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Meszaros</b:Tag>
    <b:SourceType>Book</b:SourceType>
    <b:Guid>{3F0A077E-5414-46D2-AA0A-5CBB60D12EB3}</b:Guid>
    <b:Author>
      <b:Author>
        <b:NameList>
          <b:Person>
            <b:Last>István</b:Last>
            <b:First>Mészáros</b:First>
          </b:Person>
        </b:NameList>
      </b:Author>
    </b:Author>
    <b:Title>Középszintű iskoláink kronológiája és topográgfiája</b:Title>
    <b:Year>1988</b:Year>
    <b:City>Budapest</b:City>
    <b:Publisher>Akadémiai Kiadó</b:Publisher>
    <b:Pages>996-1948</b:Pages>
    <b:LCID>hu-HU</b:LCID>
    <b:RefOrder>2</b:RefOrder>
  </b:Source>
  <b:Source>
    <b:Tag>Varga</b:Tag>
    <b:SourceType>Book</b:SourceType>
    <b:Guid>{6655483D-2E94-4842-960E-0BFD70539A70}</b:Guid>
    <b:Author>
      <b:Author>
        <b:NameList>
          <b:Person>
            <b:Last>Mihály</b:Last>
            <b:First>Varga</b:First>
          </b:Person>
        </b:NameList>
      </b:Author>
    </b:Author>
    <b:Title>Az időjárás-előrejelzés</b:Title>
    <b:Year>2010</b:Year>
    <b:City>Budapest</b:City>
    <b:Publisher>Akadémiai Kiadó</b:Publisher>
    <b:LCID>hu-HU</b:LCID>
    <b:Pages>132-156</b:Pages>
    <b:RefOrder>4</b:RefOrder>
  </b:Source>
  <b:Source>
    <b:Tag>Bok031</b:Tag>
    <b:SourceType>JournalArticle</b:SourceType>
    <b:Guid>{858B2D9C-0FA9-40C0-A617-3C4FF4830116}</b:Guid>
    <b:Author>
      <b:Author>
        <b:NameList>
          <b:Person>
            <b:Last>Bokor Z.</b:Last>
            <b:First>Tánczos</b:First>
            <b:Middle>K.</b:Middle>
          </b:Person>
        </b:NameList>
      </b:Author>
    </b:Author>
    <b:Title>Social costs of transport and their general and mode specific characteristics</b:Title>
    <b:Year>2003</b:Year>
    <b:Pages>281-291</b:Pages>
    <b:JournalName>Közlekedéstudományi Szemle</b:JournalName>
    <b:Volume>58</b:Volume>
    <b:Issue>8</b:Issue>
    <b:RefOrder>1</b:RefOrder>
  </b:Source>
  <b:Source>
    <b:Tag>Tör05</b:Tag>
    <b:SourceType>JournalArticle</b:SourceType>
    <b:Guid>{1108F407-216C-4BC5-8164-08B40C04DA86}</b:Guid>
    <b:Author>
      <b:Author>
        <b:NameList>
          <b:Person>
            <b:Last>Á.</b:Last>
            <b:First>Török</b:First>
          </b:Person>
        </b:NameList>
      </b:Author>
    </b:Author>
    <b:Title>Road safety techniques in Hungary according to EU directives</b:Title>
    <b:JournalName>MOSATT Proceedings on the Modern Safety Technologies in Transportation</b:JournalName>
    <b:Year>2005</b:Year>
    <b:Pages>410-413</b:Pages>
    <b:RefOrder>5</b:RefOrder>
  </b:Source>
  <b:Source>
    <b:Tag>Lás98</b:Tag>
    <b:SourceType>DocumentFromInternetSite</b:SourceType>
    <b:Guid>{BC64F3EA-6E30-41BC-AD8E-D361EE215577}</b:Guid>
    <b:Title>NIIFP hálózati multimédia pilot projekt</b:Title>
    <b:Year>1998</b:Year>
    <b:Author>
      <b:Author>
        <b:NameList>
          <b:Person>
            <b:Last>László</b:Last>
            <b:First>Kovács</b:First>
          </b:Person>
        </b:NameList>
      </b:Author>
    </b:Author>
    <b:City>Budapest</b:City>
    <b:Publisher>Sztaki</b:Publisher>
    <b:URL>https://www.sztaki.hu/</b:URL>
    <b:DayAccessed>December 12, 2016</b:DayAccessed>
    <b:RefOrder>3</b:RefOrder>
  </b:Source>
</b:Sources>
</file>

<file path=customXml/itemProps1.xml><?xml version="1.0" encoding="utf-8"?>
<ds:datastoreItem xmlns:ds="http://schemas.openxmlformats.org/officeDocument/2006/customXml" ds:itemID="{CE89305C-0301-4DA0-B7E4-CBFD5542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Kalman</dc:creator>
  <cp:keywords/>
  <dc:description/>
  <cp:lastModifiedBy>Gergo</cp:lastModifiedBy>
  <cp:revision>6</cp:revision>
  <cp:lastPrinted>2016-12-10T04:34:00Z</cp:lastPrinted>
  <dcterms:created xsi:type="dcterms:W3CDTF">2016-12-10T04:32:00Z</dcterms:created>
  <dcterms:modified xsi:type="dcterms:W3CDTF">2022-03-28T14:45:00Z</dcterms:modified>
</cp:coreProperties>
</file>