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Version 0.</w:t>
      </w:r>
      <w:r w:rsidR="00A6577F">
        <w:t>9</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CF73B4">
        <w:t>7</w:t>
      </w:r>
      <w:r w:rsidR="005C4103">
        <w:t xml:space="preserve">. </w:t>
      </w:r>
      <w:r w:rsidR="00CF73B4">
        <w:t>March</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0A0F88">
      <w:pPr>
        <w:pStyle w:val="TJ1"/>
        <w:rPr>
          <w:rFonts w:asciiTheme="minorHAnsi" w:eastAsiaTheme="minorEastAsia" w:hAnsiTheme="minorHAnsi" w:cstheme="minorBidi"/>
          <w:b w:val="0"/>
          <w:noProof/>
          <w:sz w:val="22"/>
          <w:szCs w:val="22"/>
        </w:rPr>
      </w:pPr>
      <w:r w:rsidRPr="000A0F88">
        <w:fldChar w:fldCharType="begin"/>
      </w:r>
      <w:r w:rsidR="005C4103">
        <w:instrText xml:space="preserve"> TOC \o "1-2" \h</w:instrText>
      </w:r>
      <w:r w:rsidRPr="000A0F88">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D77BEA">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D77BEA">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D77BEA">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D77BEA">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D77BEA">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D77BEA">
          <w:rPr>
            <w:noProof/>
          </w:rPr>
          <w:t>2</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D77BEA">
          <w:rPr>
            <w:noProof/>
          </w:rPr>
          <w:t>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D77BEA">
          <w:rPr>
            <w:noProof/>
          </w:rPr>
          <w:t>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D77BEA">
          <w:rPr>
            <w:noProof/>
          </w:rPr>
          <w:t>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D77BEA">
          <w:rPr>
            <w:noProof/>
          </w:rPr>
          <w:t>3</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D77BEA">
          <w:rPr>
            <w:noProof/>
          </w:rPr>
          <w:t>3</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D77BEA">
          <w:rPr>
            <w:noProof/>
          </w:rPr>
          <w:t>4</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D77BEA">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D77BEA">
          <w:rPr>
            <w:noProof/>
          </w:rPr>
          <w:t>5</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D77BEA">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D77BEA">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D77BEA">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D77BEA">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D77BEA">
          <w:rPr>
            <w:noProof/>
          </w:rPr>
          <w:t>7</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D77BEA">
          <w:rPr>
            <w:noProof/>
          </w:rPr>
          <w:t>8</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D77BEA">
          <w:rPr>
            <w:noProof/>
          </w:rPr>
          <w:t>8</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D77BEA">
          <w:rPr>
            <w:noProof/>
          </w:rPr>
          <w:t>11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D77BEA">
          <w:rPr>
            <w:noProof/>
          </w:rPr>
          <w:t>14</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D77BEA">
          <w:rPr>
            <w:noProof/>
          </w:rPr>
          <w:t>16</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D77BEA">
          <w:rPr>
            <w:noProof/>
          </w:rPr>
          <w:t>16</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D77BEA">
          <w:rPr>
            <w:noProof/>
          </w:rPr>
          <w:t>16</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D77BEA">
          <w:rPr>
            <w:noProof/>
          </w:rPr>
          <w:t>16</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D77BEA">
          <w:rPr>
            <w:noProof/>
          </w:rPr>
          <w:t>16</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D77BEA">
          <w:rPr>
            <w:noProof/>
          </w:rPr>
          <w:t>16</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D77BEA">
          <w:rPr>
            <w:noProof/>
          </w:rPr>
          <w:t>16</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D77BEA">
          <w:rPr>
            <w:noProof/>
          </w:rPr>
          <w:t>18</w:t>
        </w:r>
        <w:r>
          <w:rPr>
            <w:noProof/>
          </w:rPr>
          <w:fldChar w:fldCharType="end"/>
        </w:r>
      </w:hyperlink>
    </w:p>
    <w:p w:rsidR="001F09F0" w:rsidRDefault="000A0F88">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CB2F66">
        <w:tc>
          <w:tcPr>
            <w:tcW w:w="2160" w:type="dxa"/>
            <w:tcBorders>
              <w:top w:val="single" w:sz="6" w:space="0" w:color="000000"/>
              <w:left w:val="single" w:sz="12" w:space="0" w:color="000000"/>
              <w:bottom w:val="single" w:sz="12"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12" w:space="0" w:color="000000"/>
            </w:tcBorders>
            <w:shd w:val="clear" w:color="auto" w:fill="auto"/>
          </w:tcPr>
          <w:p w:rsidR="00A6577F" w:rsidRDefault="00A6577F" w:rsidP="00D77BEA">
            <w:pPr>
              <w:snapToGrid w:val="0"/>
              <w:spacing w:before="40" w:after="40"/>
            </w:pPr>
            <w:r>
              <w:t>CPO Input updated</w:t>
            </w:r>
            <w:r w:rsidR="00D77BEA">
              <w:t xml:space="preserve"> &amp; CPO elements edited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A6577F" w:rsidRDefault="00A6577F">
            <w:pPr>
              <w:snapToGrid w:val="0"/>
              <w:spacing w:before="40" w:after="40"/>
            </w:pPr>
            <w:r>
              <w:t>0.9</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0A0F88">
        <w:rPr>
          <w:i w:val="0"/>
        </w:rPr>
        <w:fldChar w:fldCharType="begin"/>
      </w:r>
      <w:r>
        <w:rPr>
          <w:i w:val="0"/>
        </w:rPr>
        <w:instrText xml:space="preserve"> REF __RefHeading__77_56999456 \r \h </w:instrText>
      </w:r>
      <w:r w:rsidR="000A0F88">
        <w:rPr>
          <w:i w:val="0"/>
        </w:rPr>
      </w:r>
      <w:r w:rsidR="000A0F88">
        <w:rPr>
          <w:i w:val="0"/>
        </w:rPr>
        <w:fldChar w:fldCharType="separate"/>
      </w:r>
      <w:r w:rsidR="00D77BEA">
        <w:rPr>
          <w:i w:val="0"/>
        </w:rPr>
        <w:t>0</w:t>
      </w:r>
      <w:r w:rsidR="000A0F88">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hyperlink r:id="rId20" w:history="1">
        <w:r w:rsidRPr="007678EC">
          <w:rPr>
            <w:rStyle w:val="Hiperhivatkozs"/>
            <w:rFonts w:ascii="Courier New" w:hAnsi="Courier New" w:cs="Courier New"/>
          </w:rPr>
          <w:t>distsource_identifier</w:t>
        </w:r>
      </w:hyperlink>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1" w:history="1">
        <w:r>
          <w:rPr>
            <w:rStyle w:val="Hiperhivatkozs"/>
          </w:rPr>
          <w:t>Documentation page</w:t>
        </w:r>
      </w:hyperlink>
      <w:r>
        <w:t xml:space="preserve"> linked from the </w:t>
      </w:r>
      <w:hyperlink r:id="rId22" w:history="1">
        <w:r>
          <w:rPr>
            <w:rStyle w:val="Hiperhivatkozs"/>
          </w:rPr>
          <w:t>Conventions page</w:t>
        </w:r>
      </w:hyperlink>
      <w:r>
        <w:t xml:space="preserve">. </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0A0F88"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3"/>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0A0F88"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0A0F88"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0A0F88"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0A0F88"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0A0F88"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0A0F88"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4"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0A0F88"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0A0F8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0A0F8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5"/>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0A0F88"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r w:rsidR="002123FC">
        <w:rPr>
          <w:i w:val="0"/>
        </w:rPr>
        <w:t>avalanche onset</w:t>
      </w:r>
      <w:r w:rsidR="00E02032">
        <w:rPr>
          <w:i w:val="0"/>
        </w:rPr>
        <w:t xml:space="preserve"> </w:t>
      </w:r>
      <w:r w:rsidR="00080BF6">
        <w:rPr>
          <w:i w:val="0"/>
        </w:rPr>
        <w:t xml:space="preserve">threshold </w:t>
      </w:r>
      <w:r w:rsidR="00E02032">
        <w:rPr>
          <w:i w:val="0"/>
        </w:rPr>
        <w:t>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0A0F88"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0A0F88"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0A0F88">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0A0F88"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0A0F88"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0A0F88"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0A0F88"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7"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0A0F88">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8"/>
      <w:headerReference w:type="default" r:id="rId29"/>
      <w:footerReference w:type="even" r:id="rId30"/>
      <w:footerReference w:type="default" r:id="rId31"/>
      <w:headerReference w:type="first" r:id="rId32"/>
      <w:footerReference w:type="first" r:id="rId33"/>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303" w:rsidRDefault="003E7303">
      <w:pPr>
        <w:spacing w:line="240" w:lineRule="auto"/>
      </w:pPr>
      <w:r>
        <w:separator/>
      </w:r>
    </w:p>
  </w:endnote>
  <w:endnote w:type="continuationSeparator" w:id="1">
    <w:p w:rsidR="003E7303" w:rsidRDefault="003E73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303" w:rsidRDefault="003E7303">
      <w:pPr>
        <w:spacing w:line="240" w:lineRule="auto"/>
      </w:pPr>
      <w:r>
        <w:separator/>
      </w:r>
    </w:p>
  </w:footnote>
  <w:footnote w:type="continuationSeparator" w:id="1">
    <w:p w:rsidR="003E7303" w:rsidRDefault="003E73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pPr>
    <w:r>
      <w:t>Software</w:t>
    </w:r>
    <w:r>
      <w:rPr>
        <w:sz w:val="24"/>
      </w:rPr>
      <w:t xml:space="preserve"> </w:t>
    </w:r>
    <w:r>
      <w:t>Requirements Specification for Runaway Fluid</w:t>
    </w:r>
    <w:r>
      <w:tab/>
      <w:t xml:space="preserve">Page </w:t>
    </w:r>
    <w:fldSimple w:instr=" PAGE ">
      <w:r w:rsidR="00576657">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576657">
        <w:rPr>
          <w:noProof/>
        </w:rPr>
        <w:t>7</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41CB3"/>
    <w:rsid w:val="00067B75"/>
    <w:rsid w:val="00080BF6"/>
    <w:rsid w:val="00081B09"/>
    <w:rsid w:val="000A0F88"/>
    <w:rsid w:val="000C77EF"/>
    <w:rsid w:val="000D1647"/>
    <w:rsid w:val="00112A7D"/>
    <w:rsid w:val="00116782"/>
    <w:rsid w:val="0017459B"/>
    <w:rsid w:val="001859F6"/>
    <w:rsid w:val="0018701F"/>
    <w:rsid w:val="001B1FFC"/>
    <w:rsid w:val="001C67F2"/>
    <w:rsid w:val="001D0457"/>
    <w:rsid w:val="001F09F0"/>
    <w:rsid w:val="002123FC"/>
    <w:rsid w:val="002167E6"/>
    <w:rsid w:val="00235B34"/>
    <w:rsid w:val="003437E6"/>
    <w:rsid w:val="00390083"/>
    <w:rsid w:val="003C6A64"/>
    <w:rsid w:val="003E7303"/>
    <w:rsid w:val="003E78C0"/>
    <w:rsid w:val="0040632C"/>
    <w:rsid w:val="004253A8"/>
    <w:rsid w:val="00461A33"/>
    <w:rsid w:val="00485B61"/>
    <w:rsid w:val="004A5811"/>
    <w:rsid w:val="0050245C"/>
    <w:rsid w:val="00555614"/>
    <w:rsid w:val="00576657"/>
    <w:rsid w:val="005932A6"/>
    <w:rsid w:val="005A5476"/>
    <w:rsid w:val="005C4103"/>
    <w:rsid w:val="005F51AB"/>
    <w:rsid w:val="005F5E8D"/>
    <w:rsid w:val="00627B94"/>
    <w:rsid w:val="00672F89"/>
    <w:rsid w:val="006C532C"/>
    <w:rsid w:val="006F1BB9"/>
    <w:rsid w:val="007678EC"/>
    <w:rsid w:val="00772E5D"/>
    <w:rsid w:val="007767DE"/>
    <w:rsid w:val="007A1271"/>
    <w:rsid w:val="007F75D0"/>
    <w:rsid w:val="00876135"/>
    <w:rsid w:val="0088696E"/>
    <w:rsid w:val="008B33E6"/>
    <w:rsid w:val="008D404E"/>
    <w:rsid w:val="008D6D87"/>
    <w:rsid w:val="0096176C"/>
    <w:rsid w:val="0098533B"/>
    <w:rsid w:val="009B700F"/>
    <w:rsid w:val="009C20EE"/>
    <w:rsid w:val="009C56E8"/>
    <w:rsid w:val="009D0E7A"/>
    <w:rsid w:val="00A031D4"/>
    <w:rsid w:val="00A47244"/>
    <w:rsid w:val="00A6577F"/>
    <w:rsid w:val="00AB3257"/>
    <w:rsid w:val="00AE07F2"/>
    <w:rsid w:val="00AF067D"/>
    <w:rsid w:val="00AF2807"/>
    <w:rsid w:val="00B01DF3"/>
    <w:rsid w:val="00B3176B"/>
    <w:rsid w:val="00B47BFD"/>
    <w:rsid w:val="00B53083"/>
    <w:rsid w:val="00B54C4F"/>
    <w:rsid w:val="00B75A29"/>
    <w:rsid w:val="00BA3135"/>
    <w:rsid w:val="00BC10E4"/>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77BEA"/>
    <w:rsid w:val="00D94902"/>
    <w:rsid w:val="00D95922"/>
    <w:rsid w:val="00DA789F"/>
    <w:rsid w:val="00E02032"/>
    <w:rsid w:val="00E216A9"/>
    <w:rsid w:val="00E35779"/>
    <w:rsid w:val="00E60A1C"/>
    <w:rsid w:val="00EA4BFF"/>
    <w:rsid w:val="00EF58F3"/>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ortal.efda-itm.eu/itm/portal/auth/index.php?sso_from=portal/auth/index.php&amp;page=Docume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s://www.efda-itm.eu/ITM/html/itm_enum_types__distsource_identifier.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portal.efda-itm.eu/itm/portal/auth/index.php?sso_from=portal/auth/index.php&amp;page=Documentation" TargetMode="External"/><Relationship Id="rId27" Type="http://schemas.openxmlformats.org/officeDocument/2006/relationships/image" Target="media/image5.png"/><Relationship Id="rId30" Type="http://schemas.openxmlformats.org/officeDocument/2006/relationships/footer" Target="footer3.xm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21</Pages>
  <Words>3921</Words>
  <Characters>27058</Characters>
  <Application>Microsoft Office Word</Application>
  <DocSecurity>0</DocSecurity>
  <Lines>225</Lines>
  <Paragraphs>61</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75</cp:revision>
  <cp:lastPrinted>2016-03-17T17:56:00Z</cp:lastPrinted>
  <dcterms:created xsi:type="dcterms:W3CDTF">2016-02-03T16:03:00Z</dcterms:created>
  <dcterms:modified xsi:type="dcterms:W3CDTF">2016-03-17T19:01:00Z</dcterms:modified>
</cp:coreProperties>
</file>