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485B61">
      <w:pPr>
        <w:pStyle w:val="ByLine"/>
      </w:pPr>
      <w:r>
        <w:t>Version 0.5</w:t>
      </w:r>
    </w:p>
    <w:p w:rsidR="001F09F0" w:rsidRDefault="005C4103">
      <w:pPr>
        <w:pStyle w:val="ByLine"/>
      </w:pPr>
      <w:r>
        <w:t>Prepared by Gergő Pokol and Mátyás Aradi</w:t>
      </w:r>
    </w:p>
    <w:p w:rsidR="001F09F0" w:rsidRDefault="005C4103">
      <w:pPr>
        <w:pStyle w:val="ByLine"/>
      </w:pPr>
      <w:r>
        <w:t>BME NTI, Hungary</w:t>
      </w:r>
    </w:p>
    <w:p w:rsidR="001F09F0" w:rsidRDefault="005C4103">
      <w:pPr>
        <w:pStyle w:val="ByLine"/>
        <w:sectPr w:rsidR="001F09F0">
          <w:pgSz w:w="12240" w:h="15840"/>
          <w:pgMar w:top="1440" w:right="1440" w:bottom="1440" w:left="1440" w:header="708" w:footer="708" w:gutter="0"/>
          <w:pgNumType w:fmt="lowerRoman" w:start="1"/>
          <w:cols w:space="708"/>
          <w:docGrid w:linePitch="360"/>
        </w:sectPr>
      </w:pPr>
      <w:r>
        <w:t>0</w:t>
      </w:r>
      <w:r w:rsidR="00F245A4">
        <w:t>8</w:t>
      </w:r>
      <w:r>
        <w:t>. February 2016.</w:t>
      </w:r>
    </w:p>
    <w:p w:rsidR="001F09F0" w:rsidRDefault="005C4103">
      <w:pPr>
        <w:pStyle w:val="TOCEntry"/>
      </w:pPr>
      <w:bookmarkStart w:id="0" w:name="__RefHeading___Toc441230970"/>
      <w:bookmarkEnd w:id="0"/>
      <w:r>
        <w:lastRenderedPageBreak/>
        <w:t>Table of Contents</w:t>
      </w:r>
    </w:p>
    <w:p w:rsidR="00B75A29" w:rsidRDefault="004253A8">
      <w:pPr>
        <w:pStyle w:val="TJ1"/>
        <w:rPr>
          <w:rFonts w:asciiTheme="minorHAnsi" w:eastAsiaTheme="minorEastAsia" w:hAnsiTheme="minorHAnsi" w:cstheme="minorBidi"/>
          <w:b w:val="0"/>
          <w:noProof/>
          <w:sz w:val="22"/>
          <w:szCs w:val="22"/>
        </w:rPr>
      </w:pPr>
      <w:r w:rsidRPr="004253A8">
        <w:fldChar w:fldCharType="begin"/>
      </w:r>
      <w:r w:rsidR="005C4103">
        <w:instrText xml:space="preserve"> TOC \o "1-2" \h</w:instrText>
      </w:r>
      <w:r w:rsidRPr="004253A8">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sidR="00B75A29">
          <w:rPr>
            <w:noProof/>
          </w:rPr>
          <w:fldChar w:fldCharType="begin"/>
        </w:r>
        <w:r w:rsidR="00B75A29">
          <w:rPr>
            <w:noProof/>
          </w:rPr>
          <w:instrText xml:space="preserve"> PAGEREF _Toc442878124 \h </w:instrText>
        </w:r>
        <w:r w:rsidR="00B75A29">
          <w:rPr>
            <w:noProof/>
          </w:rPr>
        </w:r>
        <w:r w:rsidR="00B75A29">
          <w:rPr>
            <w:noProof/>
          </w:rPr>
          <w:fldChar w:fldCharType="separate"/>
        </w:r>
        <w:r w:rsidR="00F05693">
          <w:rPr>
            <w:noProof/>
          </w:rPr>
          <w:t>1</w:t>
        </w:r>
        <w:r w:rsidR="00B75A29">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5" w:history="1">
        <w:r w:rsidRPr="00253B99">
          <w:rPr>
            <w:rStyle w:val="Hiperhivatkozs"/>
            <w:noProof/>
          </w:rPr>
          <w:t>Purpose</w:t>
        </w:r>
        <w:r>
          <w:rPr>
            <w:noProof/>
          </w:rPr>
          <w:tab/>
        </w:r>
        <w:r>
          <w:rPr>
            <w:noProof/>
          </w:rPr>
          <w:fldChar w:fldCharType="begin"/>
        </w:r>
        <w:r>
          <w:rPr>
            <w:noProof/>
          </w:rPr>
          <w:instrText xml:space="preserve"> PAGEREF _Toc442878125 \h </w:instrText>
        </w:r>
        <w:r>
          <w:rPr>
            <w:noProof/>
          </w:rPr>
        </w:r>
        <w:r>
          <w:rPr>
            <w:noProof/>
          </w:rPr>
          <w:fldChar w:fldCharType="separate"/>
        </w:r>
        <w:r w:rsidR="00F05693">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6" w:history="1">
        <w:r w:rsidRPr="00253B99">
          <w:rPr>
            <w:rStyle w:val="Hiperhivatkozs"/>
            <w:noProof/>
          </w:rPr>
          <w:t>Document Conventions</w:t>
        </w:r>
        <w:r>
          <w:rPr>
            <w:noProof/>
          </w:rPr>
          <w:tab/>
        </w:r>
        <w:r>
          <w:rPr>
            <w:noProof/>
          </w:rPr>
          <w:fldChar w:fldCharType="begin"/>
        </w:r>
        <w:r>
          <w:rPr>
            <w:noProof/>
          </w:rPr>
          <w:instrText xml:space="preserve"> PAGEREF _Toc442878126 \h </w:instrText>
        </w:r>
        <w:r>
          <w:rPr>
            <w:noProof/>
          </w:rPr>
        </w:r>
        <w:r>
          <w:rPr>
            <w:noProof/>
          </w:rPr>
          <w:fldChar w:fldCharType="separate"/>
        </w:r>
        <w:r w:rsidR="00F05693">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7" w:history="1">
        <w:r w:rsidRPr="00253B99">
          <w:rPr>
            <w:rStyle w:val="Hiperhivatkozs"/>
            <w:noProof/>
          </w:rPr>
          <w:t>Intended Audience and Reading Suggestions</w:t>
        </w:r>
        <w:r>
          <w:rPr>
            <w:noProof/>
          </w:rPr>
          <w:tab/>
        </w:r>
        <w:r>
          <w:rPr>
            <w:noProof/>
          </w:rPr>
          <w:fldChar w:fldCharType="begin"/>
        </w:r>
        <w:r>
          <w:rPr>
            <w:noProof/>
          </w:rPr>
          <w:instrText xml:space="preserve"> PAGEREF _Toc442878127 \h </w:instrText>
        </w:r>
        <w:r>
          <w:rPr>
            <w:noProof/>
          </w:rPr>
        </w:r>
        <w:r>
          <w:rPr>
            <w:noProof/>
          </w:rPr>
          <w:fldChar w:fldCharType="separate"/>
        </w:r>
        <w:r w:rsidR="00F05693">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8" w:history="1">
        <w:r w:rsidRPr="00253B99">
          <w:rPr>
            <w:rStyle w:val="Hiperhivatkozs"/>
            <w:noProof/>
          </w:rPr>
          <w:t>Product Scope</w:t>
        </w:r>
        <w:r>
          <w:rPr>
            <w:noProof/>
          </w:rPr>
          <w:tab/>
        </w:r>
        <w:r>
          <w:rPr>
            <w:noProof/>
          </w:rPr>
          <w:fldChar w:fldCharType="begin"/>
        </w:r>
        <w:r>
          <w:rPr>
            <w:noProof/>
          </w:rPr>
          <w:instrText xml:space="preserve"> PAGEREF _Toc442878128 \h </w:instrText>
        </w:r>
        <w:r>
          <w:rPr>
            <w:noProof/>
          </w:rPr>
        </w:r>
        <w:r>
          <w:rPr>
            <w:noProof/>
          </w:rPr>
          <w:fldChar w:fldCharType="separate"/>
        </w:r>
        <w:r w:rsidR="00F05693">
          <w:rPr>
            <w:noProof/>
          </w:rPr>
          <w:t>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29" w:history="1">
        <w:r w:rsidRPr="00253B99">
          <w:rPr>
            <w:rStyle w:val="Hiperhivatkozs"/>
            <w:noProof/>
          </w:rPr>
          <w:t>References</w:t>
        </w:r>
        <w:r>
          <w:rPr>
            <w:noProof/>
          </w:rPr>
          <w:tab/>
        </w:r>
        <w:r>
          <w:rPr>
            <w:noProof/>
          </w:rPr>
          <w:fldChar w:fldCharType="begin"/>
        </w:r>
        <w:r>
          <w:rPr>
            <w:noProof/>
          </w:rPr>
          <w:instrText xml:space="preserve"> PAGEREF _Toc442878129 \h </w:instrText>
        </w:r>
        <w:r>
          <w:rPr>
            <w:noProof/>
          </w:rPr>
        </w:r>
        <w:r>
          <w:rPr>
            <w:noProof/>
          </w:rPr>
          <w:fldChar w:fldCharType="separate"/>
        </w:r>
        <w:r w:rsidR="00F05693">
          <w:rPr>
            <w:noProof/>
          </w:rPr>
          <w:t>2</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30" w:history="1">
        <w:r w:rsidRPr="00253B99">
          <w:rPr>
            <w:rStyle w:val="Hiperhivatkozs"/>
            <w:noProof/>
          </w:rPr>
          <w:t>2.</w:t>
        </w:r>
        <w:r>
          <w:rPr>
            <w:rFonts w:asciiTheme="minorHAnsi" w:eastAsiaTheme="minorEastAsia" w:hAnsiTheme="minorHAnsi" w:cstheme="minorBidi"/>
            <w:b w:val="0"/>
            <w:noProof/>
            <w:sz w:val="22"/>
            <w:szCs w:val="22"/>
          </w:rPr>
          <w:tab/>
        </w:r>
        <w:r w:rsidRPr="00253B99">
          <w:rPr>
            <w:rStyle w:val="Hiperhivatkozs"/>
            <w:noProof/>
          </w:rPr>
          <w:t>Overall Description</w:t>
        </w:r>
        <w:r>
          <w:rPr>
            <w:noProof/>
          </w:rPr>
          <w:tab/>
        </w:r>
        <w:r>
          <w:rPr>
            <w:noProof/>
          </w:rPr>
          <w:fldChar w:fldCharType="begin"/>
        </w:r>
        <w:r>
          <w:rPr>
            <w:noProof/>
          </w:rPr>
          <w:instrText xml:space="preserve"> PAGEREF _Toc442878130 \h </w:instrText>
        </w:r>
        <w:r>
          <w:rPr>
            <w:noProof/>
          </w:rPr>
        </w:r>
        <w:r>
          <w:rPr>
            <w:noProof/>
          </w:rPr>
          <w:fldChar w:fldCharType="separate"/>
        </w:r>
        <w:r w:rsidR="00F05693">
          <w:rPr>
            <w:noProof/>
          </w:rPr>
          <w:t>2</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1" w:history="1">
        <w:r w:rsidRPr="00253B99">
          <w:rPr>
            <w:rStyle w:val="Hiperhivatkozs"/>
            <w:noProof/>
          </w:rPr>
          <w:t>Product Perspective</w:t>
        </w:r>
        <w:r>
          <w:rPr>
            <w:noProof/>
          </w:rPr>
          <w:tab/>
        </w:r>
        <w:r>
          <w:rPr>
            <w:noProof/>
          </w:rPr>
          <w:fldChar w:fldCharType="begin"/>
        </w:r>
        <w:r>
          <w:rPr>
            <w:noProof/>
          </w:rPr>
          <w:instrText xml:space="preserve"> PAGEREF _Toc442878131 \h </w:instrText>
        </w:r>
        <w:r>
          <w:rPr>
            <w:noProof/>
          </w:rPr>
        </w:r>
        <w:r>
          <w:rPr>
            <w:noProof/>
          </w:rPr>
          <w:fldChar w:fldCharType="separate"/>
        </w:r>
        <w:r w:rsidR="00F05693">
          <w:rPr>
            <w:noProof/>
          </w:rPr>
          <w:t>2</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2" w:history="1">
        <w:r w:rsidRPr="00253B99">
          <w:rPr>
            <w:rStyle w:val="Hiperhivatkozs"/>
            <w:noProof/>
          </w:rPr>
          <w:t>Product Functions</w:t>
        </w:r>
        <w:r>
          <w:rPr>
            <w:noProof/>
          </w:rPr>
          <w:tab/>
        </w:r>
        <w:r>
          <w:rPr>
            <w:noProof/>
          </w:rPr>
          <w:fldChar w:fldCharType="begin"/>
        </w:r>
        <w:r>
          <w:rPr>
            <w:noProof/>
          </w:rPr>
          <w:instrText xml:space="preserve"> PAGEREF _Toc442878132 \h </w:instrText>
        </w:r>
        <w:r>
          <w:rPr>
            <w:noProof/>
          </w:rPr>
        </w:r>
        <w:r>
          <w:rPr>
            <w:noProof/>
          </w:rPr>
          <w:fldChar w:fldCharType="separate"/>
        </w:r>
        <w:r w:rsidR="00F05693">
          <w:rPr>
            <w:noProof/>
          </w:rPr>
          <w:t>2</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3" w:history="1">
        <w:r w:rsidRPr="00253B99">
          <w:rPr>
            <w:rStyle w:val="Hiperhivatkozs"/>
            <w:noProof/>
          </w:rPr>
          <w:t>User Classes and Characteristics</w:t>
        </w:r>
        <w:r>
          <w:rPr>
            <w:noProof/>
          </w:rPr>
          <w:tab/>
        </w:r>
        <w:r>
          <w:rPr>
            <w:noProof/>
          </w:rPr>
          <w:fldChar w:fldCharType="begin"/>
        </w:r>
        <w:r>
          <w:rPr>
            <w:noProof/>
          </w:rPr>
          <w:instrText xml:space="preserve"> PAGEREF _Toc442878133 \h </w:instrText>
        </w:r>
        <w:r>
          <w:rPr>
            <w:noProof/>
          </w:rPr>
        </w:r>
        <w:r>
          <w:rPr>
            <w:noProof/>
          </w:rPr>
          <w:fldChar w:fldCharType="separate"/>
        </w:r>
        <w:r w:rsidR="00F05693">
          <w:rPr>
            <w:noProof/>
          </w:rPr>
          <w:t>3</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4" w:history="1">
        <w:r w:rsidRPr="00253B99">
          <w:rPr>
            <w:rStyle w:val="Hiperhivatkozs"/>
            <w:noProof/>
          </w:rPr>
          <w:t>Operating Environment</w:t>
        </w:r>
        <w:r>
          <w:rPr>
            <w:noProof/>
          </w:rPr>
          <w:tab/>
        </w:r>
        <w:r>
          <w:rPr>
            <w:noProof/>
          </w:rPr>
          <w:fldChar w:fldCharType="begin"/>
        </w:r>
        <w:r>
          <w:rPr>
            <w:noProof/>
          </w:rPr>
          <w:instrText xml:space="preserve"> PAGEREF _Toc442878134 \h </w:instrText>
        </w:r>
        <w:r>
          <w:rPr>
            <w:noProof/>
          </w:rPr>
        </w:r>
        <w:r>
          <w:rPr>
            <w:noProof/>
          </w:rPr>
          <w:fldChar w:fldCharType="separate"/>
        </w:r>
        <w:r w:rsidR="00F05693">
          <w:rPr>
            <w:noProof/>
          </w:rPr>
          <w:t>3</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5" w:history="1">
        <w:r w:rsidRPr="00253B99">
          <w:rPr>
            <w:rStyle w:val="Hiperhivatkozs"/>
            <w:noProof/>
          </w:rPr>
          <w:t>Design and Implementation Constraints</w:t>
        </w:r>
        <w:r>
          <w:rPr>
            <w:noProof/>
          </w:rPr>
          <w:tab/>
        </w:r>
        <w:r>
          <w:rPr>
            <w:noProof/>
          </w:rPr>
          <w:fldChar w:fldCharType="begin"/>
        </w:r>
        <w:r>
          <w:rPr>
            <w:noProof/>
          </w:rPr>
          <w:instrText xml:space="preserve"> PAGEREF _Toc442878135 \h </w:instrText>
        </w:r>
        <w:r>
          <w:rPr>
            <w:noProof/>
          </w:rPr>
        </w:r>
        <w:r>
          <w:rPr>
            <w:noProof/>
          </w:rPr>
          <w:fldChar w:fldCharType="separate"/>
        </w:r>
        <w:r w:rsidR="00F05693">
          <w:rPr>
            <w:noProof/>
          </w:rPr>
          <w:t>4</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6" w:history="1">
        <w:r w:rsidRPr="00253B99">
          <w:rPr>
            <w:rStyle w:val="Hiperhivatkozs"/>
            <w:noProof/>
          </w:rPr>
          <w:t>User Documentation</w:t>
        </w:r>
        <w:r>
          <w:rPr>
            <w:noProof/>
          </w:rPr>
          <w:tab/>
        </w:r>
        <w:r>
          <w:rPr>
            <w:noProof/>
          </w:rPr>
          <w:fldChar w:fldCharType="begin"/>
        </w:r>
        <w:r>
          <w:rPr>
            <w:noProof/>
          </w:rPr>
          <w:instrText xml:space="preserve"> PAGEREF _Toc442878136 \h </w:instrText>
        </w:r>
        <w:r>
          <w:rPr>
            <w:noProof/>
          </w:rPr>
        </w:r>
        <w:r>
          <w:rPr>
            <w:noProof/>
          </w:rPr>
          <w:fldChar w:fldCharType="separate"/>
        </w:r>
        <w:r w:rsidR="00F05693">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7" w:history="1">
        <w:r w:rsidRPr="00253B99">
          <w:rPr>
            <w:rStyle w:val="Hiperhivatkozs"/>
            <w:noProof/>
          </w:rPr>
          <w:t>Assumptions and Dependencies</w:t>
        </w:r>
        <w:r>
          <w:rPr>
            <w:noProof/>
          </w:rPr>
          <w:tab/>
        </w:r>
        <w:r>
          <w:rPr>
            <w:noProof/>
          </w:rPr>
          <w:fldChar w:fldCharType="begin"/>
        </w:r>
        <w:r>
          <w:rPr>
            <w:noProof/>
          </w:rPr>
          <w:instrText xml:space="preserve"> PAGEREF _Toc442878137 \h </w:instrText>
        </w:r>
        <w:r>
          <w:rPr>
            <w:noProof/>
          </w:rPr>
        </w:r>
        <w:r>
          <w:rPr>
            <w:noProof/>
          </w:rPr>
          <w:fldChar w:fldCharType="separate"/>
        </w:r>
        <w:r w:rsidR="00F05693">
          <w:rPr>
            <w:noProof/>
          </w:rPr>
          <w:t>5</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38" w:history="1">
        <w:r w:rsidRPr="00253B99">
          <w:rPr>
            <w:rStyle w:val="Hiperhivatkozs"/>
            <w:noProof/>
          </w:rPr>
          <w:t>3.</w:t>
        </w:r>
        <w:r>
          <w:rPr>
            <w:rFonts w:asciiTheme="minorHAnsi" w:eastAsiaTheme="minorEastAsia" w:hAnsiTheme="minorHAnsi" w:cstheme="minorBidi"/>
            <w:b w:val="0"/>
            <w:noProof/>
            <w:sz w:val="22"/>
            <w:szCs w:val="22"/>
          </w:rPr>
          <w:tab/>
        </w:r>
        <w:r w:rsidRPr="00253B99">
          <w:rPr>
            <w:rStyle w:val="Hiperhivatkozs"/>
            <w:noProof/>
          </w:rPr>
          <w:t>External Interface Requirements</w:t>
        </w:r>
        <w:r>
          <w:rPr>
            <w:noProof/>
          </w:rPr>
          <w:tab/>
        </w:r>
        <w:r>
          <w:rPr>
            <w:noProof/>
          </w:rPr>
          <w:fldChar w:fldCharType="begin"/>
        </w:r>
        <w:r>
          <w:rPr>
            <w:noProof/>
          </w:rPr>
          <w:instrText xml:space="preserve"> PAGEREF _Toc442878138 \h </w:instrText>
        </w:r>
        <w:r>
          <w:rPr>
            <w:noProof/>
          </w:rPr>
        </w:r>
        <w:r>
          <w:rPr>
            <w:noProof/>
          </w:rPr>
          <w:fldChar w:fldCharType="separate"/>
        </w:r>
        <w:r w:rsidR="00F05693">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39" w:history="1">
        <w:r w:rsidRPr="00253B99">
          <w:rPr>
            <w:rStyle w:val="Hiperhivatkozs"/>
            <w:noProof/>
          </w:rPr>
          <w:t>User Interfaces</w:t>
        </w:r>
        <w:r>
          <w:rPr>
            <w:noProof/>
          </w:rPr>
          <w:tab/>
        </w:r>
        <w:r>
          <w:rPr>
            <w:noProof/>
          </w:rPr>
          <w:fldChar w:fldCharType="begin"/>
        </w:r>
        <w:r>
          <w:rPr>
            <w:noProof/>
          </w:rPr>
          <w:instrText xml:space="preserve"> PAGEREF _Toc442878139 \h </w:instrText>
        </w:r>
        <w:r>
          <w:rPr>
            <w:noProof/>
          </w:rPr>
        </w:r>
        <w:r>
          <w:rPr>
            <w:noProof/>
          </w:rPr>
          <w:fldChar w:fldCharType="separate"/>
        </w:r>
        <w:r w:rsidR="00F05693">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0" w:history="1">
        <w:r w:rsidRPr="00253B99">
          <w:rPr>
            <w:rStyle w:val="Hiperhivatkozs"/>
            <w:noProof/>
          </w:rPr>
          <w:t>Hardware Interfaces</w:t>
        </w:r>
        <w:r>
          <w:rPr>
            <w:noProof/>
          </w:rPr>
          <w:tab/>
        </w:r>
        <w:r>
          <w:rPr>
            <w:noProof/>
          </w:rPr>
          <w:fldChar w:fldCharType="begin"/>
        </w:r>
        <w:r>
          <w:rPr>
            <w:noProof/>
          </w:rPr>
          <w:instrText xml:space="preserve"> PAGEREF _Toc442878140 \h </w:instrText>
        </w:r>
        <w:r>
          <w:rPr>
            <w:noProof/>
          </w:rPr>
        </w:r>
        <w:r>
          <w:rPr>
            <w:noProof/>
          </w:rPr>
          <w:fldChar w:fldCharType="separate"/>
        </w:r>
        <w:r w:rsidR="00F05693">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1" w:history="1">
        <w:r w:rsidRPr="00253B99">
          <w:rPr>
            <w:rStyle w:val="Hiperhivatkozs"/>
            <w:noProof/>
          </w:rPr>
          <w:t>Software Interfaces</w:t>
        </w:r>
        <w:r>
          <w:rPr>
            <w:noProof/>
          </w:rPr>
          <w:tab/>
        </w:r>
        <w:r>
          <w:rPr>
            <w:noProof/>
          </w:rPr>
          <w:fldChar w:fldCharType="begin"/>
        </w:r>
        <w:r>
          <w:rPr>
            <w:noProof/>
          </w:rPr>
          <w:instrText xml:space="preserve"> PAGEREF _Toc442878141 \h </w:instrText>
        </w:r>
        <w:r>
          <w:rPr>
            <w:noProof/>
          </w:rPr>
        </w:r>
        <w:r>
          <w:rPr>
            <w:noProof/>
          </w:rPr>
          <w:fldChar w:fldCharType="separate"/>
        </w:r>
        <w:r w:rsidR="00F05693">
          <w:rPr>
            <w:noProof/>
          </w:rPr>
          <w:t>5</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2" w:history="1">
        <w:r w:rsidRPr="00253B99">
          <w:rPr>
            <w:rStyle w:val="Hiperhivatkozs"/>
            <w:noProof/>
          </w:rPr>
          <w:t>Communications Interfaces</w:t>
        </w:r>
        <w:r>
          <w:rPr>
            <w:noProof/>
          </w:rPr>
          <w:tab/>
        </w:r>
        <w:r>
          <w:rPr>
            <w:noProof/>
          </w:rPr>
          <w:fldChar w:fldCharType="begin"/>
        </w:r>
        <w:r>
          <w:rPr>
            <w:noProof/>
          </w:rPr>
          <w:instrText xml:space="preserve"> PAGEREF _Toc442878142 \h </w:instrText>
        </w:r>
        <w:r>
          <w:rPr>
            <w:noProof/>
          </w:rPr>
        </w:r>
        <w:r>
          <w:rPr>
            <w:noProof/>
          </w:rPr>
          <w:fldChar w:fldCharType="separate"/>
        </w:r>
        <w:r w:rsidR="00F05693">
          <w:rPr>
            <w:noProof/>
          </w:rPr>
          <w:t>7</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43" w:history="1">
        <w:r w:rsidRPr="00253B99">
          <w:rPr>
            <w:rStyle w:val="Hiperhivatkozs"/>
            <w:noProof/>
          </w:rPr>
          <w:t>4.</w:t>
        </w:r>
        <w:r>
          <w:rPr>
            <w:rFonts w:asciiTheme="minorHAnsi" w:eastAsiaTheme="minorEastAsia" w:hAnsiTheme="minorHAnsi" w:cstheme="minorBidi"/>
            <w:b w:val="0"/>
            <w:noProof/>
            <w:sz w:val="22"/>
            <w:szCs w:val="22"/>
          </w:rPr>
          <w:tab/>
        </w:r>
        <w:r w:rsidRPr="00253B99">
          <w:rPr>
            <w:rStyle w:val="Hiperhivatkozs"/>
            <w:noProof/>
          </w:rPr>
          <w:t>System Features</w:t>
        </w:r>
        <w:r>
          <w:rPr>
            <w:noProof/>
          </w:rPr>
          <w:tab/>
        </w:r>
        <w:r>
          <w:rPr>
            <w:noProof/>
          </w:rPr>
          <w:fldChar w:fldCharType="begin"/>
        </w:r>
        <w:r>
          <w:rPr>
            <w:noProof/>
          </w:rPr>
          <w:instrText xml:space="preserve"> PAGEREF _Toc442878143 \h </w:instrText>
        </w:r>
        <w:r>
          <w:rPr>
            <w:noProof/>
          </w:rPr>
        </w:r>
        <w:r>
          <w:rPr>
            <w:noProof/>
          </w:rPr>
          <w:fldChar w:fldCharType="separate"/>
        </w:r>
        <w:r w:rsidR="00F05693">
          <w:rPr>
            <w:noProof/>
          </w:rPr>
          <w:t>8</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4" w:history="1">
        <w:r w:rsidRPr="00253B99">
          <w:rPr>
            <w:rStyle w:val="Hiperhivatkozs"/>
            <w:noProof/>
          </w:rPr>
          <w:t>Dreicer generation rate</w:t>
        </w:r>
        <w:r>
          <w:rPr>
            <w:noProof/>
          </w:rPr>
          <w:tab/>
        </w:r>
        <w:r>
          <w:rPr>
            <w:noProof/>
          </w:rPr>
          <w:fldChar w:fldCharType="begin"/>
        </w:r>
        <w:r>
          <w:rPr>
            <w:noProof/>
          </w:rPr>
          <w:instrText xml:space="preserve"> PAGEREF _Toc442878144 \h </w:instrText>
        </w:r>
        <w:r>
          <w:rPr>
            <w:noProof/>
          </w:rPr>
        </w:r>
        <w:r>
          <w:rPr>
            <w:noProof/>
          </w:rPr>
          <w:fldChar w:fldCharType="separate"/>
        </w:r>
        <w:r w:rsidR="00F05693">
          <w:rPr>
            <w:noProof/>
          </w:rPr>
          <w:t>8</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5" w:history="1">
        <w:r w:rsidRPr="00253B99">
          <w:rPr>
            <w:rStyle w:val="Hiperhivatkozs"/>
            <w:noProof/>
          </w:rPr>
          <w:t>Avalanche generation rate</w:t>
        </w:r>
        <w:r>
          <w:rPr>
            <w:noProof/>
          </w:rPr>
          <w:tab/>
        </w:r>
        <w:r>
          <w:rPr>
            <w:noProof/>
          </w:rPr>
          <w:fldChar w:fldCharType="begin"/>
        </w:r>
        <w:r>
          <w:rPr>
            <w:noProof/>
          </w:rPr>
          <w:instrText xml:space="preserve"> PAGEREF _Toc442878145 \h </w:instrText>
        </w:r>
        <w:r>
          <w:rPr>
            <w:noProof/>
          </w:rPr>
        </w:r>
        <w:r>
          <w:rPr>
            <w:noProof/>
          </w:rPr>
          <w:fldChar w:fldCharType="separate"/>
        </w:r>
        <w:r w:rsidR="00F05693">
          <w:rPr>
            <w:noProof/>
          </w:rPr>
          <w:t>11</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6" w:history="1">
        <w:r w:rsidRPr="00253B99">
          <w:rPr>
            <w:rStyle w:val="Hiperhivatkozs"/>
            <w:noProof/>
          </w:rPr>
          <w:t>Loss mechanism</w:t>
        </w:r>
        <w:r>
          <w:rPr>
            <w:noProof/>
          </w:rPr>
          <w:tab/>
        </w:r>
        <w:r>
          <w:rPr>
            <w:noProof/>
          </w:rPr>
          <w:fldChar w:fldCharType="begin"/>
        </w:r>
        <w:r>
          <w:rPr>
            <w:noProof/>
          </w:rPr>
          <w:instrText xml:space="preserve"> PAGEREF _Toc442878146 \h </w:instrText>
        </w:r>
        <w:r>
          <w:rPr>
            <w:noProof/>
          </w:rPr>
        </w:r>
        <w:r>
          <w:rPr>
            <w:noProof/>
          </w:rPr>
          <w:fldChar w:fldCharType="separate"/>
        </w:r>
        <w:r w:rsidR="00F05693">
          <w:rPr>
            <w:noProof/>
          </w:rPr>
          <w:t>14</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47" w:history="1">
        <w:r w:rsidRPr="00253B99">
          <w:rPr>
            <w:rStyle w:val="Hiperhivatkozs"/>
            <w:noProof/>
          </w:rPr>
          <w:t>5.</w:t>
        </w:r>
        <w:r>
          <w:rPr>
            <w:rFonts w:asciiTheme="minorHAnsi" w:eastAsiaTheme="minorEastAsia" w:hAnsiTheme="minorHAnsi" w:cstheme="minorBidi"/>
            <w:b w:val="0"/>
            <w:noProof/>
            <w:sz w:val="22"/>
            <w:szCs w:val="22"/>
          </w:rPr>
          <w:tab/>
        </w:r>
        <w:r w:rsidRPr="00253B99">
          <w:rPr>
            <w:rStyle w:val="Hiperhivatkozs"/>
            <w:noProof/>
          </w:rPr>
          <w:t>Other Nonfunctional Requirements</w:t>
        </w:r>
        <w:r>
          <w:rPr>
            <w:noProof/>
          </w:rPr>
          <w:tab/>
        </w:r>
        <w:r>
          <w:rPr>
            <w:noProof/>
          </w:rPr>
          <w:fldChar w:fldCharType="begin"/>
        </w:r>
        <w:r>
          <w:rPr>
            <w:noProof/>
          </w:rPr>
          <w:instrText xml:space="preserve"> PAGEREF _Toc442878147 \h </w:instrText>
        </w:r>
        <w:r>
          <w:rPr>
            <w:noProof/>
          </w:rPr>
        </w:r>
        <w:r>
          <w:rPr>
            <w:noProof/>
          </w:rPr>
          <w:fldChar w:fldCharType="separate"/>
        </w:r>
        <w:r w:rsidR="00F05693">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8" w:history="1">
        <w:r w:rsidRPr="00253B99">
          <w:rPr>
            <w:rStyle w:val="Hiperhivatkozs"/>
            <w:noProof/>
          </w:rPr>
          <w:t>Performance Requirements</w:t>
        </w:r>
        <w:r>
          <w:rPr>
            <w:noProof/>
          </w:rPr>
          <w:tab/>
        </w:r>
        <w:r>
          <w:rPr>
            <w:noProof/>
          </w:rPr>
          <w:fldChar w:fldCharType="begin"/>
        </w:r>
        <w:r>
          <w:rPr>
            <w:noProof/>
          </w:rPr>
          <w:instrText xml:space="preserve"> PAGEREF _Toc442878148 \h </w:instrText>
        </w:r>
        <w:r>
          <w:rPr>
            <w:noProof/>
          </w:rPr>
        </w:r>
        <w:r>
          <w:rPr>
            <w:noProof/>
          </w:rPr>
          <w:fldChar w:fldCharType="separate"/>
        </w:r>
        <w:r w:rsidR="00F05693">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49" w:history="1">
        <w:r w:rsidRPr="00253B99">
          <w:rPr>
            <w:rStyle w:val="Hiperhivatkozs"/>
            <w:noProof/>
          </w:rPr>
          <w:t>Safety Requirements</w:t>
        </w:r>
        <w:r>
          <w:rPr>
            <w:noProof/>
          </w:rPr>
          <w:tab/>
        </w:r>
        <w:r>
          <w:rPr>
            <w:noProof/>
          </w:rPr>
          <w:fldChar w:fldCharType="begin"/>
        </w:r>
        <w:r>
          <w:rPr>
            <w:noProof/>
          </w:rPr>
          <w:instrText xml:space="preserve"> PAGEREF _Toc442878149 \h </w:instrText>
        </w:r>
        <w:r>
          <w:rPr>
            <w:noProof/>
          </w:rPr>
        </w:r>
        <w:r>
          <w:rPr>
            <w:noProof/>
          </w:rPr>
          <w:fldChar w:fldCharType="separate"/>
        </w:r>
        <w:r w:rsidR="00F05693">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50" w:history="1">
        <w:r w:rsidRPr="00253B99">
          <w:rPr>
            <w:rStyle w:val="Hiperhivatkozs"/>
            <w:noProof/>
          </w:rPr>
          <w:t>Security Requirements</w:t>
        </w:r>
        <w:r>
          <w:rPr>
            <w:noProof/>
          </w:rPr>
          <w:tab/>
        </w:r>
        <w:r>
          <w:rPr>
            <w:noProof/>
          </w:rPr>
          <w:fldChar w:fldCharType="begin"/>
        </w:r>
        <w:r>
          <w:rPr>
            <w:noProof/>
          </w:rPr>
          <w:instrText xml:space="preserve"> PAGEREF _Toc442878150 \h </w:instrText>
        </w:r>
        <w:r>
          <w:rPr>
            <w:noProof/>
          </w:rPr>
        </w:r>
        <w:r>
          <w:rPr>
            <w:noProof/>
          </w:rPr>
          <w:fldChar w:fldCharType="separate"/>
        </w:r>
        <w:r w:rsidR="00F05693">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51" w:history="1">
        <w:r w:rsidRPr="00253B99">
          <w:rPr>
            <w:rStyle w:val="Hiperhivatkozs"/>
            <w:noProof/>
          </w:rPr>
          <w:t>Software Quality Attributes</w:t>
        </w:r>
        <w:r>
          <w:rPr>
            <w:noProof/>
          </w:rPr>
          <w:tab/>
        </w:r>
        <w:r>
          <w:rPr>
            <w:noProof/>
          </w:rPr>
          <w:fldChar w:fldCharType="begin"/>
        </w:r>
        <w:r>
          <w:rPr>
            <w:noProof/>
          </w:rPr>
          <w:instrText xml:space="preserve"> PAGEREF _Toc442878151 \h </w:instrText>
        </w:r>
        <w:r>
          <w:rPr>
            <w:noProof/>
          </w:rPr>
        </w:r>
        <w:r>
          <w:rPr>
            <w:noProof/>
          </w:rPr>
          <w:fldChar w:fldCharType="separate"/>
        </w:r>
        <w:r w:rsidR="00F05693">
          <w:rPr>
            <w:noProof/>
          </w:rPr>
          <w:t>16</w:t>
        </w:r>
        <w:r>
          <w:rPr>
            <w:noProof/>
          </w:rPr>
          <w:fldChar w:fldCharType="end"/>
        </w:r>
      </w:hyperlink>
    </w:p>
    <w:p w:rsidR="00B75A29" w:rsidRDefault="00B75A29">
      <w:pPr>
        <w:pStyle w:val="TJ2"/>
        <w:rPr>
          <w:rFonts w:asciiTheme="minorHAnsi" w:eastAsiaTheme="minorEastAsia" w:hAnsiTheme="minorHAnsi" w:cstheme="minorBidi"/>
          <w:noProof/>
          <w:szCs w:val="22"/>
          <w:lang w:val="hu-HU" w:eastAsia="hu-HU"/>
        </w:rPr>
      </w:pPr>
      <w:hyperlink w:anchor="_Toc442878152" w:history="1">
        <w:r w:rsidRPr="00253B99">
          <w:rPr>
            <w:rStyle w:val="Hiperhivatkozs"/>
            <w:noProof/>
          </w:rPr>
          <w:t>Business Rules</w:t>
        </w:r>
        <w:r>
          <w:rPr>
            <w:noProof/>
          </w:rPr>
          <w:tab/>
        </w:r>
        <w:r>
          <w:rPr>
            <w:noProof/>
          </w:rPr>
          <w:fldChar w:fldCharType="begin"/>
        </w:r>
        <w:r>
          <w:rPr>
            <w:noProof/>
          </w:rPr>
          <w:instrText xml:space="preserve"> PAGEREF _Toc442878152 \h </w:instrText>
        </w:r>
        <w:r>
          <w:rPr>
            <w:noProof/>
          </w:rPr>
        </w:r>
        <w:r>
          <w:rPr>
            <w:noProof/>
          </w:rPr>
          <w:fldChar w:fldCharType="separate"/>
        </w:r>
        <w:r w:rsidR="00F05693">
          <w:rPr>
            <w:noProof/>
          </w:rPr>
          <w:t>16</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53" w:history="1">
        <w:r w:rsidRPr="00253B99">
          <w:rPr>
            <w:rStyle w:val="Hiperhivatkozs"/>
            <w:noProof/>
          </w:rPr>
          <w:t>6.</w:t>
        </w:r>
        <w:r>
          <w:rPr>
            <w:rFonts w:asciiTheme="minorHAnsi" w:eastAsiaTheme="minorEastAsia" w:hAnsiTheme="minorHAnsi" w:cstheme="minorBidi"/>
            <w:b w:val="0"/>
            <w:noProof/>
            <w:sz w:val="22"/>
            <w:szCs w:val="22"/>
          </w:rPr>
          <w:tab/>
        </w:r>
        <w:r w:rsidRPr="00253B99">
          <w:rPr>
            <w:rStyle w:val="Hiperhivatkozs"/>
            <w:noProof/>
          </w:rPr>
          <w:t>Other Requirements</w:t>
        </w:r>
        <w:r>
          <w:rPr>
            <w:noProof/>
          </w:rPr>
          <w:tab/>
        </w:r>
        <w:r>
          <w:rPr>
            <w:noProof/>
          </w:rPr>
          <w:fldChar w:fldCharType="begin"/>
        </w:r>
        <w:r>
          <w:rPr>
            <w:noProof/>
          </w:rPr>
          <w:instrText xml:space="preserve"> PAGEREF _Toc442878153 \h </w:instrText>
        </w:r>
        <w:r>
          <w:rPr>
            <w:noProof/>
          </w:rPr>
        </w:r>
        <w:r>
          <w:rPr>
            <w:noProof/>
          </w:rPr>
          <w:fldChar w:fldCharType="separate"/>
        </w:r>
        <w:r w:rsidR="00F05693">
          <w:rPr>
            <w:noProof/>
          </w:rPr>
          <w:t>16</w:t>
        </w:r>
        <w:r>
          <w:rPr>
            <w:noProof/>
          </w:rPr>
          <w:fldChar w:fldCharType="end"/>
        </w:r>
      </w:hyperlink>
    </w:p>
    <w:p w:rsidR="00B75A29" w:rsidRDefault="00B75A29">
      <w:pPr>
        <w:pStyle w:val="TJ1"/>
        <w:rPr>
          <w:rFonts w:asciiTheme="minorHAnsi" w:eastAsiaTheme="minorEastAsia" w:hAnsiTheme="minorHAnsi" w:cstheme="minorBidi"/>
          <w:b w:val="0"/>
          <w:noProof/>
          <w:sz w:val="22"/>
          <w:szCs w:val="22"/>
        </w:rPr>
      </w:pPr>
      <w:hyperlink w:anchor="_Toc442878154" w:history="1">
        <w:r w:rsidRPr="00253B99">
          <w:rPr>
            <w:rStyle w:val="Hiperhivatkozs"/>
            <w:noProof/>
          </w:rPr>
          <w:t>7.</w:t>
        </w:r>
        <w:r>
          <w:rPr>
            <w:rFonts w:asciiTheme="minorHAnsi" w:eastAsiaTheme="minorEastAsia" w:hAnsiTheme="minorHAnsi" w:cstheme="minorBidi"/>
            <w:b w:val="0"/>
            <w:noProof/>
            <w:sz w:val="22"/>
            <w:szCs w:val="22"/>
          </w:rPr>
          <w:tab/>
        </w:r>
        <w:r w:rsidRPr="00253B99">
          <w:rPr>
            <w:rStyle w:val="Hiperhivatkozs"/>
            <w:noProof/>
          </w:rPr>
          <w:t>References</w:t>
        </w:r>
        <w:r>
          <w:rPr>
            <w:noProof/>
          </w:rPr>
          <w:tab/>
        </w:r>
        <w:r>
          <w:rPr>
            <w:noProof/>
          </w:rPr>
          <w:fldChar w:fldCharType="begin"/>
        </w:r>
        <w:r>
          <w:rPr>
            <w:noProof/>
          </w:rPr>
          <w:instrText xml:space="preserve"> PAGEREF _Toc442878154 \h </w:instrText>
        </w:r>
        <w:r>
          <w:rPr>
            <w:noProof/>
          </w:rPr>
        </w:r>
        <w:r>
          <w:rPr>
            <w:noProof/>
          </w:rPr>
          <w:fldChar w:fldCharType="separate"/>
        </w:r>
        <w:r w:rsidR="00F05693">
          <w:rPr>
            <w:noProof/>
          </w:rPr>
          <w:t>18</w:t>
        </w:r>
        <w:r>
          <w:rPr>
            <w:noProof/>
          </w:rPr>
          <w:fldChar w:fldCharType="end"/>
        </w:r>
      </w:hyperlink>
    </w:p>
    <w:p w:rsidR="001F09F0" w:rsidRDefault="004253A8">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0" w:type="auto"/>
        <w:tblInd w:w="-360" w:type="dxa"/>
        <w:tblLayout w:type="fixed"/>
        <w:tblLook w:val="0000"/>
      </w:tblPr>
      <w:tblGrid>
        <w:gridCol w:w="2160"/>
        <w:gridCol w:w="1353"/>
        <w:gridCol w:w="4771"/>
        <w:gridCol w:w="2299"/>
      </w:tblGrid>
      <w:tr w:rsidR="001F09F0">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485B61">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tc>
          <w:tcPr>
            <w:tcW w:w="2160" w:type="dxa"/>
            <w:tcBorders>
              <w:top w:val="single" w:sz="6" w:space="0" w:color="000000"/>
              <w:left w:val="single" w:sz="12" w:space="0" w:color="000000"/>
              <w:bottom w:val="single" w:sz="12"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12"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485B61" w:rsidRDefault="00485B61">
            <w:pPr>
              <w:snapToGrid w:val="0"/>
              <w:spacing w:before="40" w:after="40"/>
            </w:pPr>
            <w:r>
              <w:t>0.5</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4253A8">
        <w:rPr>
          <w:i w:val="0"/>
        </w:rPr>
        <w:fldChar w:fldCharType="begin"/>
      </w:r>
      <w:r>
        <w:rPr>
          <w:i w:val="0"/>
        </w:rPr>
        <w:instrText xml:space="preserve"> REF __RefHeading__77_56999456 \r \h </w:instrText>
      </w:r>
      <w:r w:rsidR="004253A8">
        <w:rPr>
          <w:i w:val="0"/>
        </w:rPr>
      </w:r>
      <w:r w:rsidR="004253A8">
        <w:rPr>
          <w:i w:val="0"/>
        </w:rPr>
        <w:fldChar w:fldCharType="separate"/>
      </w:r>
      <w:r w:rsidR="00F05693">
        <w:rPr>
          <w:i w:val="0"/>
        </w:rPr>
        <w:t>0</w:t>
      </w:r>
      <w:r w:rsidR="004253A8">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lastRenderedPageBreak/>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r>
        <w:rPr>
          <w:rFonts w:ascii="Courier New" w:hAnsi="Courier New" w:cs="Courier New"/>
        </w:rPr>
        <w:t>distsource_identifier</w:t>
      </w:r>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r>
        <w:rPr>
          <w:b/>
          <w:color w:val="FF0000"/>
        </w:rPr>
        <w:t>Use of this has to be clarified!</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4253A8"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R</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r>
                <w:rPr>
                  <w:rFonts w:ascii="Cambria Math" w:hAnsi="Cambria Math"/>
                </w:rPr>
                <m:t>n ν</m:t>
              </m:r>
              <m:d>
                <m:dPr>
                  <m:ctrlPr>
                    <w:rPr>
                      <w:rFonts w:ascii="Cambria Math" w:hAnsi="Cambria Math"/>
                      <w:i/>
                    </w:rPr>
                  </m:ctrlPr>
                </m:d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2"/>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4253A8"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4253A8"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eV</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F05693"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F05693" w:rsidRDefault="00F05693" w:rsidP="00A47244">
      <w:pPr>
        <w:spacing w:line="240" w:lineRule="auto"/>
      </w:pPr>
    </w:p>
    <w:p w:rsidR="00B75A29" w:rsidRDefault="00B75A29" w:rsidP="00A47244">
      <w:pPr>
        <w:spacing w:line="240" w:lineRule="auto"/>
      </w:pPr>
    </w:p>
    <w:p w:rsidR="00B75A29" w:rsidRDefault="00B75A29" w:rsidP="00A47244">
      <w:pPr>
        <w:spacing w:line="240" w:lineRule="auto"/>
      </w:pPr>
      <w:r>
        <w:t>REQ-</w:t>
      </w:r>
      <w:r w:rsidR="00F05693">
        <w:t>4</w:t>
      </w:r>
      <w:r w:rsidR="00D56F2C">
        <w:t>: h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ra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kT</m:t>
              </m:r>
            </m:den>
          </m:f>
        </m:oMath>
      </m:oMathPara>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98533B">
      <w:pPr>
        <w:pStyle w:val="requirement"/>
        <w:spacing w:line="240" w:lineRule="auto"/>
        <w:ind w:left="0" w:firstLine="0"/>
      </w:pPr>
      <w:r>
        <w:t>REQ-</w:t>
      </w:r>
      <w:r w:rsidR="00F05693">
        <w:t>10</w:t>
      </w:r>
      <w:r>
        <w:t>: When some input data is missing in CPO input, prints error message.</w:t>
      </w:r>
    </w:p>
    <w:p w:rsidR="0098533B" w:rsidRDefault="0098533B">
      <w:pPr>
        <w:suppressAutoHyphens w:val="0"/>
        <w:spacing w:line="240" w:lineRule="auto"/>
        <w:rPr>
          <w:rFonts w:ascii="Times New Roman" w:hAnsi="Times New Roman" w:cs="Times New Roman"/>
        </w:rPr>
      </w:pP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4253A8"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3"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3816424" cy="290938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4253A8"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4253A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4253A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4"/>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CB2963" w:rsidP="001B1FFC">
      <w:pPr>
        <w:pStyle w:val="template"/>
        <w:spacing w:line="240" w:lineRule="auto"/>
        <w:rPr>
          <w:i w:val="0"/>
        </w:rPr>
      </w:pP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1859F6" w:rsidRDefault="004253A8">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47244" w:rsidRDefault="00A47244">
      <w:pPr>
        <w:spacing w:line="240" w:lineRule="atLeast"/>
      </w:pPr>
    </w:p>
    <w:p w:rsidR="00A47244" w:rsidRDefault="00D11D8A">
      <w:pPr>
        <w:spacing w:line="240" w:lineRule="atLeast"/>
      </w:pPr>
      <w:r>
        <w:t>REQ-2: c</w:t>
      </w:r>
      <w:r w:rsidR="00555614">
        <w:t>ut-off</w:t>
      </w:r>
      <w:r w:rsidR="00A47244">
        <w:t xml:space="preserve"> electric field</w:t>
      </w:r>
    </w:p>
    <w:p w:rsidR="001F09F0" w:rsidRDefault="004253A8">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5"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213155" cy="33282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4253A8"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4253A8"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4253A8"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4253A8"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6"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972810" cy="226631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4253A8">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7"/>
      <w:headerReference w:type="default" r:id="rId28"/>
      <w:footerReference w:type="even" r:id="rId29"/>
      <w:footerReference w:type="default" r:id="rId30"/>
      <w:headerReference w:type="first" r:id="rId31"/>
      <w:footerReference w:type="first" r:id="rId32"/>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F43" w:rsidRDefault="00B33F43">
      <w:pPr>
        <w:spacing w:line="240" w:lineRule="auto"/>
      </w:pPr>
      <w:r>
        <w:separator/>
      </w:r>
    </w:p>
  </w:endnote>
  <w:endnote w:type="continuationSeparator" w:id="1">
    <w:p w:rsidR="00B33F43" w:rsidRDefault="00B33F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F43" w:rsidRDefault="00B33F43">
      <w:pPr>
        <w:spacing w:line="240" w:lineRule="auto"/>
      </w:pPr>
      <w:r>
        <w:separator/>
      </w:r>
    </w:p>
  </w:footnote>
  <w:footnote w:type="continuationSeparator" w:id="1">
    <w:p w:rsidR="00B33F43" w:rsidRDefault="00B33F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fej"/>
    </w:pPr>
    <w:r>
      <w:t>Software</w:t>
    </w:r>
    <w:r>
      <w:rPr>
        <w:sz w:val="24"/>
      </w:rPr>
      <w:t xml:space="preserve"> </w:t>
    </w:r>
    <w:r>
      <w:t>Requirements Specification for Runaway Fluid</w:t>
    </w:r>
    <w:r>
      <w:tab/>
      <w:t xml:space="preserve">Page </w:t>
    </w:r>
    <w:fldSimple w:instr=" PAGE ">
      <w:r w:rsidR="00F05693">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F05693">
        <w:rPr>
          <w:noProof/>
        </w:rPr>
        <w:t>10</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D4" w:rsidRDefault="00A031D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81B09"/>
    <w:rsid w:val="000D1647"/>
    <w:rsid w:val="0017459B"/>
    <w:rsid w:val="001859F6"/>
    <w:rsid w:val="0018701F"/>
    <w:rsid w:val="001B1FFC"/>
    <w:rsid w:val="001C67F2"/>
    <w:rsid w:val="001D0457"/>
    <w:rsid w:val="001F09F0"/>
    <w:rsid w:val="00235B34"/>
    <w:rsid w:val="003437E6"/>
    <w:rsid w:val="003C6A64"/>
    <w:rsid w:val="003E78C0"/>
    <w:rsid w:val="004253A8"/>
    <w:rsid w:val="00461A33"/>
    <w:rsid w:val="00485B61"/>
    <w:rsid w:val="004A5811"/>
    <w:rsid w:val="00555614"/>
    <w:rsid w:val="005932A6"/>
    <w:rsid w:val="005A5476"/>
    <w:rsid w:val="005C4103"/>
    <w:rsid w:val="005F51AB"/>
    <w:rsid w:val="005F5E8D"/>
    <w:rsid w:val="00627B94"/>
    <w:rsid w:val="00672F89"/>
    <w:rsid w:val="006F1BB9"/>
    <w:rsid w:val="00772E5D"/>
    <w:rsid w:val="007767DE"/>
    <w:rsid w:val="007A1271"/>
    <w:rsid w:val="007F75D0"/>
    <w:rsid w:val="00876135"/>
    <w:rsid w:val="008B33E6"/>
    <w:rsid w:val="008D404E"/>
    <w:rsid w:val="0096176C"/>
    <w:rsid w:val="0098533B"/>
    <w:rsid w:val="009B700F"/>
    <w:rsid w:val="009C56E8"/>
    <w:rsid w:val="009D0E7A"/>
    <w:rsid w:val="00A031D4"/>
    <w:rsid w:val="00A47244"/>
    <w:rsid w:val="00B3176B"/>
    <w:rsid w:val="00B33F43"/>
    <w:rsid w:val="00B47BFD"/>
    <w:rsid w:val="00B53083"/>
    <w:rsid w:val="00B54C4F"/>
    <w:rsid w:val="00B75A29"/>
    <w:rsid w:val="00BA3135"/>
    <w:rsid w:val="00BC10E4"/>
    <w:rsid w:val="00BE6EAC"/>
    <w:rsid w:val="00BF40F6"/>
    <w:rsid w:val="00C22DA8"/>
    <w:rsid w:val="00C261A8"/>
    <w:rsid w:val="00CB2963"/>
    <w:rsid w:val="00CC4118"/>
    <w:rsid w:val="00CC5E96"/>
    <w:rsid w:val="00D11D8A"/>
    <w:rsid w:val="00D34CAB"/>
    <w:rsid w:val="00D542FD"/>
    <w:rsid w:val="00D56F2C"/>
    <w:rsid w:val="00D95922"/>
    <w:rsid w:val="00DA789F"/>
    <w:rsid w:val="00E216A9"/>
    <w:rsid w:val="00E35779"/>
    <w:rsid w:val="00EA4BFF"/>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ortal.efda-itm.eu/itm/portal/auth/index.php?page=Docume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itm/portal/auth/index.php?page=Document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20</Pages>
  <Words>3867</Words>
  <Characters>26689</Characters>
  <Application>Microsoft Office Word</Application>
  <DocSecurity>0</DocSecurity>
  <Lines>222</Lines>
  <Paragraphs>60</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52</cp:revision>
  <cp:lastPrinted>2016-02-10T14:07:00Z</cp:lastPrinted>
  <dcterms:created xsi:type="dcterms:W3CDTF">2016-02-03T16:03:00Z</dcterms:created>
  <dcterms:modified xsi:type="dcterms:W3CDTF">2016-02-10T14:30:00Z</dcterms:modified>
</cp:coreProperties>
</file>