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485B61">
      <w:pPr>
        <w:pStyle w:val="ByLine"/>
      </w:pPr>
      <w:r>
        <w:t>Version 0.5</w:t>
      </w:r>
    </w:p>
    <w:p w:rsidR="001F09F0" w:rsidRDefault="005C4103">
      <w:pPr>
        <w:pStyle w:val="ByLine"/>
      </w:pPr>
      <w:r>
        <w:t>Prepared by Gergő Pokol and Mátyás Aradi</w:t>
      </w:r>
    </w:p>
    <w:p w:rsidR="001F09F0" w:rsidRDefault="005C4103">
      <w:pPr>
        <w:pStyle w:val="ByLine"/>
      </w:pPr>
      <w:r>
        <w:t>BME NTI, Hungary</w:t>
      </w:r>
    </w:p>
    <w:p w:rsidR="001F09F0" w:rsidRDefault="005C4103">
      <w:pPr>
        <w:pStyle w:val="ByLine"/>
        <w:sectPr w:rsidR="001F09F0">
          <w:pgSz w:w="12240" w:h="15840"/>
          <w:pgMar w:top="1440" w:right="1440" w:bottom="1440" w:left="1440" w:header="708" w:footer="708" w:gutter="0"/>
          <w:pgNumType w:fmt="lowerRoman" w:start="1"/>
          <w:cols w:space="708"/>
          <w:docGrid w:linePitch="360"/>
        </w:sectPr>
      </w:pPr>
      <w:r>
        <w:t>0</w:t>
      </w:r>
      <w:r w:rsidR="00F245A4">
        <w:t>8</w:t>
      </w:r>
      <w:r>
        <w:t>. February 2016.</w:t>
      </w:r>
    </w:p>
    <w:p w:rsidR="001F09F0" w:rsidRDefault="005C4103">
      <w:pPr>
        <w:pStyle w:val="TOCEntry"/>
      </w:pPr>
      <w:bookmarkStart w:id="0" w:name="__RefHeading___Toc441230970"/>
      <w:bookmarkEnd w:id="0"/>
      <w:r>
        <w:lastRenderedPageBreak/>
        <w:t>Table of Contents</w:t>
      </w:r>
    </w:p>
    <w:p w:rsidR="001F09F0" w:rsidRDefault="00772E5D">
      <w:pPr>
        <w:pStyle w:val="TJ1"/>
        <w:tabs>
          <w:tab w:val="clear" w:pos="9360"/>
        </w:tabs>
      </w:pPr>
      <w:r w:rsidRPr="00772E5D">
        <w:fldChar w:fldCharType="begin"/>
      </w:r>
      <w:r w:rsidR="005C4103">
        <w:instrText xml:space="preserve"> TOC \o "1-2" \h</w:instrText>
      </w:r>
      <w:r w:rsidRPr="00772E5D">
        <w:fldChar w:fldCharType="separate"/>
      </w:r>
      <w:r w:rsidR="005C4103">
        <w:t>1. Introduction</w:t>
      </w:r>
      <w:r w:rsidR="005C4103">
        <w:tab/>
      </w:r>
      <w:hyperlink w:anchor="__RefHeading__81_56999456" w:history="1">
        <w:r w:rsidR="005C4103">
          <w:t>1</w:t>
        </w:r>
      </w:hyperlink>
    </w:p>
    <w:p w:rsidR="001F09F0" w:rsidRDefault="005C4103">
      <w:pPr>
        <w:pStyle w:val="TJ2"/>
      </w:pPr>
      <w:r>
        <w:t>1.1 Purpose</w:t>
      </w:r>
      <w:r>
        <w:tab/>
      </w:r>
      <w:hyperlink w:anchor="__RefHeading__83_56999456" w:history="1">
        <w:r>
          <w:t>1</w:t>
        </w:r>
      </w:hyperlink>
    </w:p>
    <w:p w:rsidR="001F09F0" w:rsidRDefault="005C4103">
      <w:pPr>
        <w:pStyle w:val="TJ2"/>
      </w:pPr>
      <w:r>
        <w:t>1.2 Document Conventions</w:t>
      </w:r>
      <w:r>
        <w:tab/>
      </w:r>
      <w:hyperlink w:anchor="__RefHeading__85_56999456" w:history="1">
        <w:r>
          <w:t>1</w:t>
        </w:r>
      </w:hyperlink>
    </w:p>
    <w:p w:rsidR="001F09F0" w:rsidRDefault="005C4103">
      <w:pPr>
        <w:pStyle w:val="TJ2"/>
      </w:pPr>
      <w:r>
        <w:t>1.3 Intended Audience and Reading Suggestions</w:t>
      </w:r>
      <w:r>
        <w:tab/>
      </w:r>
      <w:hyperlink w:anchor="__RefHeading__87_56999456" w:history="1">
        <w:r>
          <w:t>1</w:t>
        </w:r>
      </w:hyperlink>
    </w:p>
    <w:p w:rsidR="001F09F0" w:rsidRDefault="005C4103">
      <w:pPr>
        <w:pStyle w:val="TJ2"/>
      </w:pPr>
      <w:r>
        <w:t>1.4 Product Scope</w:t>
      </w:r>
      <w:r>
        <w:tab/>
      </w:r>
      <w:hyperlink w:anchor="__RefHeading__89_56999456" w:history="1">
        <w:r>
          <w:t>1</w:t>
        </w:r>
      </w:hyperlink>
    </w:p>
    <w:p w:rsidR="001F09F0" w:rsidRDefault="005C4103">
      <w:pPr>
        <w:pStyle w:val="TJ2"/>
      </w:pPr>
      <w:r>
        <w:t>1.5 References</w:t>
      </w:r>
      <w:r>
        <w:tab/>
      </w:r>
      <w:hyperlink w:anchor="__RefHeading__91_56999456" w:history="1">
        <w:r>
          <w:t>2</w:t>
        </w:r>
      </w:hyperlink>
    </w:p>
    <w:p w:rsidR="001F09F0" w:rsidRDefault="005C4103">
      <w:pPr>
        <w:pStyle w:val="TJ1"/>
        <w:tabs>
          <w:tab w:val="clear" w:pos="9360"/>
        </w:tabs>
      </w:pPr>
      <w:r>
        <w:t>2. Overall Description</w:t>
      </w:r>
      <w:r>
        <w:tab/>
      </w:r>
      <w:hyperlink w:anchor="__RefHeading__93_56999456" w:history="1">
        <w:r>
          <w:t>2</w:t>
        </w:r>
      </w:hyperlink>
    </w:p>
    <w:p w:rsidR="001F09F0" w:rsidRDefault="005C4103">
      <w:pPr>
        <w:pStyle w:val="TJ2"/>
      </w:pPr>
      <w:r>
        <w:t>2.1 Product Perspective</w:t>
      </w:r>
      <w:r>
        <w:tab/>
      </w:r>
      <w:hyperlink w:anchor="__RefHeading__95_56999456" w:history="1">
        <w:r>
          <w:t>2</w:t>
        </w:r>
      </w:hyperlink>
    </w:p>
    <w:p w:rsidR="001F09F0" w:rsidRDefault="005C4103">
      <w:pPr>
        <w:pStyle w:val="TJ2"/>
      </w:pPr>
      <w:r>
        <w:t>2.2 Product Functions</w:t>
      </w:r>
      <w:r>
        <w:tab/>
      </w:r>
      <w:hyperlink w:anchor="__RefHeading__97_56999456" w:history="1">
        <w:r>
          <w:t>2</w:t>
        </w:r>
      </w:hyperlink>
    </w:p>
    <w:p w:rsidR="001F09F0" w:rsidRDefault="005C4103">
      <w:pPr>
        <w:pStyle w:val="TJ2"/>
      </w:pPr>
      <w:r>
        <w:t>2.3 User Classes and Characteristics</w:t>
      </w:r>
      <w:r>
        <w:tab/>
      </w:r>
      <w:hyperlink w:anchor="__RefHeading__99_56999456" w:history="1">
        <w:r>
          <w:t>3</w:t>
        </w:r>
      </w:hyperlink>
    </w:p>
    <w:p w:rsidR="001F09F0" w:rsidRDefault="005C4103">
      <w:pPr>
        <w:pStyle w:val="TJ2"/>
      </w:pPr>
      <w:r>
        <w:t>2.4 Operating Environment</w:t>
      </w:r>
      <w:r>
        <w:tab/>
      </w:r>
      <w:hyperlink w:anchor="__RefHeading__101_56999456" w:history="1">
        <w:r>
          <w:t>3</w:t>
        </w:r>
      </w:hyperlink>
    </w:p>
    <w:p w:rsidR="001F09F0" w:rsidRDefault="005C4103">
      <w:pPr>
        <w:pStyle w:val="TJ2"/>
      </w:pPr>
      <w:r>
        <w:t>2.5 Design and Implementation Constraints</w:t>
      </w:r>
      <w:r>
        <w:tab/>
      </w:r>
      <w:hyperlink w:anchor="__RefHeading__109_56999456" w:history="1">
        <w:r>
          <w:t>5</w:t>
        </w:r>
      </w:hyperlink>
    </w:p>
    <w:p w:rsidR="001F09F0" w:rsidRDefault="005C4103">
      <w:pPr>
        <w:pStyle w:val="TJ2"/>
      </w:pPr>
      <w:r>
        <w:t>2.6 User Documentation</w:t>
      </w:r>
      <w:r>
        <w:tab/>
      </w:r>
      <w:hyperlink w:anchor="__RefHeading__111_56999456" w:history="1">
        <w:r>
          <w:t>5</w:t>
        </w:r>
      </w:hyperlink>
    </w:p>
    <w:p w:rsidR="001F09F0" w:rsidRDefault="005C4103">
      <w:pPr>
        <w:pStyle w:val="TJ2"/>
      </w:pPr>
      <w:r>
        <w:t>2.7 Assumptions and Dependencies</w:t>
      </w:r>
      <w:r>
        <w:tab/>
      </w:r>
      <w:hyperlink w:anchor="__RefHeading__113_56999456" w:history="1">
        <w:r>
          <w:t>5</w:t>
        </w:r>
      </w:hyperlink>
    </w:p>
    <w:p w:rsidR="001F09F0" w:rsidRDefault="005C4103">
      <w:pPr>
        <w:pStyle w:val="TJ1"/>
        <w:tabs>
          <w:tab w:val="clear" w:pos="9360"/>
        </w:tabs>
      </w:pPr>
      <w:r>
        <w:t>3. External Interface Requirements</w:t>
      </w:r>
      <w:r>
        <w:tab/>
      </w:r>
      <w:hyperlink w:anchor="__RefHeading__115_56999456" w:history="1">
        <w:r>
          <w:t>6</w:t>
        </w:r>
      </w:hyperlink>
    </w:p>
    <w:p w:rsidR="001F09F0" w:rsidRDefault="005C4103">
      <w:pPr>
        <w:pStyle w:val="TJ2"/>
      </w:pPr>
      <w:r>
        <w:t>3.1 User Interfaces</w:t>
      </w:r>
      <w:r>
        <w:tab/>
      </w:r>
      <w:hyperlink w:anchor="__RefHeading__117_56999456" w:history="1">
        <w:r>
          <w:t>6</w:t>
        </w:r>
      </w:hyperlink>
    </w:p>
    <w:p w:rsidR="001F09F0" w:rsidRDefault="005C4103">
      <w:pPr>
        <w:pStyle w:val="TJ2"/>
      </w:pPr>
      <w:r>
        <w:t>3.2 Hardware Interfaces</w:t>
      </w:r>
      <w:r>
        <w:tab/>
      </w:r>
      <w:hyperlink w:anchor="__RefHeading__119_56999456" w:history="1">
        <w:r>
          <w:t>6</w:t>
        </w:r>
      </w:hyperlink>
    </w:p>
    <w:p w:rsidR="001F09F0" w:rsidRDefault="005C4103">
      <w:pPr>
        <w:pStyle w:val="TJ2"/>
      </w:pPr>
      <w:r>
        <w:t>3.3 Software Interfaces</w:t>
      </w:r>
      <w:r>
        <w:tab/>
      </w:r>
      <w:hyperlink w:anchor="__RefHeading__121_56999456" w:history="1">
        <w:r>
          <w:t>6</w:t>
        </w:r>
      </w:hyperlink>
    </w:p>
    <w:p w:rsidR="001F09F0" w:rsidRDefault="005C4103">
      <w:pPr>
        <w:pStyle w:val="TJ2"/>
      </w:pPr>
      <w:r>
        <w:t>3.4 Communications Interfaces</w:t>
      </w:r>
      <w:r>
        <w:tab/>
      </w:r>
      <w:hyperlink w:anchor="__RefHeading__127_56999456" w:history="1">
        <w:r>
          <w:t>7</w:t>
        </w:r>
      </w:hyperlink>
    </w:p>
    <w:p w:rsidR="001F09F0" w:rsidRDefault="005C4103">
      <w:pPr>
        <w:pStyle w:val="TJ1"/>
        <w:tabs>
          <w:tab w:val="clear" w:pos="9360"/>
        </w:tabs>
      </w:pPr>
      <w:r>
        <w:t>4. System Features</w:t>
      </w:r>
      <w:r>
        <w:tab/>
      </w:r>
      <w:hyperlink w:anchor="__RefHeading__129_56999456" w:history="1">
        <w:r>
          <w:t>7</w:t>
        </w:r>
      </w:hyperlink>
    </w:p>
    <w:p w:rsidR="001F09F0" w:rsidRDefault="005C4103">
      <w:pPr>
        <w:pStyle w:val="TJ2"/>
      </w:pPr>
      <w:r>
        <w:t>4.1 Critical field warning</w:t>
      </w:r>
      <w:r>
        <w:tab/>
      </w:r>
      <w:hyperlink w:anchor="__RefHeading__131_56999456" w:history="1">
        <w:r>
          <w:t>7</w:t>
        </w:r>
      </w:hyperlink>
    </w:p>
    <w:p w:rsidR="001F09F0" w:rsidRDefault="005C4103">
      <w:pPr>
        <w:pStyle w:val="TJ2"/>
      </w:pPr>
      <w:r>
        <w:t>4.2 Growth rate warning</w:t>
      </w:r>
      <w:r>
        <w:tab/>
      </w:r>
      <w:hyperlink w:anchor="__RefHeading__139_56999456" w:history="1">
        <w:r>
          <w:t>8</w:t>
        </w:r>
      </w:hyperlink>
    </w:p>
    <w:p w:rsidR="001F09F0" w:rsidRDefault="005C4103">
      <w:pPr>
        <w:pStyle w:val="TJ1"/>
        <w:tabs>
          <w:tab w:val="clear" w:pos="9360"/>
        </w:tabs>
      </w:pPr>
      <w:r>
        <w:t>5. Other Nonfunctional Requirements</w:t>
      </w:r>
      <w:r>
        <w:tab/>
      </w:r>
      <w:hyperlink w:anchor="__RefHeading__147_56999456" w:history="1">
        <w:r>
          <w:t>9</w:t>
        </w:r>
      </w:hyperlink>
    </w:p>
    <w:p w:rsidR="001F09F0" w:rsidRDefault="005C4103">
      <w:pPr>
        <w:pStyle w:val="TJ2"/>
      </w:pPr>
      <w:r>
        <w:t>5.1 Performance Requirements</w:t>
      </w:r>
      <w:r>
        <w:tab/>
      </w:r>
      <w:hyperlink w:anchor="__RefHeading__149_56999456" w:history="1">
        <w:r>
          <w:t>9</w:t>
        </w:r>
      </w:hyperlink>
    </w:p>
    <w:p w:rsidR="001F09F0" w:rsidRDefault="005C4103">
      <w:pPr>
        <w:pStyle w:val="TJ2"/>
      </w:pPr>
      <w:r>
        <w:t>5.2 Safety Requirements</w:t>
      </w:r>
      <w:r>
        <w:tab/>
      </w:r>
      <w:hyperlink w:anchor="__RefHeading__151_56999456" w:history="1">
        <w:r>
          <w:t>9</w:t>
        </w:r>
      </w:hyperlink>
    </w:p>
    <w:p w:rsidR="001F09F0" w:rsidRDefault="005C4103">
      <w:pPr>
        <w:pStyle w:val="TJ2"/>
      </w:pPr>
      <w:r>
        <w:t>5.3 Security Requirements</w:t>
      </w:r>
      <w:r>
        <w:tab/>
      </w:r>
      <w:hyperlink w:anchor="__RefHeading__153_56999456" w:history="1">
        <w:r>
          <w:t>9</w:t>
        </w:r>
      </w:hyperlink>
    </w:p>
    <w:p w:rsidR="001F09F0" w:rsidRDefault="005C4103">
      <w:pPr>
        <w:pStyle w:val="TJ2"/>
      </w:pPr>
      <w:r>
        <w:t>5.4 Software Quality Attributes</w:t>
      </w:r>
      <w:r>
        <w:tab/>
      </w:r>
      <w:hyperlink w:anchor="__RefHeading__155_56999456" w:history="1">
        <w:r>
          <w:t>9</w:t>
        </w:r>
      </w:hyperlink>
    </w:p>
    <w:p w:rsidR="001F09F0" w:rsidRDefault="005C4103">
      <w:pPr>
        <w:pStyle w:val="TJ2"/>
      </w:pPr>
      <w:r>
        <w:t>5.5 Business Rules</w:t>
      </w:r>
      <w:r>
        <w:tab/>
      </w:r>
      <w:hyperlink w:anchor="__RefHeading__157_56999456" w:history="1">
        <w:r>
          <w:t>10</w:t>
        </w:r>
      </w:hyperlink>
    </w:p>
    <w:p w:rsidR="001F09F0" w:rsidRDefault="005C4103">
      <w:pPr>
        <w:pStyle w:val="TJ1"/>
        <w:tabs>
          <w:tab w:val="clear" w:pos="9360"/>
        </w:tabs>
      </w:pPr>
      <w:r>
        <w:t>6. Other Requirements</w:t>
      </w:r>
      <w:r>
        <w:tab/>
      </w:r>
      <w:hyperlink w:anchor="__RefHeading__159_56999456" w:history="1">
        <w:r>
          <w:t>10</w:t>
        </w:r>
      </w:hyperlink>
    </w:p>
    <w:p w:rsidR="001F09F0" w:rsidRDefault="00772E5D">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1F09F0" w:rsidRDefault="005C4103">
      <w:pPr>
        <w:pStyle w:val="TOCEntry"/>
      </w:pPr>
      <w:bookmarkStart w:id="1" w:name="__RefHeading___Toc441230971"/>
      <w:bookmarkEnd w:id="1"/>
      <w:r>
        <w:t>Revision History</w:t>
      </w:r>
    </w:p>
    <w:tbl>
      <w:tblPr>
        <w:tblW w:w="0" w:type="auto"/>
        <w:tblInd w:w="-360" w:type="dxa"/>
        <w:tblLayout w:type="fixed"/>
        <w:tblLook w:val="0000"/>
      </w:tblPr>
      <w:tblGrid>
        <w:gridCol w:w="2160"/>
        <w:gridCol w:w="1353"/>
        <w:gridCol w:w="4771"/>
        <w:gridCol w:w="2299"/>
      </w:tblGrid>
      <w:tr w:rsidR="001F09F0">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485B61">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tc>
          <w:tcPr>
            <w:tcW w:w="2160" w:type="dxa"/>
            <w:tcBorders>
              <w:top w:val="single" w:sz="6" w:space="0" w:color="000000"/>
              <w:left w:val="single" w:sz="12" w:space="0" w:color="000000"/>
              <w:bottom w:val="single" w:sz="12"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12"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485B61" w:rsidRDefault="00485B61">
            <w:pPr>
              <w:snapToGrid w:val="0"/>
              <w:spacing w:before="40" w:after="40"/>
            </w:pPr>
            <w:r>
              <w:t>0.5</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81_56999456"/>
      <w:bookmarkStart w:id="3" w:name="__RefHeading___Toc441230972"/>
      <w:bookmarkStart w:id="4" w:name="__RefHeading__40_1693480392"/>
      <w:bookmarkEnd w:id="2"/>
      <w:bookmarkEnd w:id="3"/>
      <w:bookmarkEnd w:id="4"/>
      <w:r w:rsidRPr="001D0457">
        <w:lastRenderedPageBreak/>
        <w:t>Introduction</w:t>
      </w:r>
    </w:p>
    <w:p w:rsidR="001F09F0" w:rsidRDefault="005C4103">
      <w:pPr>
        <w:pStyle w:val="Cmsor2"/>
        <w:rPr>
          <w:color w:val="999999"/>
        </w:rPr>
      </w:pPr>
      <w:bookmarkStart w:id="5" w:name="__RefHeading__83_56999456"/>
      <w:bookmarkStart w:id="6" w:name="__RefHeading__156_1693480392"/>
      <w:bookmarkStart w:id="7" w:name="__RefHeading___Toc441230973"/>
      <w:bookmarkEnd w:id="5"/>
      <w:bookmarkEnd w:id="6"/>
      <w:r>
        <w:t>Purpose</w:t>
      </w:r>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(ITM) of the EUROfusion consortium (</w:t>
      </w:r>
      <w:hyperlink r:id="rId12" w:history="1">
        <w:r>
          <w:rPr>
            <w:rStyle w:val="Hiperhivatkozs"/>
          </w:rPr>
          <w:t>http://portal.efda-itm.eu</w:t>
        </w:r>
      </w:hyperlink>
      <w:r>
        <w:rPr>
          <w:i w:val="0"/>
        </w:rPr>
        <w:t>).</w:t>
      </w:r>
    </w:p>
    <w:p w:rsidR="001F09F0" w:rsidRDefault="005C4103" w:rsidP="001D0457">
      <w:pPr>
        <w:pStyle w:val="Cmsor2"/>
      </w:pPr>
      <w:bookmarkStart w:id="8" w:name="__RefHeading__85_56999456"/>
      <w:bookmarkStart w:id="9" w:name="__RefHeading___Toc441230974"/>
      <w:bookmarkStart w:id="10" w:name="__RefHeading__158_1693480392"/>
      <w:bookmarkEnd w:id="8"/>
      <w:bookmarkEnd w:id="9"/>
      <w:bookmarkEnd w:id="10"/>
      <w:r>
        <w:t>Document Conventions</w:t>
      </w:r>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87_56999456"/>
      <w:bookmarkStart w:id="12" w:name="__RefHeading___Toc441230975"/>
      <w:bookmarkStart w:id="13" w:name="__RefHeading__160_1693480392"/>
      <w:bookmarkEnd w:id="11"/>
      <w:bookmarkEnd w:id="12"/>
      <w:bookmarkEnd w:id="13"/>
      <w:r>
        <w:t>Intended Audience and Reading Suggestions</w:t>
      </w:r>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This Software Requirements Specification (SRS) document is intended for ITM/ETS/H&amp;CD workflow developers, and developers of runafluid module. The document describes the module runafluid,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89_56999456"/>
      <w:bookmarkStart w:id="15" w:name="__RefHeading___Toc441230976"/>
      <w:bookmarkStart w:id="16" w:name="__RefHeading__162_1693480392"/>
      <w:bookmarkEnd w:id="14"/>
      <w:bookmarkEnd w:id="15"/>
      <w:bookmarkEnd w:id="16"/>
      <w:r>
        <w:t>Product Scope</w:t>
      </w:r>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(Runafluid) project supplies a simulator module assembled as a Kepler workflow actor, which is capable of indicating whether runaway electron generation is to be expected during tokamak operation. This functionality is highly valuable in ITM simulations, since present equilibrium and transport calculations neglect the generation of runaway electrons. The Runafluid module can determine whether runaways are generated thus validate the results of equilibrium and transport modules in this manner.</w:t>
      </w:r>
    </w:p>
    <w:p w:rsidR="001F09F0" w:rsidRDefault="005C4103" w:rsidP="001D0457">
      <w:pPr>
        <w:pStyle w:val="Cmsor2"/>
      </w:pPr>
      <w:bookmarkStart w:id="17" w:name="__RefHeading__91_56999456"/>
      <w:bookmarkStart w:id="18" w:name="__RefHeading___Toc441230977"/>
      <w:bookmarkStart w:id="19" w:name="__RefHeading__164_1693480392"/>
      <w:bookmarkEnd w:id="17"/>
      <w:bookmarkEnd w:id="18"/>
      <w:bookmarkEnd w:id="19"/>
      <w:r>
        <w:lastRenderedPageBreak/>
        <w:t>References</w:t>
      </w:r>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ITM-TF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0" w:name="__RefHeading__93_56999456"/>
      <w:bookmarkStart w:id="21" w:name="__RefHeading___Toc441230978"/>
      <w:bookmarkStart w:id="22" w:name="__RefHeading__42_1693480392"/>
      <w:bookmarkEnd w:id="20"/>
      <w:bookmarkEnd w:id="21"/>
      <w:bookmarkEnd w:id="22"/>
      <w:r>
        <w:t>Overall Description</w:t>
      </w:r>
    </w:p>
    <w:p w:rsidR="001F09F0" w:rsidRDefault="005C4103" w:rsidP="001D0457">
      <w:pPr>
        <w:pStyle w:val="Cmsor2"/>
      </w:pPr>
      <w:bookmarkStart w:id="23" w:name="__RefHeading__95_56999456"/>
      <w:bookmarkStart w:id="24" w:name="__RefHeading___Toc441230979"/>
      <w:bookmarkStart w:id="25" w:name="__RefHeading__166_1693480392"/>
      <w:bookmarkEnd w:id="23"/>
      <w:bookmarkEnd w:id="24"/>
      <w:bookmarkEnd w:id="25"/>
      <w:r>
        <w:t>Product Perspective</w:t>
      </w:r>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Runaway Fluid module implements an ITM Kepler actor.</w:t>
      </w:r>
    </w:p>
    <w:p w:rsidR="001F09F0" w:rsidRDefault="005C4103" w:rsidP="001D0457">
      <w:pPr>
        <w:pStyle w:val="Cmsor2"/>
      </w:pPr>
      <w:bookmarkStart w:id="26" w:name="__RefHeading__97_56999456"/>
      <w:bookmarkStart w:id="27" w:name="__RefHeading___Toc441230980"/>
      <w:bookmarkStart w:id="28" w:name="__RefHeading__168_1693480392"/>
      <w:bookmarkEnd w:id="26"/>
      <w:bookmarkEnd w:id="27"/>
      <w:bookmarkEnd w:id="28"/>
      <w:r>
        <w:t>Product Functions</w:t>
      </w:r>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99_56999456"/>
      <w:bookmarkStart w:id="30" w:name="__RefHeading___Toc441230981"/>
      <w:bookmarkStart w:id="31" w:name="__RefHeading__170_1693480392"/>
      <w:bookmarkEnd w:id="29"/>
      <w:bookmarkEnd w:id="30"/>
      <w:bookmarkEnd w:id="31"/>
      <w:r>
        <w:t>User Classes and Characteristics</w:t>
      </w:r>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101_56999456"/>
      <w:bookmarkStart w:id="33" w:name="__RefHeading___Toc441230982"/>
      <w:bookmarkStart w:id="34" w:name="__RefHeading__172_1693480392"/>
      <w:bookmarkEnd w:id="32"/>
      <w:bookmarkEnd w:id="33"/>
      <w:bookmarkEnd w:id="34"/>
      <w:r>
        <w:t>Operating Environment</w:t>
      </w:r>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pPr>
        <w:pStyle w:val="Cmsor3"/>
        <w:rPr>
          <w:i/>
          <w:iCs/>
        </w:rPr>
      </w:pPr>
      <w:bookmarkStart w:id="35" w:name="__RefHeading__103_56999456"/>
      <w:bookmarkStart w:id="36" w:name="__RefHeading__77_56999456"/>
      <w:bookmarkEnd w:id="35"/>
      <w:bookmarkEnd w:id="36"/>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“use_runaway_fluid”. Setting this boolean parameter to true enables the “RUNAFLUID” actor.</w:t>
      </w:r>
    </w:p>
    <w:p w:rsidR="001F09F0" w:rsidRDefault="005C4103">
      <w:pPr>
        <w:pStyle w:val="Cmsor3"/>
      </w:pPr>
      <w:bookmarkStart w:id="37" w:name="__RefHeading__105_56999456"/>
      <w:bookmarkEnd w:id="37"/>
      <w:r>
        <w:t xml:space="preserve">Demultiplexer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1F09F0" w:rsidRDefault="005C4103">
      <w:pPr>
        <w:pStyle w:val="template"/>
        <w:rPr>
          <w:i w:val="0"/>
        </w:rPr>
      </w:pPr>
      <w:r>
        <w:rPr>
          <w:i w:val="0"/>
        </w:rPr>
        <w:t xml:space="preserve">Demultiplexer workflow is contained in composite actor named “RUNAFLUID”. Demultiplexer workflow reads the input CPO-s and time from the input bundle and feeds those values into the “runaway_fluid” actor. The input bundle of demultiplexer workflow (and subsequently input bundle of enabler workflow described in </w:t>
      </w:r>
      <w:r w:rsidR="00772E5D">
        <w:rPr>
          <w:i w:val="0"/>
        </w:rPr>
        <w:fldChar w:fldCharType="begin"/>
      </w:r>
      <w:r>
        <w:rPr>
          <w:i w:val="0"/>
        </w:rPr>
        <w:instrText xml:space="preserve"> REF __RefHeading__77_56999456 \r \h </w:instrText>
      </w:r>
      <w:r w:rsidR="00772E5D">
        <w:rPr>
          <w:i w:val="0"/>
        </w:rPr>
      </w:r>
      <w:r w:rsidR="00772E5D">
        <w:rPr>
          <w:i w:val="0"/>
        </w:rPr>
        <w:fldChar w:fldCharType="separate"/>
      </w:r>
      <w:r>
        <w:rPr>
          <w:i w:val="0"/>
        </w:rPr>
        <w:t>2.4.1</w:t>
      </w:r>
      <w:r w:rsidR="00772E5D">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1F09F0">
        <w:tc>
          <w:tcPr>
            <w:tcW w:w="375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lastRenderedPageBreak/>
              <w:t>critical_fraction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1F09F0" w:rsidRDefault="005C4103">
      <w:pPr>
        <w:pStyle w:val="Cmsor3"/>
        <w:rPr>
          <w:i/>
          <w:iCs/>
        </w:rPr>
      </w:pPr>
      <w:bookmarkStart w:id="38" w:name="__RefHeading__107_56999456"/>
      <w:bookmarkEnd w:id="38"/>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&lt;critical_fraction&gt;%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39" w:name="__RefHeading__109_56999456"/>
      <w:bookmarkStart w:id="40" w:name="__RefHeading___Toc441230983"/>
      <w:bookmarkStart w:id="41" w:name="__RefHeading__174_1693480392"/>
      <w:bookmarkEnd w:id="39"/>
      <w:bookmarkEnd w:id="40"/>
      <w:bookmarkEnd w:id="41"/>
      <w:r>
        <w:t>Design and Implementation Constraints</w:t>
      </w:r>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 Runaway Indicator module implements a Kepler actor.</w:t>
      </w:r>
    </w:p>
    <w:p w:rsidR="001F09F0" w:rsidRDefault="001F09F0">
      <w:pPr>
        <w:pStyle w:val="template"/>
        <w:rPr>
          <w:i w:val="0"/>
        </w:rPr>
      </w:pPr>
    </w:p>
    <w:p w:rsidR="001F09F0" w:rsidRDefault="005C4103">
      <w:pPr>
        <w:pStyle w:val="template"/>
        <w:rPr>
          <w:i w:val="0"/>
        </w:rPr>
      </w:pPr>
      <w:r>
        <w:rPr>
          <w:i w:val="0"/>
        </w:rPr>
        <w:t>In the framework of the Code Development for Integrated Modelling Project (ITM), the Universal Access Layer (UAL) provides the capability of storing/retrieving data involved in simulation. The granularity in data access is given by the definition of a set of Consistent Physical Objects (CPOs). Runaway Indicator module uses the UAL layer for input/output.</w:t>
      </w:r>
    </w:p>
    <w:p w:rsidR="001F09F0" w:rsidRDefault="001F09F0">
      <w:pPr>
        <w:pStyle w:val="template"/>
        <w:rPr>
          <w:i w:val="0"/>
        </w:rPr>
      </w:pPr>
    </w:p>
    <w:p w:rsidR="001F09F0" w:rsidRDefault="005C4103">
      <w:pPr>
        <w:pStyle w:val="template"/>
        <w:rPr>
          <w:i w:val="0"/>
        </w:rPr>
      </w:pPr>
      <w:r>
        <w:rPr>
          <w:i w:val="0"/>
        </w:rPr>
        <w:t>Runaway Indicator actor will be implemented in C++ language.</w:t>
      </w:r>
    </w:p>
    <w:p w:rsidR="001F09F0" w:rsidRDefault="001F09F0">
      <w:pPr>
        <w:pStyle w:val="template"/>
        <w:rPr>
          <w:i w:val="0"/>
        </w:rPr>
      </w:pPr>
    </w:p>
    <w:p w:rsidR="001F09F0" w:rsidRDefault="005C4103">
      <w:pPr>
        <w:pStyle w:val="template"/>
      </w:pPr>
      <w:r>
        <w:rPr>
          <w:i w:val="0"/>
        </w:rPr>
        <w:t>Runaway Indicator actor will be implemented using ITM tool “fc2k”.</w:t>
      </w:r>
    </w:p>
    <w:p w:rsidR="001F09F0" w:rsidRDefault="005C4103" w:rsidP="001D0457">
      <w:pPr>
        <w:pStyle w:val="Cmsor2"/>
      </w:pPr>
      <w:bookmarkStart w:id="42" w:name="__RefHeading__111_56999456"/>
      <w:bookmarkStart w:id="43" w:name="__RefHeading___Toc441230984"/>
      <w:bookmarkStart w:id="44" w:name="__RefHeading__176_1693480392"/>
      <w:bookmarkEnd w:id="42"/>
      <w:bookmarkEnd w:id="43"/>
      <w:bookmarkEnd w:id="44"/>
      <w:r>
        <w:lastRenderedPageBreak/>
        <w:t>User Documentation</w:t>
      </w:r>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5" w:name="__RefHeading__113_56999456"/>
      <w:bookmarkStart w:id="46" w:name="__RefHeading___Toc441230985"/>
      <w:bookmarkStart w:id="47" w:name="__RefHeading__178_1693480392"/>
      <w:bookmarkEnd w:id="45"/>
      <w:bookmarkEnd w:id="46"/>
      <w:bookmarkEnd w:id="47"/>
      <w:r>
        <w:rPr>
          <w:i w:val="0"/>
        </w:rPr>
        <w:t xml:space="preserve">Basic description is provided at </w:t>
      </w:r>
      <w:hyperlink r:id="rId17"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8" w:history="1">
        <w:r>
          <w:rPr>
            <w:rStyle w:val="Hiperhivatkozs"/>
          </w:rPr>
          <w:t>http://portal.efda-itm.eu/twiki/bin/view/Main/HCD-codes-runafluid-usermanual</w:t>
        </w:r>
      </w:hyperlink>
      <w:r>
        <w:rPr>
          <w:i w:val="0"/>
        </w:rPr>
        <w:t>.</w:t>
      </w:r>
    </w:p>
    <w:p w:rsidR="001F09F0" w:rsidRDefault="005C4103" w:rsidP="001D0457">
      <w:pPr>
        <w:pStyle w:val="Cmsor2"/>
      </w:pPr>
      <w:r>
        <w:t>Assumptions and Dependencies</w:t>
      </w:r>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1F09F0">
      <w:pPr>
        <w:pStyle w:val="template"/>
        <w:rPr>
          <w:i w:val="0"/>
        </w:rPr>
      </w:pPr>
    </w:p>
    <w:p w:rsidR="001F09F0" w:rsidRDefault="005C4103">
      <w:pPr>
        <w:pStyle w:val="template"/>
      </w:pPr>
      <w:r>
        <w:rPr>
          <w:i w:val="0"/>
        </w:rPr>
        <w:t>Uses the Runaway</w:t>
      </w:r>
      <w:r w:rsidR="00B47BFD">
        <w:rPr>
          <w:i w:val="0"/>
        </w:rPr>
        <w:t xml:space="preserve"> Fluid</w:t>
      </w:r>
      <w:r w:rsidR="00C261A8">
        <w:rPr>
          <w:i w:val="0"/>
        </w:rPr>
        <w:t xml:space="preserve"> (runafluid</w:t>
      </w:r>
      <w:r>
        <w:rPr>
          <w:i w:val="0"/>
        </w:rPr>
        <w:t xml:space="preserve">) actor </w:t>
      </w:r>
      <w:hyperlink r:id="rId19" w:history="1">
        <w:r w:rsidR="009D0E7A">
          <w:rPr>
            <w:rStyle w:val="Hiperhivatkozs"/>
          </w:rPr>
          <w:t>http://portal.efda-itm.eu/twiki/bin/view/Main/HCD-codes-runafluid-usermanual</w:t>
        </w:r>
      </w:hyperlink>
      <w:r>
        <w:rPr>
          <w:i w:val="0"/>
        </w:rPr>
        <w:t>.</w:t>
      </w:r>
    </w:p>
    <w:p w:rsidR="001F09F0" w:rsidRDefault="005C4103" w:rsidP="001D0457">
      <w:pPr>
        <w:pStyle w:val="Cmsor1"/>
      </w:pPr>
      <w:bookmarkStart w:id="48" w:name="__RefHeading__115_56999456"/>
      <w:bookmarkStart w:id="49" w:name="__RefHeading___Toc441230986"/>
      <w:bookmarkStart w:id="50" w:name="__RefHeading__44_1693480392"/>
      <w:bookmarkEnd w:id="48"/>
      <w:bookmarkEnd w:id="49"/>
      <w:bookmarkEnd w:id="50"/>
      <w:r>
        <w:t>External Interface Requirements</w:t>
      </w:r>
    </w:p>
    <w:p w:rsidR="001F09F0" w:rsidRDefault="005C4103" w:rsidP="001D0457">
      <w:pPr>
        <w:pStyle w:val="Cmsor2"/>
      </w:pPr>
      <w:bookmarkStart w:id="51" w:name="__RefHeading__117_56999456"/>
      <w:bookmarkStart w:id="52" w:name="__RefHeading___Toc441230987"/>
      <w:bookmarkStart w:id="53" w:name="__RefHeading__180_1693480392"/>
      <w:bookmarkEnd w:id="51"/>
      <w:bookmarkEnd w:id="52"/>
      <w:bookmarkEnd w:id="53"/>
      <w:r>
        <w:t>User Interfaces</w:t>
      </w:r>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119_56999456"/>
      <w:bookmarkStart w:id="55" w:name="__RefHeading___Toc441230988"/>
      <w:bookmarkStart w:id="56" w:name="__RefHeading__182_1693480392"/>
      <w:bookmarkEnd w:id="54"/>
      <w:bookmarkEnd w:id="55"/>
      <w:bookmarkEnd w:id="56"/>
      <w:r>
        <w:t>Hardware Interfaces</w:t>
      </w:r>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7" w:name="__RefHeading__121_56999456"/>
      <w:bookmarkStart w:id="58" w:name="__RefHeading___Toc441230989"/>
      <w:bookmarkStart w:id="59" w:name="__RefHeading__184_1693480392"/>
      <w:bookmarkEnd w:id="57"/>
      <w:bookmarkEnd w:id="58"/>
      <w:bookmarkEnd w:id="59"/>
      <w:r>
        <w:t>Software Interfaces</w:t>
      </w:r>
    </w:p>
    <w:p w:rsidR="001F09F0" w:rsidRDefault="005C4103">
      <w:pPr>
        <w:pStyle w:val="template"/>
      </w:pPr>
      <w:r>
        <w:rPr>
          <w:color w:val="999999"/>
        </w:rPr>
        <w:t xml:space="preserve">&lt;Describe the connections between this product and other specific software components (name and version), including databases, operating systems, tools, libraries, and integrated commercial </w:t>
      </w:r>
      <w:r>
        <w:rPr>
          <w:color w:val="999999"/>
        </w:rP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coreimpur[time]/impurity[species]/nz[r]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coreprof[time]/ni/value[r, species]</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coreprof[time]/compositions/ions[species]/zion</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equilibrium[time]/profiles_1d/b_av[r]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bl>
    <w:p w:rsidR="001F09F0" w:rsidRDefault="001F09F0"/>
    <w:p w:rsidR="001F09F0" w:rsidRDefault="005C4103">
      <w:r>
        <w:t xml:space="preserve">Here </w:t>
      </w:r>
      <w:r>
        <w:rPr>
          <w:rFonts w:ascii="Courier New" w:hAnsi="Courier New" w:cs="Courier New"/>
        </w:rPr>
        <w:t>distsource_identifier</w:t>
      </w:r>
      <w:r>
        <w:t xml:space="preserve"> number “</w:t>
      </w:r>
      <w:r>
        <w:rPr>
          <w:rFonts w:ascii="Courier New" w:hAnsi="Courier New" w:cs="Courier New"/>
        </w:rPr>
        <w:t>7</w:t>
      </w:r>
      <w:r>
        <w:t xml:space="preserve"> “of </w:t>
      </w:r>
      <w:r>
        <w:rPr>
          <w:rFonts w:ascii="Courier New" w:hAnsi="Courier New" w:cs="Courier New"/>
        </w:rPr>
        <w:t>distri_vec</w:t>
      </w:r>
      <w:r>
        <w:t xml:space="preserve"> refers to the “runaway” distribution as listed in </w:t>
      </w:r>
      <w:r>
        <w:rPr>
          <w:rFonts w:ascii="Courier New" w:hAnsi="Courier New" w:cs="Courier New"/>
        </w:rPr>
        <w:t>distsource_types</w:t>
      </w:r>
      <w:r>
        <w:t xml:space="preserve">, as described at </w:t>
      </w:r>
      <w:hyperlink r:id="rId20" w:history="1">
        <w:r>
          <w:rPr>
            <w:rStyle w:val="Hiperhivatkozs"/>
          </w:rPr>
          <w:t>Documentation page</w:t>
        </w:r>
      </w:hyperlink>
      <w:r>
        <w:t xml:space="preserve"> linked from the </w:t>
      </w:r>
      <w:hyperlink r:id="rId21" w:history="1">
        <w:r>
          <w:rPr>
            <w:rStyle w:val="Hiperhivatkozs"/>
          </w:rPr>
          <w:t>Conventions page</w:t>
        </w:r>
      </w:hyperlink>
      <w:r>
        <w:t xml:space="preserve">. </w:t>
      </w:r>
      <w:r>
        <w:rPr>
          <w:b/>
          <w:color w:val="FF0000"/>
        </w:rPr>
        <w:t>Use of this has to be clarified!</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127_56999456"/>
      <w:bookmarkStart w:id="63" w:name="__RefHeading___Toc441230990"/>
      <w:bookmarkStart w:id="64" w:name="__RefHeading__186_1693480392"/>
      <w:bookmarkEnd w:id="62"/>
      <w:bookmarkEnd w:id="63"/>
      <w:bookmarkEnd w:id="64"/>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distribution[time]/distri_vec[7]/source_id/type/flag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distribution[time]/distri_vec[7]/source_id/index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distribution[time]/distri_vec[7]/gyro_type</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r>
        <w:t>Communications Interfaces</w:t>
      </w:r>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5" w:name="__RefHeading__129_56999456"/>
      <w:bookmarkStart w:id="66" w:name="__RefHeading___Toc441230991"/>
      <w:bookmarkStart w:id="67" w:name="__RefHeading__46_1693480392"/>
      <w:bookmarkEnd w:id="65"/>
      <w:bookmarkEnd w:id="66"/>
      <w:bookmarkEnd w:id="67"/>
      <w:r>
        <w:lastRenderedPageBreak/>
        <w:t>System Features</w:t>
      </w:r>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8" w:name="__RefHeading__131_56999456"/>
      <w:bookmarkStart w:id="69" w:name="__RefHeading___Toc441230992"/>
      <w:bookmarkStart w:id="70" w:name="__RefHeading__188_1693480392"/>
      <w:bookmarkEnd w:id="68"/>
      <w:bookmarkEnd w:id="69"/>
      <w:bookmarkEnd w:id="70"/>
    </w:p>
    <w:p w:rsidR="001F09F0" w:rsidRDefault="005C4103" w:rsidP="001D0457">
      <w:pPr>
        <w:pStyle w:val="Cmsor2"/>
      </w:pPr>
      <w:r>
        <w:t>Dreicer generation rate</w:t>
      </w:r>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p>
    <w:p w:rsidR="00CB2963" w:rsidRDefault="00772E5D"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R</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r>
                <w:rPr>
                  <w:rFonts w:ascii="Cambria Math" w:hAnsi="Cambria Math"/>
                </w:rPr>
                <m:t>n ν</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2"/>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1" w:name="__RefHeading__141_569994561"/>
      <w:bookmarkEnd w:id="71"/>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modul outputs a double </w:t>
      </w:r>
      <w:r w:rsidR="00BC10E4">
        <w:t>array what contain</w:t>
      </w:r>
      <w:r>
        <w:t>s Dreicer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2" w:name="__RefHeading__143_569994561"/>
      <w:bookmarkEnd w:id="72"/>
      <w:r>
        <w:lastRenderedPageBreak/>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REQ-1: Dreicer field</w:t>
      </w:r>
      <w:r w:rsidR="00B54C4F">
        <w:t xml:space="preserve"> [16]</w:t>
      </w:r>
    </w:p>
    <w:p w:rsidR="00A47244" w:rsidRDefault="00772E5D"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BE6EAC"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t xml:space="preserve"> electron temperature in eV</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P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DA789F">
        <w:t>3</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DA789F">
        <w:t>4</w:t>
      </w:r>
      <w:r w:rsidR="005C4103">
        <w:t>:</w:t>
      </w:r>
      <w:r w:rsidR="00E216A9">
        <w:t xml:space="preserve"> multiplication factor</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DA789F">
        <w:t>5</w:t>
      </w:r>
      <w:r>
        <w:t>:</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kT</m:t>
              </m:r>
            </m:den>
          </m:f>
        </m:oMath>
      </m:oMathPara>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DA789F">
        <w:t>6</w:t>
      </w:r>
      <w:r>
        <w:t>: When some input data is missing in CPO input, return error code.</w:t>
      </w:r>
    </w:p>
    <w:p w:rsidR="0098533B" w:rsidRDefault="0098533B" w:rsidP="0098533B">
      <w:pPr>
        <w:pStyle w:val="requirement"/>
        <w:spacing w:line="240" w:lineRule="auto"/>
        <w:ind w:left="0" w:firstLine="0"/>
      </w:pPr>
      <w:r>
        <w:t>REQ-</w:t>
      </w:r>
      <w:r w:rsidR="00DA789F">
        <w:t>7</w:t>
      </w:r>
      <w:r>
        <w:t>: Error code is an integer value of -999999999.</w:t>
      </w:r>
    </w:p>
    <w:p w:rsidR="0098533B" w:rsidRDefault="0098533B" w:rsidP="0098533B">
      <w:pPr>
        <w:pStyle w:val="requirement"/>
        <w:spacing w:line="240" w:lineRule="auto"/>
        <w:ind w:left="0" w:firstLine="0"/>
      </w:pPr>
      <w:r>
        <w:t>REQ-</w:t>
      </w:r>
      <w:r w:rsidR="00DA789F">
        <w:t>8</w:t>
      </w:r>
      <w:r>
        <w:t>: When some input data is missing in CPO input, prints error message.</w:t>
      </w:r>
    </w:p>
    <w:p w:rsidR="0098533B" w:rsidRDefault="0098533B">
      <w:pPr>
        <w:suppressAutoHyphens w:val="0"/>
        <w:spacing w:line="240" w:lineRule="auto"/>
        <w:rPr>
          <w:rFonts w:ascii="Times New Roman" w:hAnsi="Times New Roman" w:cs="Times New Roman"/>
        </w:rPr>
      </w:pP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10</w:t>
      </w:r>
      <w:r>
        <w:t>:</w:t>
      </w:r>
      <w:r w:rsidR="00D95922">
        <w:t xml:space="preserve"> toroidicity</w:t>
      </w:r>
      <w:r w:rsidR="003C6A64">
        <w:t xml:space="preserve"> [</w:t>
      </w:r>
      <w:r w:rsidR="00DA789F">
        <w:t>8, 13</w:t>
      </w:r>
      <w:r w:rsidR="003C6A64">
        <w:t>]</w:t>
      </w:r>
    </w:p>
    <w:p w:rsidR="005F5E8D" w:rsidRDefault="00772E5D"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98533B">
        <w:t>11</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3"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816424" cy="290938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r>
        <w:lastRenderedPageBreak/>
        <w:t>Avalanche generation rate</w:t>
      </w:r>
    </w:p>
    <w:p w:rsidR="001F09F0" w:rsidRDefault="005C4103">
      <w:pPr>
        <w:pStyle w:val="Cmsor3"/>
      </w:pPr>
      <w:bookmarkStart w:id="74" w:name="__RefHeading__141_5699945611"/>
      <w:bookmarkEnd w:id="74"/>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772E5D"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772E5D"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r>
        <w:t>it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rsidR="009C56E8">
        <w:t>) [10</w:t>
      </w:r>
      <w:r>
        <w:t>]:</w:t>
      </w:r>
    </w:p>
    <w:p w:rsidR="00CB2963" w:rsidRDefault="00CB2963" w:rsidP="00CB2963">
      <w:pPr>
        <w:spacing w:line="240" w:lineRule="atLeast"/>
      </w:pPr>
    </w:p>
    <w:p w:rsidR="00CB2963" w:rsidRDefault="00CB2963" w:rsidP="00CB2963">
      <w:pPr>
        <w:spacing w:line="240" w:lineRule="atLeast"/>
      </w:pPr>
    </w:p>
    <w:p w:rsidR="00CB2963" w:rsidRDefault="00772E5D"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4"/>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CB2963" w:rsidP="001B1FFC">
      <w:pPr>
        <w:pStyle w:val="template"/>
        <w:spacing w:line="240" w:lineRule="auto"/>
        <w:rPr>
          <w:i w:val="0"/>
        </w:rPr>
      </w:pPr>
    </w:p>
    <w:p w:rsidR="00BC10E4" w:rsidRDefault="005C4103" w:rsidP="001B1FFC">
      <w:pPr>
        <w:pStyle w:val="Cmsor3"/>
        <w:spacing w:line="240" w:lineRule="auto"/>
      </w:pPr>
      <w:bookmarkStart w:id="75" w:name="__RefHeading__143_5699945611"/>
      <w:bookmarkEnd w:id="75"/>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6" w:name="__RefHeading__145_5699945611"/>
      <w:bookmarkEnd w:id="76"/>
      <w:r>
        <w:t>Functional Requirements</w:t>
      </w:r>
    </w:p>
    <w:p w:rsidR="001F09F0" w:rsidRDefault="001859F6">
      <w:pPr>
        <w:spacing w:line="240" w:lineRule="atLeast"/>
      </w:pPr>
      <w:r>
        <w:t>REQ-1</w:t>
      </w:r>
      <w:r w:rsidR="00A47244">
        <w:t>: Coulomb logarithm</w:t>
      </w:r>
      <w:r w:rsidR="00B53083">
        <w:t xml:space="preserve"> [17]</w:t>
      </w:r>
    </w:p>
    <w:p w:rsidR="001859F6" w:rsidRDefault="00772E5D">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47244" w:rsidRDefault="00A47244">
      <w:pPr>
        <w:spacing w:line="240" w:lineRule="atLeast"/>
      </w:pPr>
    </w:p>
    <w:p w:rsidR="00A47244" w:rsidRDefault="00D11D8A">
      <w:pPr>
        <w:spacing w:line="240" w:lineRule="atLeast"/>
      </w:pPr>
      <w:r>
        <w:t>REQ-2: c</w:t>
      </w:r>
      <w:r w:rsidR="00555614">
        <w:t>ut-off</w:t>
      </w:r>
      <w:r w:rsidR="00A47244">
        <w:t xml:space="preserve"> electric field</w:t>
      </w:r>
    </w:p>
    <w:p w:rsidR="001F09F0" w:rsidRDefault="00772E5D">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5"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213155" cy="3328200"/>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r>
        <w:lastRenderedPageBreak/>
        <w:t>Loss mechanism</w:t>
      </w:r>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772E5D"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772E5D"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 xml:space="preserve">where </w:t>
      </w:r>
    </w:p>
    <w:p w:rsidR="00BC10E4" w:rsidRDefault="00BC10E4" w:rsidP="00BC10E4">
      <w:pPr>
        <w:spacing w:line="240" w:lineRule="atLeast"/>
      </w:pPr>
      <w:r>
        <w:rPr>
          <w:i/>
          <w:iCs/>
        </w:rPr>
        <w:t>q</w:t>
      </w:r>
      <w:r>
        <w:t xml:space="preserve"> safety factor</w:t>
      </w:r>
    </w:p>
    <w:p w:rsidR="00BC10E4" w:rsidRDefault="00772E5D"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772E5D"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r>
        <w:t>flux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r w:rsidRPr="00BC10E4">
        <w:rPr>
          <w:noProof/>
          <w:lang w:val="hu-HU" w:eastAsia="hu-HU"/>
        </w:rPr>
        <w:drawing>
          <wp:inline distT="0" distB="0" distL="0" distR="0">
            <wp:extent cx="5972810" cy="2266315"/>
            <wp:effectExtent l="19050" t="0" r="8890" b="0"/>
            <wp:docPr id="7" name="Kép 4"/>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6"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72810" cy="2266315"/>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1F09F0" w:rsidRDefault="001F09F0">
      <w:pPr>
        <w:pStyle w:val="requirement"/>
        <w:ind w:left="1354" w:firstLine="0"/>
      </w:pPr>
    </w:p>
    <w:p w:rsidR="00E216A9" w:rsidRDefault="00E216A9">
      <w:pPr>
        <w:suppressAutoHyphens w:val="0"/>
        <w:spacing w:line="240" w:lineRule="auto"/>
        <w:rPr>
          <w:b/>
        </w:rPr>
      </w:pPr>
      <w:bookmarkStart w:id="77" w:name="__RefHeading__141_56999456111"/>
      <w:bookmarkEnd w:id="77"/>
      <w:r>
        <w:br w:type="page"/>
      </w:r>
    </w:p>
    <w:p w:rsidR="004A5811" w:rsidRPr="004A5811" w:rsidRDefault="004A5811" w:rsidP="004A5811"/>
    <w:p w:rsidR="001F09F0" w:rsidRDefault="005C4103" w:rsidP="005A5476">
      <w:pPr>
        <w:pStyle w:val="Cmsor3"/>
      </w:pPr>
      <w:bookmarkStart w:id="78" w:name="__RefHeading__143_56999456111"/>
      <w:bookmarkEnd w:id="78"/>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79" w:name="__RefHeading__145_56999456111"/>
      <w:bookmarkEnd w:id="79"/>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772E5D">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0" w:name="__RefHeading__147_56999456"/>
      <w:bookmarkStart w:id="81" w:name="__RefHeading___Toc441230994"/>
      <w:bookmarkStart w:id="82" w:name="__RefHeading__48_1693480392"/>
      <w:bookmarkEnd w:id="80"/>
      <w:bookmarkEnd w:id="81"/>
      <w:bookmarkEnd w:id="82"/>
      <w:r>
        <w:t>REQ-2: Numerical diffusion solver</w:t>
      </w:r>
      <w:r w:rsidR="00E216A9">
        <w:br w:type="page"/>
      </w:r>
    </w:p>
    <w:p w:rsidR="001F09F0" w:rsidRDefault="005C4103" w:rsidP="001D0457">
      <w:pPr>
        <w:pStyle w:val="Cmsor1"/>
      </w:pPr>
      <w:r>
        <w:lastRenderedPageBreak/>
        <w:t>Other Nonfunctional Requirements</w:t>
      </w:r>
    </w:p>
    <w:p w:rsidR="001F09F0" w:rsidRDefault="005C4103" w:rsidP="001D0457">
      <w:pPr>
        <w:pStyle w:val="Cmsor2"/>
      </w:pPr>
      <w:bookmarkStart w:id="83" w:name="__RefHeading__149_56999456"/>
      <w:bookmarkStart w:id="84" w:name="__RefHeading___Toc441230995"/>
      <w:bookmarkStart w:id="85" w:name="__RefHeading__192_1693480392"/>
      <w:bookmarkEnd w:id="83"/>
      <w:bookmarkEnd w:id="84"/>
      <w:bookmarkEnd w:id="85"/>
      <w:r>
        <w:t>Performance Requirements</w:t>
      </w:r>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6" w:name="__RefHeading__151_56999456"/>
      <w:bookmarkStart w:id="87" w:name="__RefHeading___Toc441230996"/>
      <w:bookmarkStart w:id="88" w:name="__RefHeading__194_1693480392"/>
      <w:bookmarkEnd w:id="86"/>
      <w:bookmarkEnd w:id="87"/>
      <w:bookmarkEnd w:id="88"/>
      <w:r>
        <w:t>Safety Requirements</w:t>
      </w:r>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89" w:name="__RefHeading__153_56999456"/>
      <w:bookmarkStart w:id="90" w:name="__RefHeading___Toc441230997"/>
      <w:bookmarkStart w:id="91" w:name="__RefHeading__196_1693480392"/>
      <w:bookmarkEnd w:id="89"/>
      <w:bookmarkEnd w:id="90"/>
      <w:bookmarkEnd w:id="91"/>
      <w:r>
        <w:t>Security Requirements</w:t>
      </w:r>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2" w:name="__RefHeading__155_56999456"/>
      <w:bookmarkStart w:id="93" w:name="__RefHeading___Toc441230998"/>
      <w:bookmarkStart w:id="94" w:name="__RefHeading__198_1693480392"/>
      <w:bookmarkEnd w:id="92"/>
      <w:bookmarkEnd w:id="93"/>
      <w:bookmarkEnd w:id="94"/>
      <w:r>
        <w:t>Software Quality Attributes</w:t>
      </w:r>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5" w:name="__RefHeading__157_56999456"/>
      <w:bookmarkStart w:id="96" w:name="__RefHeading___Toc441230999"/>
      <w:bookmarkStart w:id="97" w:name="__RefHeading__200_1693480392"/>
      <w:bookmarkEnd w:id="95"/>
      <w:bookmarkEnd w:id="96"/>
      <w:bookmarkEnd w:id="97"/>
      <w:r>
        <w:t>Business Rules</w:t>
      </w:r>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98" w:name="__RefHeading__159_56999456"/>
      <w:bookmarkStart w:id="99" w:name="__RefHeading___Toc441231000"/>
      <w:bookmarkStart w:id="100" w:name="__RefHeading__50_1693480392"/>
      <w:bookmarkEnd w:id="98"/>
      <w:bookmarkEnd w:id="99"/>
      <w:bookmarkEnd w:id="100"/>
      <w:r>
        <w:t>Other Requirements</w:t>
      </w:r>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1" w:name="__RefHeading___Toc441231001"/>
      <w:bookmarkEnd w:id="101"/>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2" w:name="__RefHeading___Toc441231002"/>
      <w:bookmarkEnd w:id="102"/>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3" w:name="__RefHeading___Toc441231003"/>
      <w:bookmarkEnd w:id="103"/>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r>
        <w:lastRenderedPageBreak/>
        <w:t>References</w:t>
      </w:r>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Y. Peysson and J. Decker. Numerical Simulations of the Radio-Frequency–driven Toroidal Current In</w:t>
      </w:r>
      <w:r w:rsidR="005C4103">
        <w:t xml:space="preserve"> </w:t>
      </w:r>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5C4103">
        <w:rPr>
          <w:sz w:val="22"/>
          <w:szCs w:val="22"/>
        </w:rPr>
        <w:t xml:space="preserve">G. Papp, M. Dverlak, G.I. Pokol and T. Fülöp. </w:t>
      </w:r>
      <w:r w:rsidR="005C4103">
        <w:rPr>
          <w:sz w:val="22"/>
        </w:rPr>
        <w:t>Energetic electron transport in the presence of magnetic perturbations in magnetically confined plasmas</w:t>
      </w:r>
      <w:r w:rsidR="005C4103">
        <w:rPr>
          <w:sz w:val="22"/>
          <w:szCs w:val="22"/>
        </w:rPr>
        <w:t xml:space="preserve">. </w:t>
      </w:r>
      <w:r w:rsidR="005C4103">
        <w:rPr>
          <w:i/>
          <w:iCs/>
          <w:sz w:val="22"/>
          <w:szCs w:val="22"/>
        </w:rPr>
        <w:t xml:space="preserve">Journal of Plasma Physics </w:t>
      </w:r>
      <w:r w:rsidR="005C4103">
        <w:rPr>
          <w:b/>
          <w:bCs/>
          <w:sz w:val="22"/>
          <w:szCs w:val="22"/>
        </w:rPr>
        <w:t>81</w:t>
      </w:r>
      <w:r w:rsidR="005C4103">
        <w:rPr>
          <w:sz w:val="22"/>
          <w:szCs w:val="22"/>
        </w:rPr>
        <w:t xml:space="preserve">(5), </w:t>
      </w:r>
      <w:r w:rsidR="005C4103">
        <w:rPr>
          <w:color w:val="000000"/>
          <w:sz w:val="22"/>
          <w:szCs w:val="22"/>
        </w:rPr>
        <w:t>475810503 (2015)</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7"/>
      <w:headerReference w:type="default" r:id="rId28"/>
      <w:footerReference w:type="even" r:id="rId29"/>
      <w:footerReference w:type="default" r:id="rId30"/>
      <w:headerReference w:type="first" r:id="rId31"/>
      <w:footerReference w:type="first" r:id="rId32"/>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1AB" w:rsidRDefault="005F51AB">
      <w:pPr>
        <w:spacing w:line="240" w:lineRule="auto"/>
      </w:pPr>
      <w:r>
        <w:separator/>
      </w:r>
    </w:p>
  </w:endnote>
  <w:endnote w:type="continuationSeparator" w:id="1">
    <w:p w:rsidR="005F51AB" w:rsidRDefault="005F51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EE"/>
    <w:family w:val="swiss"/>
    <w:pitch w:val="variable"/>
    <w:sig w:usb0="20002A87" w:usb1="00000000" w:usb2="00000000" w:usb3="00000000" w:csb0="000001FF" w:csb1="00000000"/>
  </w:font>
  <w:font w:name="Liberation Mono">
    <w:altName w:val="Courier New"/>
    <w:charset w:val="EE"/>
    <w:family w:val="roman"/>
    <w:pitch w:val="variable"/>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charset w:val="01"/>
    <w:family w:val="swiss"/>
    <w:pitch w:val="default"/>
    <w:sig w:usb0="00000000" w:usb1="00000000" w:usb2="00000000" w:usb3="00000000" w:csb0="00000000" w:csb1="00000000"/>
  </w:font>
  <w:font w:name="Courier New">
    <w:panose1 w:val="02070309020205020404"/>
    <w:charset w:val="EE"/>
    <w:family w:val="modern"/>
    <w:pitch w:val="fixed"/>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EE"/>
    <w:family w:val="roman"/>
    <w:pitch w:val="variable"/>
    <w:sig w:usb0="A00002EF" w:usb1="420020EB" w:usb2="00000000" w:usb3="00000000" w:csb0="0000009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A64" w:rsidRDefault="003C6A64">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A64" w:rsidRDefault="003C6A6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A64" w:rsidRDefault="003C6A6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A64" w:rsidRDefault="003C6A64">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A64" w:rsidRDefault="003C6A6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1AB" w:rsidRDefault="005F51AB">
      <w:pPr>
        <w:spacing w:line="240" w:lineRule="auto"/>
      </w:pPr>
      <w:r>
        <w:separator/>
      </w:r>
    </w:p>
  </w:footnote>
  <w:footnote w:type="continuationSeparator" w:id="1">
    <w:p w:rsidR="005F51AB" w:rsidRDefault="005F51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A64" w:rsidRDefault="003C6A64">
    <w:pPr>
      <w:pStyle w:val="lfej"/>
    </w:pPr>
    <w:r>
      <w:t>Software</w:t>
    </w:r>
    <w:r>
      <w:rPr>
        <w:sz w:val="24"/>
      </w:rPr>
      <w:t xml:space="preserve"> </w:t>
    </w:r>
    <w:r>
      <w:t>Requirements Specification for Runaway Fluid</w:t>
    </w:r>
    <w:r>
      <w:tab/>
      <w:t xml:space="preserve">Page </w:t>
    </w:r>
    <w:fldSimple w:instr=" PAGE ">
      <w:r w:rsidR="009C56E8">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A64" w:rsidRDefault="003C6A6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A64" w:rsidRDefault="003C6A6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A64" w:rsidRDefault="003C6A64">
    <w:pPr>
      <w:pStyle w:val="lfej"/>
      <w:tabs>
        <w:tab w:val="clear" w:pos="9360"/>
        <w:tab w:val="right" w:pos="9630"/>
      </w:tabs>
    </w:pPr>
    <w:r>
      <w:t>Software</w:t>
    </w:r>
    <w:r>
      <w:rPr>
        <w:sz w:val="24"/>
      </w:rPr>
      <w:t xml:space="preserve"> </w:t>
    </w:r>
    <w:r>
      <w:t>Requirements Specification for Runaway Fluid</w:t>
    </w:r>
    <w:r>
      <w:tab/>
      <w:t xml:space="preserve">Page </w:t>
    </w:r>
    <w:fldSimple w:instr=" PAGE ">
      <w:r w:rsidR="00EA4BFF">
        <w:rPr>
          <w:noProof/>
        </w:rPr>
        <w:t>15</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A64" w:rsidRDefault="003C6A6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81B09"/>
    <w:rsid w:val="000D1647"/>
    <w:rsid w:val="0017459B"/>
    <w:rsid w:val="001859F6"/>
    <w:rsid w:val="0018701F"/>
    <w:rsid w:val="001B1FFC"/>
    <w:rsid w:val="001C67F2"/>
    <w:rsid w:val="001D0457"/>
    <w:rsid w:val="001F09F0"/>
    <w:rsid w:val="00235B34"/>
    <w:rsid w:val="003437E6"/>
    <w:rsid w:val="003C6A64"/>
    <w:rsid w:val="003E78C0"/>
    <w:rsid w:val="00461A33"/>
    <w:rsid w:val="00485B61"/>
    <w:rsid w:val="004A5811"/>
    <w:rsid w:val="00555614"/>
    <w:rsid w:val="005932A6"/>
    <w:rsid w:val="005A5476"/>
    <w:rsid w:val="005C4103"/>
    <w:rsid w:val="005F51AB"/>
    <w:rsid w:val="005F5E8D"/>
    <w:rsid w:val="00627B94"/>
    <w:rsid w:val="00672F89"/>
    <w:rsid w:val="006F1BB9"/>
    <w:rsid w:val="00772E5D"/>
    <w:rsid w:val="007767DE"/>
    <w:rsid w:val="007A1271"/>
    <w:rsid w:val="007F75D0"/>
    <w:rsid w:val="00876135"/>
    <w:rsid w:val="008B33E6"/>
    <w:rsid w:val="008D404E"/>
    <w:rsid w:val="0096176C"/>
    <w:rsid w:val="0098533B"/>
    <w:rsid w:val="009B700F"/>
    <w:rsid w:val="009C56E8"/>
    <w:rsid w:val="009D0E7A"/>
    <w:rsid w:val="00A47244"/>
    <w:rsid w:val="00B3176B"/>
    <w:rsid w:val="00B47BFD"/>
    <w:rsid w:val="00B53083"/>
    <w:rsid w:val="00B54C4F"/>
    <w:rsid w:val="00BA3135"/>
    <w:rsid w:val="00BC10E4"/>
    <w:rsid w:val="00BE6EAC"/>
    <w:rsid w:val="00BF40F6"/>
    <w:rsid w:val="00C22DA8"/>
    <w:rsid w:val="00C261A8"/>
    <w:rsid w:val="00CB2963"/>
    <w:rsid w:val="00CC4118"/>
    <w:rsid w:val="00CC5E96"/>
    <w:rsid w:val="00D11D8A"/>
    <w:rsid w:val="00D34CAB"/>
    <w:rsid w:val="00D542FD"/>
    <w:rsid w:val="00D95922"/>
    <w:rsid w:val="00DA789F"/>
    <w:rsid w:val="00E216A9"/>
    <w:rsid w:val="00E35779"/>
    <w:rsid w:val="00EA4BFF"/>
    <w:rsid w:val="00F245A4"/>
    <w:rsid w:val="00F72B3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codes-runin-usermanua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portal.efda-itm.eu/itm/portal/auth/index.php?page=Documenta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portal.efda-itm.eu/twiki/bin/view/Main/HCD-ElectronRun-awayPhysics?sso_from=bin/view/Main/HCD-ElectronRun-awayPhysics"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itm/portal/auth/index.php?page=Documentation"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image" Target="media/image2.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portal.efda-itm.eu/twiki/bin/view/Main/HCD-codes-runafluid-usermanual"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image" Target="media/image1.png"/><Relationship Id="rId27" Type="http://schemas.openxmlformats.org/officeDocument/2006/relationships/header" Target="header3.xml"/><Relationship Id="rId30"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E29F-ECB5-475A-82EF-B8E0AD40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20</Pages>
  <Words>4045</Words>
  <Characters>25608</Characters>
  <Application>Microsoft Office Word</Application>
  <DocSecurity>0</DocSecurity>
  <Lines>776</Lines>
  <Paragraphs>478</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29175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50</cp:revision>
  <cp:lastPrinted>1601-01-01T00:00:00Z</cp:lastPrinted>
  <dcterms:created xsi:type="dcterms:W3CDTF">2016-02-03T16:03:00Z</dcterms:created>
  <dcterms:modified xsi:type="dcterms:W3CDTF">2016-02-08T17:30:00Z</dcterms:modified>
</cp:coreProperties>
</file>