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Class Test (Lectures 1-5) - Guideline Solutions</w:t>
      </w:r>
    </w:p>
    <w:p>
      <w:pPr>
        <w:pStyle w:val="Subtitle"/>
      </w:pPr>
      <w:r>
        <w:t xml:space="preserve">Industrial Organisation</w:t>
      </w: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minutes.</w:t>
      </w:r>
    </w:p>
    <w:p>
      <w:pPr>
        <w:pStyle w:val="BodyText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or decimals are both acceptable.</w:t>
      </w: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Given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;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13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has lower marginal cost, so it produces more and earns a larger margin on each unit.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Endpoints: firm 1 at 0, firm 2 at 1,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Utilities for consumer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⇒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Symmetric Nash equilibrium: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market share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each profit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D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increases, products become less substitutable (consumers are less willing to switch), so equilibrium prices increase.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monopoly with cost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⇒</m:t>
          </m:r>
          <m:r>
            <m:t>20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−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Before 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Monopoly WTP: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perfect competition before innovation, pre-innovation profit is zero.</w:t>
      </w:r>
      <w:r>
        <w:t xml:space="preserve"> </w:t>
      </w:r>
      <w:r>
        <w:t xml:space="preserve">After innovation, the innovator has exclusive access to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while a competitive fringe remains available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To classify drastic/non-drastic, compare the unconstrained monopoly price after innovation with the old cost: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The innovator limit-prices at (approximately)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Comparison: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&gt;</m:t>
          </m:r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replacement effect: a monopolist replaces existing rents, while a competitive-industry innovator mostly creates new rents.</w:t>
      </w:r>
    </w:p>
    <w:bookmarkEnd w:id="18"/>
    <w:bookmarkEnd w:id="19"/>
    <w:bookmarkStart w:id="23" w:name="section-b-7-marks"/>
    <w:p>
      <w:pPr>
        <w:pStyle w:val="Heading2"/>
      </w:pPr>
      <w:r>
        <w:t xml:space="preserve">Section B (7 marks)</w:t>
      </w:r>
    </w:p>
    <w:bookmarkStart w:id="22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Gross profit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Required gross profits: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0" w:name="patents-regime-p"/>
    <w:p>
      <w:pPr>
        <w:pStyle w:val="Heading4"/>
      </w:pPr>
      <w:r>
        <w:t xml:space="preserve">Patents regime (P)</w:t>
      </w:r>
    </w:p>
    <w:p>
      <w:pPr>
        <w:pStyle w:val="FirstParagraph"/>
      </w:pPr>
      <w:r>
        <w:t xml:space="preserve">If both invest, each expected net payoff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Net payoff matrix (row firm, column firm):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  <m:mr>
              <m:e>
                <m:r>
                  <m:t>N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151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responses: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151</m:t>
            </m:r>
          </m:num>
          <m:den>
            <m:r>
              <m:t>9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131</m:t>
            </m:r>
          </m:num>
          <m:den>
            <m:r>
              <m:t>18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25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dominant. Unique pure-strategy Nash equilibrium: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no-patents-regime-np"/>
    <w:p>
      <w:pPr>
        <w:pStyle w:val="Heading4"/>
      </w:pPr>
      <w:r>
        <w:t xml:space="preserve">No-patents regime (NP)</w:t>
      </w:r>
    </w:p>
    <w:p>
      <w:pPr>
        <w:pStyle w:val="FirstParagraph"/>
      </w:pPr>
      <w:r>
        <w:t xml:space="preserve">If one firm invests and the other does not, the non-investor imitates and has cost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while the investor has cost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Thus the relevant gross profits are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for the investor 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for the imitator.</w:t>
      </w:r>
    </w:p>
    <w:p>
      <w:pPr>
        <w:pStyle w:val="BodyText"/>
      </w:pPr>
      <w:r>
        <w:t xml:space="preserve">Net payoff 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r>
            <m:t>11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Pure-strategy best responses: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 invest (</w:t>
      </w:r>
      <m:oMath>
        <m:r>
          <m:t>11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 do not invest (</w:t>
      </w:r>
      <m:oMath>
        <m:r>
          <m:t>9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76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FirstParagraph"/>
      </w:pPr>
      <w:r>
        <w:t xml:space="preserve">So the pure-strategy Nash equilibria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Remark (mixed equilibrium):</w:t>
      </w:r>
      <w:r>
        <w:t xml:space="preserve"> </w:t>
      </w:r>
      <w:r>
        <w:t xml:space="preserve">This is a chicken/hawk–dove game, so there is also a symmetric mixed-strategy equilibrium.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 the probability the opponent invests. Indifference between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in the mixed equilibrium each firm invests with probability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Evaluation of statement:</w:t>
      </w:r>
      <w:r>
        <w:t xml:space="preserve"> </w:t>
      </w:r>
      <w:r>
        <w:t xml:space="preserve">“Without patents, imitation necessarily destroys incentives to invest.”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here. Under no patents, incentives are reduced (because imitation erodes the advantage), but not eliminated: there are pure equilibria in which exactly one firm invests, and there is also a mixed equilibrium in which firms invest with positive probability.</w:t>
      </w:r>
    </w:p>
    <w:bookmarkEnd w:id="21"/>
    <w:bookmarkEnd w:id="22"/>
    <w:bookmarkEnd w:id="23"/>
    <w:bookmarkStart w:id="29" w:name="section-c-3-marks-advanced"/>
    <w:p>
      <w:pPr>
        <w:pStyle w:val="Heading2"/>
      </w:pPr>
      <w:r>
        <w:t xml:space="preserve">Section C (3 marks, advanced)</w:t>
      </w:r>
    </w:p>
    <w:bookmarkStart w:id="28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4" w:name="quantity-stage-outcomes"/>
    <w:p>
      <w:pPr>
        <w:pStyle w:val="Heading4"/>
      </w:pPr>
      <w:r>
        <w:t xml:space="preserve">1) Quantity-stage outcomes</w:t>
      </w:r>
    </w:p>
    <w:p>
      <w:pPr>
        <w:pStyle w:val="FirstParagraph"/>
      </w:pPr>
      <w:r>
        <w:t xml:space="preserve">Cournot benchmark: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(leader L, follower F):</w:t>
      </w:r>
      <w:r>
        <w:t xml:space="preserve"> </w:t>
      </w:r>
      <w:r>
        <w:t xml:space="preserve">Follower BR: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Leader chooses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 maximize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stage-0-payoff-matrix"/>
    <w:p>
      <w:pPr>
        <w:pStyle w:val="Heading4"/>
      </w:pPr>
      <w:r>
        <w:t xml:space="preserve">2) Stage-0 payoff matrix</w:t>
      </w:r>
    </w:p>
    <w:p>
      <w:pPr>
        <w:pStyle w:val="Compact"/>
        <w:numPr>
          <w:ilvl w:val="0"/>
          <w:numId w:val="1003"/>
        </w:numPr>
      </w:pPr>
      <w:r>
        <w:t xml:space="preserve">If exactly one firm chooses</w:t>
      </w:r>
      <w:r>
        <w:t xml:space="preserve"> </w:t>
      </w:r>
      <m:oMath>
        <m:r>
          <m:t>C</m:t>
        </m:r>
      </m:oMath>
      <w:r>
        <w:t xml:space="preserve">, it becomes the Stackelberg leader and pays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both choose the same action, the quantity-stage outcome is Cournot; under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both also pay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C</m:t>
                </m:r>
              </m:e>
              <m:e>
                <m:r>
                  <m:t>N</m:t>
                </m:r>
              </m:e>
            </m:mr>
            <m:mr>
              <m:e>
                <m:r>
                  <m:t>C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X11d7f7a4197d91946292901c2910ba7a7ffb2d4"/>
    <w:p>
      <w:pPr>
        <w:pStyle w:val="Heading4"/>
      </w:pPr>
      <w:r>
        <w:t xml:space="preserve">3) Pure-strategy Nash equilibria as function of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r>
            <m:t>32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r>
            <m:t>16</m:t>
          </m:r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check the candidate action profiles:</w:t>
      </w:r>
    </w:p>
    <w:p>
      <w:pPr>
        <w:pStyle w:val="Compact"/>
        <w:numPr>
          <w:ilvl w:val="0"/>
          <w:numId w:val="1004"/>
        </w:numPr>
      </w:pPr>
      <w:r>
        <w:t xml:space="preserve">((C,C)) is a Nash equilibrium iff (C) is a best response to (C), i.e. </w:t>
      </w:r>
      <m:oMath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((N,N)) is a Nash equilibrium iff (N) is a best response to (N), i.e. </w:t>
      </w:r>
      <m:oMath>
        <m:r>
          <m:t>K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Important note (why no asymmetric pure NE):</w:t>
      </w:r>
      <w:r>
        <w:t xml:space="preserve"> </w:t>
      </w:r>
      <w:r>
        <w:t xml:space="preserve">Profiles like ((C,N)) or ((N,C)) are not Nash equilibria here because when the opponent plays (N), committing yields leader status and payoff (32-K), but when the opponent plays (C), committing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yield leader status; it yields Cournot and payoff</w:t>
      </w:r>
      <w:r>
        <w:t xml:space="preserve"> </w:t>
      </w:r>
      <m:oMath>
        <m:f>
          <m:fPr>
            <m:type m:val="bar"/>
          </m:fPr>
          <m:num>
            <m:r>
              <m:t>256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K</m:t>
        </m:r>
      </m:oMath>
      <w:r>
        <w:t xml:space="preserve">. Because leadership requires being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committer, unilateral commitment does not generate the usual stable “leader–follower” pure equilibrium in this stage-0 game.</w:t>
      </w:r>
    </w:p>
    <w:p>
      <w:pPr>
        <w:pStyle w:val="BodyText"/>
      </w:pPr>
      <w:r>
        <w:t xml:space="preserve">Therefore: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((C,C)).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pure NE, ((C,C)) and ((N,N)).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((N,N)).</w:t>
      </w:r>
    </w:p>
    <w:p>
      <w:r>
        <w:pict>
          <v:rect style="width:0;height:1.5pt" o:hralign="center" o:hrstd="t" o:hr="t"/>
        </w:pict>
      </w:r>
    </w:p>
    <w:bookmarkEnd w:id="26"/>
    <w:bookmarkStart w:id="27" w:name="Xd992dacdaf4beda5619c7229cd85ca115ec85ed"/>
    <w:p>
      <w:pPr>
        <w:pStyle w:val="Heading4"/>
      </w:pPr>
      <w:r>
        <w:t xml:space="preserve">4) Welfare comparison: assigned commitment rights</w:t>
      </w:r>
    </w:p>
    <w:p>
      <w:pPr>
        <w:pStyle w:val="FirstParagraph"/>
      </w:pPr>
      <w:r>
        <w:t xml:space="preserve">If one firm is assigned commitment rights, the outcome is Stackelberg with one commitment cost (K).</w:t>
      </w:r>
    </w:p>
    <w:p>
      <w:pPr>
        <w:pStyle w:val="BodyText"/>
      </w:pPr>
      <w:r>
        <w:t xml:space="preserve">Cournot welfare: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+</m:t>
          </m:r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welfare (one commitment payment):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12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with assigned rights improves welfare iff</w:t>
      </w:r>
    </w:p>
    <w:p>
      <w:pPr>
        <w:pStyle w:val="BodyText"/>
      </w:pPr>
      <m:oMathPara>
        <m:oMathParaPr>
          <m:jc m:val="center"/>
        </m:oMathParaPr>
        <m:oMath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6.22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it is welfare-improving for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indifferent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9</m:t>
            </m:r>
          </m:den>
        </m:f>
      </m:oMath>
      <w:r>
        <w:t xml:space="preserve">, and worse for larger</w:t>
      </w:r>
      <w:r>
        <w:t xml:space="preserve"> </w:t>
      </w:r>
      <m:oMath>
        <m:r>
          <m:t>K</m:t>
        </m:r>
      </m:oMath>
      <w:r>
        <w:t xml:space="preserve">.</w:t>
      </w:r>
    </w:p>
    <w:bookmarkEnd w:id="27"/>
    <w:bookmarkEnd w:id="28"/>
    <w:bookmarkEnd w:id="2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Class Test (Lectures 1-5) - Guideline Solutions</dc:title>
  <dc:creator/>
  <dc:description>MSc-level Industrial Organisation course at the University of St Andrews</dc:description>
  <dc:language>en-GB</dc:language>
  <cp:keywords/>
  <dcterms:created xsi:type="dcterms:W3CDTF">2026-02-25T07:46:06Z</dcterms:created>
  <dcterms:modified xsi:type="dcterms:W3CDTF">2026-02-25T07:46:06Z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Industrial Organisation</vt:lpwstr>
  </property>
  <property fmtid="{D5CDD505-2E9C-101B-9397-08002B2CF9AE}" pid="17" name="toc-title">
    <vt:lpwstr>Table of contents</vt:lpwstr>
  </property>
</Properties>
</file>