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Gerhard Riener</w:t>
      </w:r>
    </w:p>
    <w:bookmarkStart w:id="19" w:name="X4b99122cdfd0d4afa55d46d1e641193cfe23367"/>
    <w:p>
      <w:pPr>
        <w:pStyle w:val="Heading1"/>
      </w:pPr>
      <w:r>
        <w:t xml:space="preserve">ILO Mapping — Mock Class Test (Lectures 1–5), 2025-26</w:t>
      </w:r>
    </w:p>
    <w:bookmarkStart w:id="16" w:name="intended-learning-outcomes"/>
    <w:p>
      <w:pPr>
        <w:pStyle w:val="Heading2"/>
      </w:pPr>
      <w:r>
        <w:t xml:space="preserve">Intended Learning Outcomes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5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1</w:t>
            </w:r>
          </w:p>
        </w:tc>
        <w:tc>
          <w:tcPr/>
          <w:p>
            <w:pPr>
              <w:pStyle w:val="Compact"/>
            </w:pPr>
            <w:r>
              <w:t xml:space="preserve">Understand how IO can deepen the understanding of behaviour of firms/agents especially in imperfectly competitive markets.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Developing the skill of selecting the right model(s) to analyse various issues in industrial economics.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3</w:t>
            </w:r>
          </w:p>
        </w:tc>
        <w:tc>
          <w:tcPr/>
          <w:p>
            <w:pPr>
              <w:pStyle w:val="Compact"/>
            </w:pPr>
            <w:r>
              <w:t xml:space="preserve">Develop the skill of analysing economic behaviour through game theory.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4</w:t>
            </w:r>
          </w:p>
        </w:tc>
        <w:tc>
          <w:tcPr/>
          <w:p>
            <w:pPr>
              <w:pStyle w:val="Compact"/>
            </w:pPr>
            <w:r>
              <w:t xml:space="preserve">Develop curiosity leading to identifying interesting and relevant papers/examples to extend knowledge of the subject.</w:t>
            </w:r>
          </w:p>
        </w:tc>
      </w:tr>
    </w:tbl>
    <w:bookmarkEnd w:id="16"/>
    <w:bookmarkStart w:id="17" w:name="questionilo-mapping"/>
    <w:p>
      <w:pPr>
        <w:pStyle w:val="Heading2"/>
      </w:pPr>
      <w:r>
        <w:t xml:space="preserve">Question–ILO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182"/>
        <w:gridCol w:w="827"/>
        <w:gridCol w:w="827"/>
        <w:gridCol w:w="1773"/>
        <w:gridCol w:w="2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 Assessed</w:t>
            </w:r>
          </w:p>
        </w:tc>
        <w:tc>
          <w:tcPr/>
          <w:p>
            <w:pPr>
              <w:pStyle w:val="Compact"/>
            </w:pPr>
            <w:r>
              <w:t xml:space="preserve">Assessment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Differentiated Bertrand duopoly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Derivation (BRFs, NE), calculation (prices, profits), interpretation (differentiation vs homogeneity)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Salop circular city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Derivation (pricing, free entry), calculation (</w:t>
            </w:r>
            <m:oMath>
              <m:sSup>
                <m:e>
                  <m:r>
                    <m:t>n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S</m:t>
                  </m:r>
                </m:sup>
              </m:sSup>
            </m:oMath>
            <w:r>
              <w:t xml:space="preserve">), interpretation (business-stealing externality)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Pre-emption (Gilbert-Newbery)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Calculation (monopoly/duopoly profits, valuations), interpretation (pre-emption 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Patent race and R&amp;D duplication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Derivation (expected payoffs), game theory (NE analysis), welfare comparison, policy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Strategic delegation (Vickers)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1, ILO 3</w:t>
            </w:r>
          </w:p>
        </w:tc>
        <w:tc>
          <w:tcPr/>
          <w:p>
            <w:pPr>
              <w:pStyle w:val="Compact"/>
            </w:pPr>
            <w:r>
              <w:t xml:space="preserve">Derivation (owner’s FOC), calculation (equilibrium), interpretation (prisoners’ dilemma)</w:t>
            </w:r>
          </w:p>
        </w:tc>
      </w:tr>
    </w:tbl>
    <w:bookmarkEnd w:id="17"/>
    <w:bookmarkStart w:id="18" w:name="ilo-coverage-summary"/>
    <w:p>
      <w:pPr>
        <w:pStyle w:val="Heading2"/>
      </w:pPr>
      <w:r>
        <w:t xml:space="preserve">ILO 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ILO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Total Marks</w:t>
            </w:r>
          </w:p>
        </w:tc>
        <w:tc>
          <w:tcPr/>
          <w:p>
            <w:pPr>
              <w:pStyle w:val="Compact"/>
            </w:pPr>
            <w:r>
              <w:t xml:space="preserve">% of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1</w:t>
            </w:r>
          </w:p>
        </w:tc>
        <w:tc>
          <w:tcPr/>
          <w:p>
            <w:pPr>
              <w:pStyle w:val="Compact"/>
            </w:pPr>
            <w:r>
              <w:t xml:space="preserve">Q1, Q2, Q3, Q4, Q5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Q1, Q2, Q3, Q4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3</w:t>
            </w:r>
          </w:p>
        </w:tc>
        <w:tc>
          <w:tcPr/>
          <w:p>
            <w:pPr>
              <w:pStyle w:val="Compact"/>
            </w:pPr>
            <w:r>
              <w:t xml:space="preserve">Q1, Q3, Q4, Q5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ILO 4 (curiosity and wider reading) is primarily assessed through the policy report coursework, not the class test. All other ILOs receive broad coverage across the paper.</w:t>
      </w:r>
    </w:p>
    <w:bookmarkEnd w:id="18"/>
    <w:bookmarkEnd w:id="19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Gerhard Riener</dc:creator>
  <dc:description>MSc-level Industrial Organisation course at the University of St Andrews</dc:description>
  <dc:language>en-GB</dc:language>
  <cp:keywords/>
  <dcterms:created xsi:type="dcterms:W3CDTF">2026-03-05T11:50:14Z</dcterms:created>
  <dcterms:modified xsi:type="dcterms:W3CDTF">2026-03-05T11:50:14Z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toc-title">
    <vt:lpwstr>Table of contents</vt:lpwstr>
  </property>
</Properties>
</file>