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C71CF">
      <w:pPr>
        <w:pStyle w:val="10"/>
        <w:spacing w:after="80"/>
        <w:jc w:val="center"/>
      </w:pPr>
      <w:r>
        <w:t>拓扑路径编辑器 使用文档</w:t>
      </w:r>
    </w:p>
    <w:p w14:paraId="23160807">
      <w:pPr>
        <w:spacing w:after="400"/>
        <w:jc w:val="center"/>
      </w:pPr>
      <w:r>
        <w:rPr>
          <w:i/>
          <w:iCs/>
          <w:color w:val="666666"/>
        </w:rPr>
        <w:t>Topology Path Editor - User Guide</w:t>
      </w:r>
    </w:p>
    <w:p w14:paraId="50A92C9F">
      <w:pPr>
        <w:pStyle w:val="2"/>
        <w:spacing w:before="320" w:after="160"/>
      </w:pPr>
      <w:r>
        <w:t>1. 简介</w:t>
      </w:r>
    </w:p>
    <w:p w14:paraId="769FC38D">
      <w:pPr>
        <w:spacing w:after="120"/>
      </w:pPr>
      <w:r>
        <w:t>拓扑路径编辑器是一个基于 React + Three.js 的桌面 / 网页应用，用于加载点云地图，并在其上编辑拓扑节点（topology node）、拓扑边（edge）、路径点（path point）以及各点的朝向旋转，最终导出结构化的拓扑 JSON 文件，供导航、建图等下游系统使用。</w:t>
      </w:r>
    </w:p>
    <w:p w14:paraId="1E465679">
      <w:pPr>
        <w:spacing w:after="120"/>
      </w:pPr>
      <w:r>
        <w:t>本应用支持中英文界面切换，可打包为 Windows 可执行文件（.exe）或 Linux 安装包（.deb）离线运行，也可作为网页应用启动。</w:t>
      </w:r>
      <w:bookmarkStart w:id="0" w:name="_GoBack"/>
      <w:bookmarkEnd w:id="0"/>
    </w:p>
    <w:p w14:paraId="0D69A951">
      <w:pPr>
        <w:spacing w:after="120"/>
      </w:pPr>
      <w:r>
        <w:drawing>
          <wp:inline distT="0" distB="0" distL="114300" distR="114300">
            <wp:extent cx="5721350" cy="3869055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C3474">
      <w:pPr>
        <w:pStyle w:val="2"/>
        <w:spacing w:before="320" w:after="160"/>
      </w:pPr>
      <w:r>
        <w:t>2. 安装与启动</w:t>
      </w:r>
    </w:p>
    <w:p w14:paraId="28887906">
      <w:pPr>
        <w:pStyle w:val="3"/>
        <w:spacing w:before="240" w:after="120"/>
      </w:pPr>
      <w:r>
        <w:t>2.1 桌面版（推荐日常使用）</w:t>
      </w:r>
    </w:p>
    <w:p w14:paraId="1640615F">
      <w:pPr>
        <w:spacing w:after="120"/>
      </w:pPr>
      <w:r>
        <w:t>Windows：</w:t>
      </w:r>
    </w:p>
    <w:p w14:paraId="01C77A88">
      <w:pPr>
        <w:pStyle w:val="16"/>
        <w:numPr>
          <w:ilvl w:val="0"/>
          <w:numId w:val="1"/>
        </w:numPr>
        <w:spacing w:after="60"/>
      </w:pPr>
      <w:r>
        <w:t>双击 Topology Path Editor Setup 1.0.0.exe 完成安装。</w:t>
      </w:r>
    </w:p>
    <w:p w14:paraId="0BF66211">
      <w:pPr>
        <w:pStyle w:val="16"/>
        <w:numPr>
          <w:ilvl w:val="0"/>
          <w:numId w:val="1"/>
        </w:numPr>
        <w:spacing w:after="60"/>
      </w:pPr>
      <w:r>
        <w:t>安装完成后从开始菜单或桌面快捷方式启动 “Topology Path Editor”。</w:t>
      </w:r>
    </w:p>
    <w:p w14:paraId="2B1FB7DA">
      <w:pPr>
        <w:spacing w:after="120"/>
      </w:pPr>
      <w:r>
        <w:t>Linux（Debian / Ubuntu）：</w:t>
      </w:r>
    </w:p>
    <w:p w14:paraId="73C7314C">
      <w:pPr>
        <w:shd w:val="solid" w:color="F0F0F0" w:fill="F0F0F0"/>
        <w:spacing w:before="60" w:after="120"/>
      </w:pPr>
      <w:r>
        <w:rPr>
          <w:rFonts w:ascii="Consolas" w:hAnsi="Consolas" w:eastAsia="Consolas" w:cs="Consolas"/>
          <w:sz w:val="20"/>
          <w:szCs w:val="20"/>
        </w:rPr>
        <w:t>sudo dpkg -i topology-path-editor_1.0.0_amd64.deb</w:t>
      </w:r>
    </w:p>
    <w:p w14:paraId="627049D1">
      <w:pPr>
        <w:pStyle w:val="16"/>
        <w:numPr>
          <w:ilvl w:val="0"/>
          <w:numId w:val="1"/>
        </w:numPr>
        <w:spacing w:after="60"/>
      </w:pPr>
      <w:r>
        <w:t>安装完成后可在应用菜单中找到 “Topology Path Editor”，或在终端直接运行：</w:t>
      </w:r>
    </w:p>
    <w:p w14:paraId="1290E318">
      <w:pPr>
        <w:shd w:val="solid" w:color="F0F0F0" w:fill="F0F0F0"/>
        <w:spacing w:before="60" w:after="120"/>
      </w:pPr>
      <w:r>
        <w:rPr>
          <w:rFonts w:ascii="Consolas" w:hAnsi="Consolas" w:eastAsia="Consolas" w:cs="Consolas"/>
          <w:sz w:val="20"/>
          <w:szCs w:val="20"/>
        </w:rPr>
        <w:t>topology-path-editor</w:t>
      </w:r>
    </w:p>
    <w:p w14:paraId="0431B73E">
      <w:pPr>
        <w:spacing w:after="120"/>
      </w:pPr>
      <w:r>
        <w:t>桌面版内置浏览器内核，双击即用，不需要额外安装 Node.js 或浏览器。</w:t>
      </w:r>
    </w:p>
    <w:p w14:paraId="7711E5F2">
      <w:pPr>
        <w:pStyle w:val="3"/>
        <w:spacing w:before="240" w:after="120"/>
      </w:pPr>
      <w:r>
        <w:t>2.2 网页版（开发 / 源码运行）</w:t>
      </w:r>
    </w:p>
    <w:p w14:paraId="39E8DA3D">
      <w:pPr>
        <w:spacing w:after="120"/>
      </w:pPr>
      <w:r>
        <w:t>适合需要修改源码或在服务器上部署网页版的场景，需要预先安装 Node.js。</w:t>
      </w:r>
    </w:p>
    <w:p w14:paraId="6306799C">
      <w:pPr>
        <w:pStyle w:val="16"/>
        <w:numPr>
          <w:ilvl w:val="0"/>
          <w:numId w:val="1"/>
        </w:numPr>
        <w:spacing w:after="60"/>
      </w:pPr>
      <w:r>
        <w:t>安装依赖：</w:t>
      </w:r>
    </w:p>
    <w:p w14:paraId="6A6E8224">
      <w:pPr>
        <w:shd w:val="solid" w:color="F0F0F0" w:fill="F0F0F0"/>
        <w:spacing w:before="60" w:after="120"/>
      </w:pPr>
      <w:r>
        <w:rPr>
          <w:rFonts w:ascii="Consolas" w:hAnsi="Consolas" w:eastAsia="Consolas" w:cs="Consolas"/>
          <w:sz w:val="20"/>
          <w:szCs w:val="20"/>
        </w:rPr>
        <w:t>npm install</w:t>
      </w:r>
    </w:p>
    <w:p w14:paraId="1A883ADF">
      <w:pPr>
        <w:pStyle w:val="16"/>
        <w:numPr>
          <w:ilvl w:val="0"/>
          <w:numId w:val="1"/>
        </w:numPr>
        <w:spacing w:after="60"/>
      </w:pPr>
      <w:r>
        <w:t>启动开发服务器（默认端口 5173）：</w:t>
      </w:r>
    </w:p>
    <w:p w14:paraId="15B3775F">
      <w:pPr>
        <w:shd w:val="solid" w:color="F0F0F0" w:fill="F0F0F0"/>
        <w:spacing w:before="60" w:after="120"/>
      </w:pPr>
      <w:r>
        <w:rPr>
          <w:rFonts w:ascii="Consolas" w:hAnsi="Consolas" w:eastAsia="Consolas" w:cs="Consolas"/>
          <w:sz w:val="20"/>
          <w:szCs w:val="20"/>
        </w:rPr>
        <w:t>npm run dev</w:t>
      </w:r>
    </w:p>
    <w:p w14:paraId="425FAF4E">
      <w:pPr>
        <w:pStyle w:val="16"/>
        <w:numPr>
          <w:ilvl w:val="0"/>
          <w:numId w:val="1"/>
        </w:numPr>
        <w:spacing w:after="60"/>
      </w:pPr>
      <w:r>
        <w:t>指定端口启动：</w:t>
      </w:r>
    </w:p>
    <w:p w14:paraId="3177EBC2">
      <w:pPr>
        <w:shd w:val="solid" w:color="F0F0F0" w:fill="F0F0F0"/>
        <w:spacing w:before="60" w:after="120"/>
      </w:pPr>
      <w:r>
        <w:rPr>
          <w:rFonts w:ascii="Consolas" w:hAnsi="Consolas" w:eastAsia="Consolas" w:cs="Consolas"/>
          <w:sz w:val="20"/>
          <w:szCs w:val="20"/>
        </w:rPr>
        <w:t>npm run dev -- --port 8080</w:t>
      </w:r>
    </w:p>
    <w:p w14:paraId="2181CB2C">
      <w:pPr>
        <w:spacing w:after="120"/>
      </w:pPr>
      <w:r>
        <w:t>启动后在浏览器中打开命令行提示的地址（如 http://localhost:5173/）即可使用。</w:t>
      </w:r>
    </w:p>
    <w:p w14:paraId="09092F37">
      <w:pPr>
        <w:pStyle w:val="2"/>
        <w:spacing w:before="320" w:after="160"/>
      </w:pPr>
      <w:r>
        <w:t>3. 界面总览</w:t>
      </w:r>
    </w:p>
    <w:p w14:paraId="74D4A4D2">
      <w:pPr>
        <w:spacing w:after="120"/>
      </w:pPr>
      <w:r>
        <w:t>主界面分为三个区域：</w:t>
      </w:r>
    </w:p>
    <w:p w14:paraId="54A41122">
      <w:pPr>
        <w:pStyle w:val="16"/>
        <w:numPr>
          <w:ilvl w:val="0"/>
          <w:numId w:val="1"/>
        </w:numPr>
        <w:spacing w:after="60"/>
      </w:pPr>
      <w:r>
        <w:t>左侧面板：文件加载与导出、外观设置、路径生成参数、节点类型管理、节点列表与详情、边列表与详情。</w:t>
      </w:r>
    </w:p>
    <w:p w14:paraId="2A210E1F">
      <w:pPr>
        <w:pStyle w:val="16"/>
        <w:numPr>
          <w:ilvl w:val="0"/>
          <w:numId w:val="1"/>
        </w:numPr>
        <w:spacing w:after="60"/>
      </w:pPr>
      <w:r>
        <w:t>中间 3D 视图：显示点云地图与拓扑结构，支持鼠标拖拽旋转/缩放视角，支持点击选中、拖拽移动节点。</w:t>
      </w:r>
    </w:p>
    <w:p w14:paraId="0CAE83A3">
      <w:pPr>
        <w:pStyle w:val="16"/>
        <w:numPr>
          <w:ilvl w:val="0"/>
          <w:numId w:val="1"/>
        </w:numPr>
        <w:spacing w:after="60"/>
      </w:pPr>
      <w:r>
        <w:t>历史记录抽屉：点击顶部“历史记录”图标打开，可查看并回退到任意历史操作步骤。</w:t>
      </w:r>
    </w:p>
    <w:p w14:paraId="7E8B7A87">
      <w:pPr>
        <w:spacing w:after="120"/>
      </w:pPr>
      <w:r>
        <w:t>顶部右上角提供 EN / 中文 切换开关，用于切换界面语言；语言偏好会保存在本地，下次打开自动记住。</w:t>
      </w:r>
    </w:p>
    <w:p w14:paraId="4B93B77A">
      <w:pPr>
        <w:pStyle w:val="2"/>
        <w:spacing w:before="320" w:after="160"/>
      </w:pPr>
      <w:r>
        <w:t>4. 功能详解</w:t>
      </w:r>
    </w:p>
    <w:p w14:paraId="6E4BB71E">
      <w:pPr>
        <w:pStyle w:val="3"/>
        <w:spacing w:before="240" w:after="120"/>
      </w:pPr>
      <w:r>
        <w:t>4.1 加载地图 / 拓扑文件</w:t>
      </w:r>
    </w:p>
    <w:p w14:paraId="72002FE2">
      <w:pPr>
        <w:pStyle w:val="16"/>
        <w:numPr>
          <w:ilvl w:val="0"/>
          <w:numId w:val="1"/>
        </w:numPr>
        <w:spacing w:after="60"/>
      </w:pPr>
      <w:r>
        <w:t>“加载地图”支持 PCD（ASCII / Binary）、ASCII PLY、XYZ / TXT / CSV 点列表格式。</w:t>
      </w:r>
    </w:p>
    <w:p w14:paraId="341612B0">
      <w:pPr>
        <w:pStyle w:val="16"/>
        <w:numPr>
          <w:ilvl w:val="0"/>
          <w:numId w:val="1"/>
        </w:numPr>
        <w:spacing w:after="60"/>
      </w:pPr>
      <w:r>
        <w:t>“加载 JSON”用于导入已有拓扑文件，字段包含 topology_nodes、edges、path_points。</w:t>
      </w:r>
    </w:p>
    <w:p w14:paraId="268B2113">
      <w:pPr>
        <w:pStyle w:val="16"/>
        <w:numPr>
          <w:ilvl w:val="0"/>
          <w:numId w:val="1"/>
        </w:numPr>
        <w:spacing w:after="60"/>
      </w:pPr>
      <w:r>
        <w:t>大型点云文件会在浏览器内自动下采样，以保证交互流畅；暂不支持 binary_compressed 格式的 PCD。</w:t>
      </w:r>
    </w:p>
    <w:p w14:paraId="1E0608D5">
      <w:pPr>
        <w:pStyle w:val="3"/>
        <w:spacing w:before="240" w:after="120"/>
      </w:pPr>
      <w:r>
        <w:t>4.2 节点（拓扑点）编辑</w:t>
      </w:r>
    </w:p>
    <w:p w14:paraId="0ED8DD3D">
      <w:pPr>
        <w:pStyle w:val="16"/>
        <w:numPr>
          <w:ilvl w:val="0"/>
          <w:numId w:val="1"/>
        </w:numPr>
        <w:spacing w:after="60"/>
      </w:pPr>
      <w:r>
        <w:t>点击“添加节点”在质心位置新增节点；开启“放置模式”后可在 3D 视图中点击新增节点。</w:t>
      </w:r>
    </w:p>
    <w:p w14:paraId="3CC1387E">
      <w:pPr>
        <w:pStyle w:val="16"/>
        <w:numPr>
          <w:ilvl w:val="0"/>
          <w:numId w:val="1"/>
        </w:numPr>
        <w:spacing w:after="60"/>
      </w:pPr>
      <w:r>
        <w:t>若新增节点前已选中某个节点，只会从该节点新拉一条分支边连到新节点；其余边保持不变。</w:t>
      </w:r>
    </w:p>
    <w:p w14:paraId="007A00AB">
      <w:pPr>
        <w:pStyle w:val="16"/>
        <w:numPr>
          <w:ilvl w:val="0"/>
          <w:numId w:val="1"/>
        </w:numPr>
        <w:spacing w:after="60"/>
      </w:pPr>
      <w:r>
        <w:t>在节点列表中拖拽可调整节点顺序并重新编号，已有边的端点会自动跟随映射。</w:t>
      </w:r>
    </w:p>
    <w:p w14:paraId="1DD4827F">
      <w:pPr>
        <w:pStyle w:val="16"/>
        <w:numPr>
          <w:ilvl w:val="0"/>
          <w:numId w:val="1"/>
        </w:numPr>
        <w:spacing w:after="60"/>
      </w:pPr>
      <w:r>
        <w:t>选中节点后可编辑其坐标 (x, y, z)、编号 (ID)、类型 (type) 以及朝向旋转。</w:t>
      </w:r>
    </w:p>
    <w:p w14:paraId="4686B35A">
      <w:pPr>
        <w:pStyle w:val="16"/>
        <w:numPr>
          <w:ilvl w:val="0"/>
          <w:numId w:val="1"/>
        </w:numPr>
        <w:spacing w:after="60"/>
      </w:pPr>
      <w:r>
        <w:t>删除节点只会移除与之相连的边，图中其他边（含其他分支）保持不变。</w:t>
      </w:r>
    </w:p>
    <w:p w14:paraId="3CBF6E26">
      <w:pPr>
        <w:pStyle w:val="3"/>
        <w:spacing w:before="240" w:after="120"/>
      </w:pPr>
      <w:r>
        <w:t>4.3 边（Edge）与路径点</w:t>
      </w:r>
    </w:p>
    <w:p w14:paraId="4846A7B1">
      <w:pPr>
        <w:pStyle w:val="16"/>
        <w:numPr>
          <w:ilvl w:val="0"/>
          <w:numId w:val="1"/>
        </w:numPr>
        <w:spacing w:after="60"/>
      </w:pPr>
      <w:r>
        <w:t>通过“起点 / 终点”下拉选择两个节点后点击加号添加边。</w:t>
      </w:r>
    </w:p>
    <w:p w14:paraId="6A2B72C8">
      <w:pPr>
        <w:pStyle w:val="16"/>
        <w:numPr>
          <w:ilvl w:val="0"/>
          <w:numId w:val="1"/>
        </w:numPr>
        <w:spacing w:after="60"/>
      </w:pPr>
      <w:r>
        <w:t>选中边后可以：添加临时拓扑点、插入路径点、重新生成该边路径、开关路径锁定。</w:t>
      </w:r>
    </w:p>
    <w:p w14:paraId="5E31D456">
      <w:pPr>
        <w:pStyle w:val="16"/>
        <w:numPr>
          <w:ilvl w:val="0"/>
          <w:numId w:val="1"/>
        </w:numPr>
        <w:spacing w:after="60"/>
      </w:pPr>
      <w:r>
        <w:t>路径点按设定的“间距”参数沿边自动插值生成；可在“路径生成”区调整间距并重新生成。</w:t>
      </w:r>
    </w:p>
    <w:p w14:paraId="6D400D87">
      <w:pPr>
        <w:pStyle w:val="16"/>
        <w:numPr>
          <w:ilvl w:val="0"/>
          <w:numId w:val="1"/>
        </w:numPr>
        <w:spacing w:after="60"/>
      </w:pPr>
      <w:r>
        <w:t>“反转路线方向”可一键把整条路线首尾对调，同时保留节点编号与已有路径形状。</w:t>
      </w:r>
    </w:p>
    <w:p w14:paraId="4CD6F388">
      <w:pPr>
        <w:pStyle w:val="3"/>
        <w:spacing w:before="240" w:after="120"/>
      </w:pPr>
      <w:r>
        <w:t>4.4 临时拓扑点</w:t>
      </w:r>
    </w:p>
    <w:p w14:paraId="305F1A01">
      <w:pPr>
        <w:spacing w:after="120"/>
      </w:pPr>
      <w:r>
        <w:t>临时拓扑点是边内部的控制点，用来让两个正式拓扑节点之间的路径产生转折，3D 视图中显示为橙色菱形，可直接拖拽。它不会作为 topology_nodes 导出，但对路径的影响会保留在生成后的 path_points 中。</w:t>
      </w:r>
    </w:p>
    <w:p w14:paraId="39A28E64">
      <w:pPr>
        <w:pStyle w:val="3"/>
        <w:spacing w:before="240" w:after="120"/>
      </w:pPr>
      <w:r>
        <w:t>4.5 路径锁定</w:t>
      </w:r>
    </w:p>
    <w:p w14:paraId="1A15B0AC">
      <w:pPr>
        <w:spacing w:after="120"/>
      </w:pPr>
      <w:r>
        <w:t>选中边后打开“路径锁定”开关：</w:t>
      </w:r>
    </w:p>
    <w:p w14:paraId="5B7972A0">
      <w:pPr>
        <w:pStyle w:val="16"/>
        <w:numPr>
          <w:ilvl w:val="0"/>
          <w:numId w:val="1"/>
        </w:numPr>
        <w:spacing w:after="60"/>
      </w:pPr>
      <w:r>
        <w:t>锁定后，移动其他节点、添加节点、调整其他边的临时点都不会影响该边已有的路径点。</w:t>
      </w:r>
    </w:p>
    <w:p w14:paraId="180F7A65">
      <w:pPr>
        <w:pStyle w:val="16"/>
        <w:numPr>
          <w:ilvl w:val="0"/>
          <w:numId w:val="1"/>
        </w:numPr>
        <w:spacing w:after="60"/>
      </w:pPr>
      <w:r>
        <w:t>全局“重新生成”或修改间距时会跳过锁定的边。</w:t>
      </w:r>
    </w:p>
    <w:p w14:paraId="63F744A5">
      <w:pPr>
        <w:pStyle w:val="16"/>
        <w:numPr>
          <w:ilvl w:val="0"/>
          <w:numId w:val="1"/>
        </w:numPr>
        <w:spacing w:after="60"/>
      </w:pPr>
      <w:r>
        <w:t>需要编辑该边的路径点 / 临时点时，需先关闭锁定。</w:t>
      </w:r>
    </w:p>
    <w:p w14:paraId="12701772">
      <w:pPr>
        <w:pStyle w:val="3"/>
        <w:spacing w:before="240" w:after="120"/>
      </w:pPr>
      <w:r>
        <w:t>4.6 路径点与拓扑点互相转换</w:t>
      </w:r>
    </w:p>
    <w:p w14:paraId="5C9BA975">
      <w:pPr>
        <w:pStyle w:val="16"/>
        <w:numPr>
          <w:ilvl w:val="0"/>
          <w:numId w:val="1"/>
        </w:numPr>
        <w:spacing w:after="60"/>
      </w:pPr>
      <w:r>
        <w:t>边内部（非首尾）的普通路径点可转换为正式拓扑点，转换后原边会拆分为两条边。</w:t>
      </w:r>
    </w:p>
    <w:p w14:paraId="0D0D79D9">
      <w:pPr>
        <w:pStyle w:val="16"/>
        <w:numPr>
          <w:ilvl w:val="0"/>
          <w:numId w:val="1"/>
        </w:numPr>
        <w:spacing w:after="60"/>
      </w:pPr>
      <w:r>
        <w:t>只有两条未锁定连接边的拓扑点，可通过“转换为路径点”按钮转回普通路径点，相邻两条边会合并为一条。</w:t>
      </w:r>
    </w:p>
    <w:p w14:paraId="0BE57428">
      <w:pPr>
        <w:pStyle w:val="3"/>
        <w:spacing w:before="240" w:after="120"/>
      </w:pPr>
      <w:r>
        <w:t>4.7 旋转朝向编辑</w:t>
      </w:r>
    </w:p>
    <w:p w14:paraId="164ABA79">
      <w:pPr>
        <w:spacing w:after="120"/>
      </w:pPr>
      <w:r>
        <w:t>节点与路径点均使用绕 Z 轴的 yaw 朝向，可用角度 (Angle)、弧度 (Radian) 或四元数 (Quaternion) 三种方式编辑，三者会自动同步。默认朝向跟随路径方向，手动编辑后会标记为 manual 模式，可点击“使用路径方向”按钮重置。</w:t>
      </w:r>
    </w:p>
    <w:p w14:paraId="4A2EA213">
      <w:pPr>
        <w:pStyle w:val="3"/>
        <w:spacing w:before="240" w:after="120"/>
      </w:pPr>
      <w:r>
        <w:t>4.8 外观与视角</w:t>
      </w:r>
    </w:p>
    <w:p w14:paraId="3F3EB013">
      <w:pPr>
        <w:pStyle w:val="16"/>
        <w:numPr>
          <w:ilvl w:val="0"/>
          <w:numId w:val="1"/>
        </w:numPr>
        <w:spacing w:after="60"/>
      </w:pPr>
      <w:r>
        <w:t>可自定义页面/3D 场景背景颜色（预设色板或自定义色值）。</w:t>
      </w:r>
    </w:p>
    <w:p w14:paraId="243831C9">
      <w:pPr>
        <w:pStyle w:val="16"/>
        <w:numPr>
          <w:ilvl w:val="0"/>
          <w:numId w:val="1"/>
        </w:numPr>
        <w:spacing w:after="60"/>
      </w:pPr>
      <w:r>
        <w:t>可调整点云渲染的点大小与颜色。</w:t>
      </w:r>
    </w:p>
    <w:p w14:paraId="30D21813">
      <w:pPr>
        <w:pStyle w:val="16"/>
        <w:numPr>
          <w:ilvl w:val="0"/>
          <w:numId w:val="1"/>
        </w:numPr>
        <w:spacing w:after="60"/>
      </w:pPr>
      <w:r>
        <w:t>可将相机一键切换到立方体六个面视角：上、下、前、后、左、右。</w:t>
      </w:r>
    </w:p>
    <w:p w14:paraId="62ED873F">
      <w:pPr>
        <w:pStyle w:val="3"/>
        <w:spacing w:before="240" w:after="120"/>
      </w:pPr>
      <w:r>
        <w:t>4.9 撤销与历史记录</w:t>
      </w:r>
    </w:p>
    <w:p w14:paraId="5B0DDAB6">
      <w:pPr>
        <w:pStyle w:val="16"/>
        <w:numPr>
          <w:ilvl w:val="0"/>
          <w:numId w:val="1"/>
        </w:numPr>
        <w:spacing w:after="60"/>
      </w:pPr>
      <w:r>
        <w:t>点击“撤销”图标可撤销上一步操作。</w:t>
      </w:r>
    </w:p>
    <w:p w14:paraId="0BE6B517">
      <w:pPr>
        <w:pStyle w:val="16"/>
        <w:numPr>
          <w:ilvl w:val="0"/>
          <w:numId w:val="1"/>
        </w:numPr>
        <w:spacing w:after="60"/>
      </w:pPr>
      <w:r>
        <w:t>点击“历史记录”图标打开历史抽屉，可查看每一步操作说明，并点击任意一步恢复到该状态。</w:t>
      </w:r>
    </w:p>
    <w:p w14:paraId="3A6F2DC4">
      <w:pPr>
        <w:pStyle w:val="3"/>
        <w:spacing w:before="240" w:after="120"/>
      </w:pPr>
      <w:r>
        <w:t>4.10 导出</w:t>
      </w:r>
    </w:p>
    <w:p w14:paraId="0A60CE14">
      <w:pPr>
        <w:spacing w:after="120"/>
      </w:pPr>
      <w:r>
        <w:t>点击左侧“导出 JSON”按钮，将当前拓扑结构、路径点及旋转信息导出为 JSON 文件，文件名在原文件名基础上追加 “-edited”。导出时会根据当前间距更新 metadata 中的统计信息。</w:t>
      </w:r>
    </w:p>
    <w:p w14:paraId="49CFD334">
      <w:pPr>
        <w:pStyle w:val="3"/>
        <w:spacing w:before="240" w:after="120"/>
      </w:pPr>
      <w:r>
        <w:t>4.11 中英文切换</w:t>
      </w:r>
    </w:p>
    <w:p w14:paraId="53EF173B">
      <w:pPr>
        <w:spacing w:after="120"/>
      </w:pPr>
      <w:r>
        <w:t>界面右上角的 EN / 中文 开关可随时切换语言，所有按钮、提示文字、操作历史记录均会跟随切换；已经生成的历史记录条目保留生成时使用的语言，不会被追溯翻译。</w:t>
      </w:r>
    </w:p>
    <w:p w14:paraId="437C89B0">
      <w:pPr>
        <w:pStyle w:val="2"/>
        <w:spacing w:before="320" w:after="160"/>
      </w:pPr>
      <w:r>
        <w:t>5. 典型操作流程</w:t>
      </w:r>
    </w:p>
    <w:p w14:paraId="5A71B1C9">
      <w:pPr>
        <w:pStyle w:val="16"/>
        <w:numPr>
          <w:ilvl w:val="0"/>
          <w:numId w:val="1"/>
        </w:numPr>
        <w:spacing w:after="60"/>
      </w:pPr>
      <w:r>
        <w:t>1. 加载点云地图文件。</w:t>
      </w:r>
    </w:p>
    <w:p w14:paraId="4C7ADC59">
      <w:pPr>
        <w:pStyle w:val="16"/>
        <w:numPr>
          <w:ilvl w:val="0"/>
          <w:numId w:val="1"/>
        </w:numPr>
        <w:spacing w:after="60"/>
      </w:pPr>
      <w:r>
        <w:t>2. 加载拓扑 JSON 文件（或从空白开始新建）。</w:t>
      </w:r>
    </w:p>
    <w:p w14:paraId="181C2208">
      <w:pPr>
        <w:pStyle w:val="16"/>
        <w:numPr>
          <w:ilvl w:val="0"/>
          <w:numId w:val="1"/>
        </w:numPr>
        <w:spacing w:after="60"/>
      </w:pPr>
      <w:r>
        <w:t>3. 在左侧面板或 3D 场景中选择节点或边。</w:t>
      </w:r>
    </w:p>
    <w:p w14:paraId="13004A99">
      <w:pPr>
        <w:pStyle w:val="16"/>
        <w:numPr>
          <w:ilvl w:val="0"/>
          <w:numId w:val="1"/>
        </w:numPr>
        <w:spacing w:after="60"/>
      </w:pPr>
      <w:r>
        <w:t>4. 通过面板按钮或“放置模式”添加新节点。</w:t>
      </w:r>
    </w:p>
    <w:p w14:paraId="6C0FE0DA">
      <w:pPr>
        <w:pStyle w:val="16"/>
        <w:numPr>
          <w:ilvl w:val="0"/>
          <w:numId w:val="1"/>
        </w:numPr>
        <w:spacing w:after="60"/>
      </w:pPr>
      <w:r>
        <w:t>5. 在 3D 场景中拖拽调整节点或临时点位置。</w:t>
      </w:r>
    </w:p>
    <w:p w14:paraId="597F3178">
      <w:pPr>
        <w:pStyle w:val="16"/>
        <w:numPr>
          <w:ilvl w:val="0"/>
          <w:numId w:val="1"/>
        </w:numPr>
        <w:spacing w:after="60"/>
      </w:pPr>
      <w:r>
        <w:t>6. 在“已选节点”面板编辑坐标、类型、编号或朝向。</w:t>
      </w:r>
    </w:p>
    <w:p w14:paraId="012F8B93">
      <w:pPr>
        <w:pStyle w:val="16"/>
        <w:numPr>
          <w:ilvl w:val="0"/>
          <w:numId w:val="1"/>
        </w:numPr>
        <w:spacing w:after="60"/>
      </w:pPr>
      <w:r>
        <w:t>7. 需要调整节点编号顺序时，在节点列表中拖拽排序。</w:t>
      </w:r>
    </w:p>
    <w:p w14:paraId="7FB87C6D">
      <w:pPr>
        <w:pStyle w:val="16"/>
        <w:numPr>
          <w:ilvl w:val="0"/>
          <w:numId w:val="1"/>
        </w:numPr>
        <w:spacing w:after="60"/>
      </w:pPr>
      <w:r>
        <w:t>8. 选中边后编辑路径点、临时点、锁定状态及朝向。</w:t>
      </w:r>
    </w:p>
    <w:p w14:paraId="7B3BEBAC">
      <w:pPr>
        <w:pStyle w:val="16"/>
        <w:numPr>
          <w:ilvl w:val="0"/>
          <w:numId w:val="1"/>
        </w:numPr>
        <w:spacing w:after="60"/>
      </w:pPr>
      <w:r>
        <w:t>9. 调整“间距”参数重新生成插值路径。</w:t>
      </w:r>
    </w:p>
    <w:p w14:paraId="32C033B9">
      <w:pPr>
        <w:pStyle w:val="16"/>
        <w:numPr>
          <w:ilvl w:val="0"/>
          <w:numId w:val="1"/>
        </w:numPr>
        <w:spacing w:after="60"/>
      </w:pPr>
      <w:r>
        <w:t>10. 如路线方向相反，点击“反转路线方向”。</w:t>
      </w:r>
    </w:p>
    <w:p w14:paraId="3CAB6CB2">
      <w:pPr>
        <w:pStyle w:val="16"/>
        <w:numPr>
          <w:ilvl w:val="0"/>
          <w:numId w:val="1"/>
        </w:numPr>
        <w:spacing w:after="60"/>
      </w:pPr>
      <w:r>
        <w:t>11. 需要回退时使用“撤销”或“历史记录”。</w:t>
      </w:r>
    </w:p>
    <w:p w14:paraId="69423558">
      <w:pPr>
        <w:pStyle w:val="16"/>
        <w:numPr>
          <w:ilvl w:val="0"/>
          <w:numId w:val="1"/>
        </w:numPr>
        <w:spacing w:after="60"/>
      </w:pPr>
      <w:r>
        <w:t>12. 根据需要在“外观”区调整背景、点云样式或切换视角。</w:t>
      </w:r>
    </w:p>
    <w:p w14:paraId="6DA40E94">
      <w:pPr>
        <w:pStyle w:val="16"/>
        <w:numPr>
          <w:ilvl w:val="0"/>
          <w:numId w:val="1"/>
        </w:numPr>
        <w:spacing w:after="60"/>
      </w:pPr>
      <w:r>
        <w:t>13. 完成后点击“导出 JSON”保存结果。</w:t>
      </w:r>
    </w:p>
    <w:p w14:paraId="0DF9BE11">
      <w:pPr>
        <w:pStyle w:val="2"/>
        <w:spacing w:before="320" w:after="160"/>
      </w:pPr>
      <w:r>
        <w:t>6. 注意事项</w:t>
      </w:r>
    </w:p>
    <w:p w14:paraId="38AB23E9">
      <w:pPr>
        <w:pStyle w:val="16"/>
        <w:numPr>
          <w:ilvl w:val="0"/>
          <w:numId w:val="1"/>
        </w:numPr>
        <w:spacing w:after="60"/>
      </w:pPr>
      <w:r>
        <w:t>大型 PCD 文件会自动下采样以保证交互流畅，不影响导出精度。</w:t>
      </w:r>
    </w:p>
    <w:p w14:paraId="30A11550">
      <w:pPr>
        <w:pStyle w:val="16"/>
        <w:numPr>
          <w:ilvl w:val="0"/>
          <w:numId w:val="1"/>
        </w:numPr>
        <w:spacing w:after="60"/>
      </w:pPr>
      <w:r>
        <w:t>内置轻量加载器暂不支持 binary_compressed 格式的 PCD 文件。</w:t>
      </w:r>
    </w:p>
    <w:p w14:paraId="3B54BF14">
      <w:pPr>
        <w:pStyle w:val="16"/>
        <w:numPr>
          <w:ilvl w:val="0"/>
          <w:numId w:val="1"/>
        </w:numPr>
        <w:spacing w:after="60"/>
      </w:pPr>
      <w:r>
        <w:t>拓扑结构是通用图结构而非强制单链：一个节点可以有多条出边/入边（分支）。</w:t>
      </w:r>
    </w:p>
    <w:p w14:paraId="750A6D8F">
      <w:pPr>
        <w:pStyle w:val="16"/>
        <w:numPr>
          <w:ilvl w:val="0"/>
          <w:numId w:val="1"/>
        </w:numPr>
        <w:spacing w:after="60"/>
      </w:pPr>
      <w:r>
        <w:t>修改节点编号 (ID) 时会自动同步更新相关边的起止引用。</w:t>
      </w:r>
    </w:p>
    <w:p w14:paraId="3AFC9485">
      <w:pPr>
        <w:pStyle w:val="16"/>
        <w:numPr>
          <w:ilvl w:val="0"/>
          <w:numId w:val="1"/>
        </w:numPr>
        <w:spacing w:after="60"/>
      </w:pPr>
      <w:r>
        <w:t>如导入的 JSON 中包含默认类型之外的节点类型，会自动加入类型列表，避免数据丢失。</w:t>
      </w:r>
    </w:p>
    <w:p w14:paraId="13426334">
      <w:pPr>
        <w:pStyle w:val="2"/>
        <w:spacing w:before="320" w:after="160"/>
      </w:pPr>
      <w:r>
        <w:t>7. 拓扑 JSON 格式参考</w:t>
      </w:r>
    </w:p>
    <w:p w14:paraId="15F10298">
      <w:pPr>
        <w:spacing w:after="120"/>
      </w:pPr>
      <w:r>
        <w:t>导入 / 导出的 JSON 主要包含以下顶层字段：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4523"/>
      </w:tblGrid>
      <w:tr w14:paraId="3C86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  <w:shd w:val="solid" w:color="D9E2F3" w:fill="D9E2F3"/>
          </w:tcPr>
          <w:p w14:paraId="2F39700F">
            <w:r>
              <w:rPr>
                <w:b/>
                <w:bCs/>
              </w:rPr>
              <w:t>字段</w:t>
            </w:r>
          </w:p>
        </w:tc>
        <w:tc>
          <w:tcPr>
            <w:tcW w:w="1650" w:type="pct"/>
            <w:shd w:val="solid" w:color="D9E2F3" w:fill="D9E2F3"/>
          </w:tcPr>
          <w:p w14:paraId="4773DF2D">
            <w:r>
              <w:rPr>
                <w:b/>
                <w:bCs/>
              </w:rPr>
              <w:t>说明</w:t>
            </w:r>
          </w:p>
        </w:tc>
      </w:tr>
      <w:tr w14:paraId="133F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51939556">
            <w:r>
              <w:t>metadata</w:t>
            </w:r>
          </w:p>
        </w:tc>
        <w:tc>
          <w:tcPr>
            <w:tcW w:w="1650" w:type="pct"/>
          </w:tcPr>
          <w:p w14:paraId="3ABD6248">
            <w:r>
              <w:t>场景元信息，包含间距 distance_threshold、节点/边/路径点统计数量等</w:t>
            </w:r>
          </w:p>
        </w:tc>
      </w:tr>
      <w:tr w14:paraId="6C823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73ECFAF5">
            <w:r>
              <w:t>topology_nodes</w:t>
            </w:r>
          </w:p>
        </w:tc>
        <w:tc>
          <w:tcPr>
            <w:tcW w:w="1650" w:type="pct"/>
          </w:tcPr>
          <w:p w14:paraId="4918EE56">
            <w:r>
              <w:t>拓扑节点数组，每个节点含 id、x/y/z 坐标、type、朝向字段等</w:t>
            </w:r>
          </w:p>
        </w:tc>
      </w:tr>
      <w:tr w14:paraId="1F1E2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pct"/>
          </w:tcPr>
          <w:p w14:paraId="33257308">
            <w:r>
              <w:t>edges</w:t>
            </w:r>
          </w:p>
        </w:tc>
        <w:tc>
          <w:tcPr>
            <w:tcW w:w="1650" w:type="pct"/>
          </w:tcPr>
          <w:p w14:paraId="52BFCB43">
            <w:r>
              <w:t>拓扑边数组，每条边含 from、to 节点编号及 path_points 数组</w:t>
            </w:r>
          </w:p>
        </w:tc>
      </w:tr>
      <w:tr w14:paraId="2FA4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43ECE2F">
            <w:r>
              <w:t>path_points</w:t>
            </w:r>
          </w:p>
        </w:tc>
        <w:tc>
          <w:tcPr>
            <w:tcW w:w="1650" w:type="pct"/>
          </w:tcPr>
          <w:p w14:paraId="6BF0B79C">
            <w:r>
              <w:t>边内部的路径点数组，每个点含 seq 序号、x/y/z 坐标及朝向字段</w:t>
            </w:r>
          </w:p>
        </w:tc>
      </w:tr>
    </w:tbl>
    <w:p w14:paraId="22472953">
      <w:pPr>
        <w:spacing w:before="120"/>
      </w:pPr>
    </w:p>
    <w:p w14:paraId="4FD74F45">
      <w:pPr>
        <w:spacing w:after="120"/>
      </w:pPr>
      <w:r>
        <w:t>节点与路径点的朝向字段说明：</w:t>
      </w:r>
    </w:p>
    <w:p w14:paraId="060674F3">
      <w:pPr>
        <w:pStyle w:val="16"/>
        <w:numPr>
          <w:ilvl w:val="0"/>
          <w:numId w:val="1"/>
        </w:numPr>
        <w:spacing w:after="60"/>
      </w:pPr>
      <w:r>
        <w:t>angle：角度制朝向（度）。</w:t>
      </w:r>
    </w:p>
    <w:p w14:paraId="370B61A2">
      <w:pPr>
        <w:pStyle w:val="16"/>
        <w:numPr>
          <w:ilvl w:val="0"/>
          <w:numId w:val="1"/>
        </w:numPr>
        <w:spacing w:after="60"/>
      </w:pPr>
      <w:r>
        <w:t>radian：弧度制朝向。</w:t>
      </w:r>
    </w:p>
    <w:p w14:paraId="03C6F6F2">
      <w:pPr>
        <w:pStyle w:val="16"/>
        <w:numPr>
          <w:ilvl w:val="0"/>
          <w:numId w:val="1"/>
        </w:numPr>
        <w:spacing w:after="60"/>
      </w:pPr>
      <w:r>
        <w:t>quaternion：[x, y, z, w] 格式的四元数。</w:t>
      </w:r>
    </w:p>
    <w:p w14:paraId="71E74E3E">
      <w:pPr>
        <w:pStyle w:val="16"/>
        <w:numPr>
          <w:ilvl w:val="0"/>
          <w:numId w:val="1"/>
        </w:numPr>
        <w:spacing w:after="60"/>
      </w:pPr>
      <w:r>
        <w:t>rotation_mode：拓扑节点专有字段，manual 表示手动指定朝向，未设置则跟随路径方向自动计算。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184324"/>
    <w:multiLevelType w:val="multilevel"/>
    <w:tmpl w:val="FC18432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FE638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25</TotalTime>
  <ScaleCrop>false</ScaleCrop>
  <LinksUpToDate>false</LinksUpToDate>
  <Application>WPS Office_12.1.2.26885_F1E327BC-269C-435d-A152-05C5408002CA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gerhardt</cp:lastModifiedBy>
  <dcterms:modified xsi:type="dcterms:W3CDTF">2026-08-03T15:31:43Z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654FC7BB6209379EDF43706AA4603C76_42</vt:lpwstr>
  </property>
</Properties>
</file>