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p>
      <w:pPr>
        <w:pStyle w:val="Heading2"/>
      </w:pPr>
      <w:r>
        <w:t>Disseny responsive del cat?leg i del reproductor</w:t>
      </w:r>
    </w:p>
    <w:p>
      <w:r>
        <w:t>La interf?cie de v?deos utilitza un contenidor fluid i una graella adaptable per mostrar les targetes segons l?amplada disponible. Les miniatures mantenen la proporci? 16:9 i els t?tols eviten desbordaments. Les accions del cat?leg s?adapten a pantalles petites i el reproductor ocupa l?amplada disponible sense provocar despla?ament horitzontal. Aquest canvi nom?s afecta la presentaci? i conserva les rutes, la paginaci?, la pujada i la reproducci? existents.</w:t>
      </w:r>
    </w:p>
    <w:p>
      <w:pPr>
        <w:pStyle w:val="Heading2"/>
      </w:pPr>
      <w:r>
        <w:t>Refinament visual dels controls</w:t>
      </w:r>
    </w:p>
    <w:p>
      <w:r>
        <w:t>El bot? de c?rrega de m?s v?deos t? un estil propi amb contrast, vores arrodonides, efectes hover i focus visible. Tamb? s'han uniformitzat els estats interactius de la navegaci? i els camps dels formularis, incl?s el selector de fitxers. El canvi mant? la jerarquia visual en escriptori i conserva controls f?cils de pr?mer en dispositius m?bils.</w:t>
      </w:r>
    </w:p>
    <w:p>
      <w:pPr>
        <w:pStyle w:val="Heading2"/>
      </w:pPr>
      <w:r>
        <w:t>US-07: edici? de metadades dels v?deos</w:t>
      </w:r>
    </w:p>
    <w:p>
      <w:r>
        <w:t>El detall del v?deo mostra un editor nom?s per al propietari autenticat. El frontend envia t?tol, descripci?, tags i categoria al backend, per? l'autoritzaci? real es fa al servidor comparant l'usuari de la sessi? amb l'ownerId guardat en els metadades. L'adaptador de fitxers actualitza el JSON mitjan?ant un fitxer temporal i un moviment at?mic, conservant el v?deo, la miniatura i la durada. Els v?deos antics sense propietari continuen sent visibles per? no es poden editar; els usuaris no autenticats o que no s?n propietaris reben acc?s denegat.</w:t>
      </w:r>
    </w:p>
    <w:p>
      <w:pPr>
        <w:pStyle w:val="Heading2"/>
      </w:pPr>
      <w:r>
        <w:t>Sincronitzaci? del cat?leg despr?s d editar metadades</w:t>
      </w:r>
    </w:p>
    <w:p>
      <w:r>
        <w:t>Despr?s de desar una edici?, el detall recarrega el primer lot del cat?leg abans de tornar a la llista. Aix? evita que la interf?cie mostri el t?tol antic que encara quedava en l'estat de React carregat abans de l'edici?.</w:t>
      </w:r>
    </w:p>
    <w:p>
      <w:pPr>
        <w:pStyle w:val="Heading2"/>
      </w:pPr>
      <w:r>
        <w:t>Arquitectura hexagonal aplicada a autenticaci? i perfils</w:t>
      </w:r>
    </w:p>
    <w:p>
      <w:r>
        <w:t>La migraci? completa separa els adaptadors HTTP dels casos d??s mitjan?ant ports d?entrada. Els serveis d?aplicaci? nom?s depenen de ports de sortida per a persist?ncia i sessi?, mentre que els repositoris JPA/JDBC i HttpSessionAdapter implementen aquests contractes. Els tests mockegen els ports i la suite backend mant? el llindar global de cobertura del 90%.</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