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Términos de Servicio / Acuerdo de Cliente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Audiology AI Assistant — Plantilla de partida</w:t>
      </w:r>
    </w:p>
    <w:tbl>
      <w:tblPr>
        <w:tblW w:type="dxa" w:w="9026"/>
        <w:tblBorders>
          <w:top w:val="single" w:color="B45309" w:sz="12"/>
          <w:left w:val="single" w:color="B45309" w:sz="12"/>
          <w:bottom w:val="single" w:color="B45309" w:sz="12"/>
          <w:right w:val="single" w:color="B45309" w:sz="12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EF3C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BORRADOR DE TRABAJO — NO ES ASESORAMIENTO LEGAL</w:t>
            </w:r>
          </w:p>
          <w:p>
            <w:pPr>
              <w:spacing w:after="0"/>
            </w:pPr>
            <w:r>
              <w:t xml:space="preserve">Plantilla de partida de Términos de Servicio / Acuerdo de Cliente para Audiology AI Assistant. NO debe enviarse, publicarse ni aceptarse por ningún cliente real sin revisión de un abogado — en particular los apartados marcados como </w:t>
            </w:r>
            <w:r>
              <w:rPr>
                <w:b/>
                <w:bCs/>
                <w:i/>
                <w:iCs/>
                <w:color w:val="B45309"/>
              </w:rPr>
              <w:t xml:space="preserve">[PLACEHOLDER]</w:t>
            </w:r>
            <w:r>
              <w:t xml:space="preserve"> (responsabilidad, tarifas, SLA, jurisdicción), que dependen de decisiones comerciales y legales que Gerard debe tomar, no de una plantilla automática. El módulo de facturación (Stripe) todavía no está implementado en la plataforma a fecha de este borrador.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Los presentes Términos de Servicio (en adelante, el “Acuerdo”) regulan el acceso y uso de la plataforma Audiology AI Assistant (en adelante, el “Servicio”), prestado por:</w:t>
      </w:r>
    </w:p>
    <w:p>
      <w:pPr>
        <w:spacing w:after="160"/>
      </w:pPr>
      <w:r>
        <w:rPr>
          <w:b/>
          <w:bCs/>
          <w:i/>
          <w:iCs/>
          <w:color w:val="B45309"/>
        </w:rPr>
        <w:t xml:space="preserve">[Razón social / nombre comercial de Gerard]</w:t>
      </w:r>
      <w:r>
        <w:t xml:space="preserve">, con NIF </w:t>
      </w:r>
      <w:r>
        <w:rPr>
          <w:b/>
          <w:bCs/>
          <w:i/>
          <w:iCs/>
          <w:color w:val="B45309"/>
        </w:rPr>
        <w:t xml:space="preserve">[NIF]</w:t>
      </w:r>
      <w:r>
        <w:t xml:space="preserve"> y domicilio en </w:t>
      </w:r>
      <w:r>
        <w:rPr>
          <w:b/>
          <w:bCs/>
          <w:i/>
          <w:iCs/>
          <w:color w:val="B45309"/>
        </w:rPr>
        <w:t xml:space="preserve">[domicilio]</w:t>
      </w:r>
      <w:r>
        <w:t xml:space="preserve"> (en adelante, el “Proveedor”),</w:t>
      </w:r>
    </w:p>
    <w:p>
      <w:pPr>
        <w:spacing w:after="160"/>
      </w:pPr>
      <w:r>
        <w:t xml:space="preserve">a la clínica u organización que se registra en la plataforma (en adelante, el “Cliente”). El registro de una cuenta o el uso continuado del Servicio implica la aceptación íntegra de este Acuerdo y de su Anexo de Protección de Datos (Contrato de Encargado del Tratamiento, art. 28 RGPD).</w:t>
      </w:r>
    </w:p>
    <w:p>
      <w:pPr>
        <w:pStyle w:val="Heading1"/>
        <w:spacing w:after="160" w:before="320"/>
      </w:pPr>
      <w:r>
        <w:t xml:space="preserve">1. Descripción del Servicio</w:t>
      </w:r>
    </w:p>
    <w:p>
      <w:pPr>
        <w:spacing w:after="160"/>
      </w:pPr>
      <w:r>
        <w:t xml:space="preserve">Audiology AI Assistant es una plataforma de gestión clínica para consultas de audiología que permite, entre otras funciones: registrar pacientes y sesiones clínicas, subir grabaciones de audio de las consultas y obtener su transcripción, generar mediante inteligencia artificial resúmenes clínicos y de paciente a partir de dicha información, y gestionar los usuarios de la propia clínica. El Servicio se presta “tal cual” (“as is”) y “según disponibilidad”, con las salvedades del apartado 7.</w:t>
      </w:r>
    </w:p>
    <w:p>
      <w:pPr>
        <w:pStyle w:val="Heading1"/>
        <w:spacing w:after="160" w:before="320"/>
      </w:pPr>
      <w:r>
        <w:t xml:space="preserve">2. Registro y cuentas de usuario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Cliente se da de alta mediante el formulario público de registro, quedando la persona que se registra como usuario administrador de la clínica.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administrador de la clínica es responsable de invitar y gestionar el resto de usuarios de su organización, y de mantener la confidencialidad de las credenciales de acceso de todos ellos.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Cliente debe notificar sin demora cualquier uso no autorizado de una cuenta del que tenga conocimiento.</w:t>
      </w:r>
    </w:p>
    <w:p>
      <w:pPr>
        <w:pStyle w:val="Heading1"/>
        <w:spacing w:after="160" w:before="320"/>
      </w:pPr>
      <w:r>
        <w:t xml:space="preserve">3. Obligaciones del Cliente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Utilizar el Servicio de conformidad con la normativa aplicable, en particular la relativa a protección de datos de salud e historia clínica.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Garantizar que dispone de base legal suficiente (consentimiento del paciente, relación asistencial, u otra base aplicable) para introducir los datos de sus pacientes en la plataforma, e informarles conforme a los artículos 13-14 RGPD, incluido el uso de proveedores de inteligencia artificial para la generación de resúmenes clínicos.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introducir en el Servicio datos de categorías especiales distintos de los propios de la documentación clínica de audiología, ni utilizar el Servicio con fines distintos a la gestión de su propia clínica.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Ser responsable, como Responsable del Tratamiento, de las decisiones adoptadas a partir de la información generada por el Servicio, incluidos los resúmenes generados por IA — el Servicio es una herramienta de apoyo a la documentación, no sustituye el criterio clínico profesional (ver apartado 7.2).</w:t>
      </w:r>
    </w:p>
    <w:p>
      <w:pPr>
        <w:pStyle w:val="Heading1"/>
        <w:spacing w:after="160" w:before="320"/>
      </w:pPr>
      <w:r>
        <w:t xml:space="preserve">4. Tarifas y facturación</w:t>
      </w:r>
    </w:p>
    <w:p>
      <w:pPr>
        <w:spacing w:after="160"/>
      </w:pPr>
      <w:r>
        <w:t xml:space="preserve">El Servicio se presta por suscripción, con los siguientes niveles y tope de sesiones mensuales incluidas (precios de referencia a fecha de este documento, 18 de septiembre de 2026; cualquier cambio se comunica con antelación razonable conforme a la cláusula 11):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Básico — 39€/mes o 390€/año (equivalente a 2 meses gratis): </w:t>
      </w:r>
      <w:r>
        <w:t xml:space="preserve">hasta 40 sesiones/mes. Pensado para un profesional que usa la IA de forma selectiva.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Profesional — 109€/mes o 1.090€/año: </w:t>
      </w:r>
      <w:r>
        <w:t xml:space="preserve">hasta 150 sesiones/mes. Clínica de 2-3 profesionales con uso habitual.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Clínica grande — 249€/mes o 2.490€/año: </w:t>
      </w:r>
      <w:r>
        <w:t xml:space="preserve">hasta 400 sesiones/mes. 5-8 profesionales, o varios puntos de atención bajo un mismo centro.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Cadena/Empresa — facturación consolidada por volumen: </w:t>
      </w:r>
      <w:r>
        <w:t xml:space="preserve">89€/clínica/mes (2-5 clínicas) o 75€/clínica/mes (6-15 clínicas); a partir de 16 clínicas, presupuesto a medida negociado directamente con el Proveedor. Un único pagador para varias clínicas de una misma organización, cada una operando de forma independiente.</w:t>
      </w:r>
    </w:p>
    <w:p>
      <w:pPr>
        <w:spacing w:after="160"/>
      </w:pPr>
      <w:r>
        <w:t xml:space="preserve">Periodo de prueba: 14 días gratuitos desde el alta, con tarjeta de pago introducida desde el principio y un tope de 20 sesiones durante ese periodo; superado el tope, el acceso queda en pausa hasta el fin de la prueba o el inicio de la suscripción de pago.</w:t>
      </w:r>
    </w:p>
    <w:p>
      <w:pPr>
        <w:spacing w:after="160"/>
      </w:pPr>
      <w:r>
        <w:t xml:space="preserve">Exceso de uso: si el Cliente supera el tope de sesiones incluido en su nivel, el exceso se factura automáticamente sobre el uso real, hasta un límite de seguridad equivalente al doble del tope incluido; superado ese límite, el acceso queda en pausa hasta que el Cliente actualice su nivel o comience un nuevo periodo de facturación.</w:t>
      </w:r>
    </w:p>
    <w:p>
      <w:pPr>
        <w:spacing w:after="160"/>
      </w:pPr>
      <w:r>
        <w:t xml:space="preserve">Forma de pago: mediante tarjeta a través de la pasarela de pago del Proveedor (Stripe); los datos de la tarjeta nunca son tratados ni almacenados directamente por el Proveedor. El Cliente puede gestionar su método de pago, consultar sus facturas y cancelar o cambiar de nivel en cualquier momento desde el panel de gestión de facturación.</w:t>
      </w:r>
    </w:p>
    <w:p>
      <w:pPr>
        <w:spacing w:after="160"/>
      </w:pPr>
      <w:r>
        <w:t xml:space="preserve">Impago: ante un fallo en el cobro, el Proveedor sigue el proceso estándar de reintento de la pasarela de pago antes de suspender el acceso; el acceso solo se suspende cuando dicho proceso concluye sin éxito, nunca ante el primer intento fallido.</w:t>
      </w:r>
    </w:p>
    <w:p>
      <w:pPr>
        <w:spacing w:after="160"/>
      </w:pPr>
      <w:r>
        <w:t xml:space="preserve">Reembolsos: los importes ya abonados no son reembolsables. El Cliente puede cancelar su suscripción en cualquier momento; el Servicio permanece activo hasta el final del periodo ya pagado, sin renovarse a partir de entonces.</w:t>
      </w:r>
    </w:p>
    <w:p>
      <w:pPr>
        <w:pStyle w:val="Heading1"/>
        <w:spacing w:after="160" w:before="320"/>
      </w:pPr>
      <w:r>
        <w:t xml:space="preserve">5. Propiedad de los datos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Cliente conserva la titularidad y el control de todos los datos que introduce en la plataforma, incluidos los datos de sus pacientes; el Proveedor actúa como Encargado del Tratamiento respecto de dichos datos (ver Contrato de Encargado del Tratamiento, anexo obligatorio de este Acuerdo).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El Proveedor no utilizará los datos del Cliente para entrenar modelos de inteligencia artificial propios ni de terceros, ni para ningún fin distinto de la prestación del Servicio, salvo autorización expresa y por escrito del Cliente.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la finalización del Acuerdo, el Cliente podrá exportar sus datos o solicitar su eliminación en los términos previstos en el Contrato de Encargado del Tratamiento.</w:t>
      </w:r>
    </w:p>
    <w:p>
      <w:pPr>
        <w:pStyle w:val="Heading1"/>
        <w:spacing w:after="160" w:before="320"/>
      </w:pPr>
      <w:r>
        <w:t xml:space="preserve">6. Propiedad intelectual</w:t>
      </w:r>
    </w:p>
    <w:p>
      <w:pPr>
        <w:spacing w:after="160"/>
      </w:pPr>
      <w:r>
        <w:t xml:space="preserve">El software, la marca, el diseño y demás elementos de la plataforma son titularidad del Proveedor (o de sus licenciantes) y no se transmite al Cliente ningún derecho sobre ellos distinto del derecho de uso del Servicio conforme a este Acuerdo.</w:t>
      </w:r>
    </w:p>
    <w:p>
      <w:pPr>
        <w:pStyle w:val="Heading1"/>
        <w:spacing w:after="160" w:before="320"/>
      </w:pPr>
      <w:r>
        <w:t xml:space="preserve">7. Nivel de servicio, disponibilidad y limitación de responsabilidad</w:t>
      </w:r>
    </w:p>
    <w:p>
      <w:pPr>
        <w:pStyle w:val="Heading2"/>
        <w:spacing w:after="120" w:before="240"/>
      </w:pPr>
      <w:r>
        <w:t xml:space="preserve">7.1 Disponibilidad</w:t>
      </w:r>
    </w:p>
    <w:p>
      <w:pPr>
        <w:spacing w:after="160"/>
      </w:pPr>
      <w:r>
        <w:rPr>
          <w:b/>
          <w:bCs/>
          <w:i/>
          <w:iCs/>
          <w:color w:val="B45309"/>
        </w:rPr>
        <w:t xml:space="preserve">[PLACEHOLDER — compromiso de disponibilidad (SLA) a definir; mientras no exista un SLA formal, el Servicio se presta sin garantía de disponibilidad mínima.]</w:t>
      </w:r>
    </w:p>
    <w:p>
      <w:pPr>
        <w:pStyle w:val="Heading2"/>
        <w:spacing w:after="120" w:before="240"/>
      </w:pPr>
      <w:r>
        <w:t xml:space="preserve">7.2 Naturaleza de apoyo de la IA</w:t>
      </w:r>
    </w:p>
    <w:p>
      <w:pPr>
        <w:spacing w:after="160"/>
      </w:pPr>
      <w:r>
        <w:t xml:space="preserve">Los resúmenes y demás contenidos generados mediante inteligencia artificial son una ayuda a la documentación y no constituyen, en ningún caso, diagnóstico clínico ni recomendación de tratamiento; corresponde siempre al profesional sanitario del Cliente revisar y validar dicho contenido antes de incorporarlo a la historia clínica del paciente.</w:t>
      </w:r>
    </w:p>
    <w:p>
      <w:pPr>
        <w:pStyle w:val="Heading2"/>
        <w:spacing w:after="120" w:before="240"/>
      </w:pPr>
      <w:r>
        <w:t xml:space="preserve">7.3 Limitación de responsabilidad</w:t>
      </w:r>
    </w:p>
    <w:p>
      <w:pPr>
        <w:spacing w:after="160"/>
      </w:pPr>
      <w:r>
        <w:rPr>
          <w:b/>
          <w:bCs/>
          <w:i/>
          <w:iCs/>
          <w:color w:val="B45309"/>
        </w:rPr>
        <w:t xml:space="preserve">[PLACEHOLDER — cláusula de limitación de responsabilidad (exclusión de daños indirectos/lucro cesante, límite cuantitativo referido a las cantidades pagadas por el Cliente, excepciones por dolo o negligencia grave) a redactar con asesoramiento legal; debe ser coherente con la cláusula de responsabilidad del Contrato de Encargado del Tratamiento.]</w:t>
      </w:r>
    </w:p>
    <w:p>
      <w:pPr>
        <w:pStyle w:val="Heading1"/>
        <w:spacing w:after="160" w:before="320"/>
      </w:pPr>
      <w:r>
        <w:t xml:space="preserve">8. Confidencialidad</w:t>
      </w:r>
    </w:p>
    <w:p>
      <w:pPr>
        <w:spacing w:after="160"/>
      </w:pPr>
      <w:r>
        <w:t xml:space="preserve">Cada Parte se compromete a mantener la confidencialidad de la información no pública de la otra Parte de la que tenga conocimiento con ocasión de este Acuerdo, y a no utilizarla para fines distintos de la ejecución del mismo.</w:t>
      </w:r>
    </w:p>
    <w:p>
      <w:pPr>
        <w:pStyle w:val="Heading1"/>
        <w:spacing w:after="160" w:before="320"/>
      </w:pPr>
      <w:r>
        <w:t xml:space="preserve">9. Protección de datos</w:t>
      </w:r>
    </w:p>
    <w:p>
      <w:pPr>
        <w:spacing w:after="160"/>
      </w:pPr>
      <w:r>
        <w:t xml:space="preserve">El tratamiento de datos personales realizado por el Proveedor por cuenta del Cliente se rige por el Contrato de Encargado del Tratamiento (art. 28 RGPD) que se adjunta como anexo obligatorio a este Acuerdo y forma parte integrante del mismo.</w:t>
      </w:r>
    </w:p>
    <w:p>
      <w:pPr>
        <w:pStyle w:val="Heading1"/>
        <w:spacing w:after="160" w:before="320"/>
      </w:pPr>
      <w:r>
        <w:t xml:space="preserve">10. Duración y terminación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Este Acuerdo entra en vigor en el momento del registro del Cliente y se mantiene vigente mientras el Cliente use el Servicio.</w:t>
      </w:r>
    </w:p>
    <w:p>
      <w:pPr>
        <w:spacing w:after="160"/>
      </w:pPr>
      <w:r>
        <w:rPr>
          <w:b/>
          <w:bCs/>
          <w:i/>
          <w:iCs/>
          <w:color w:val="B45309"/>
        </w:rPr>
        <w:t xml:space="preserve">[PLACEHOLDER — plazo de preaviso para la terminación por cualquiera de las Partes, y causas de resolución por incumplimiento, a definir.]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la terminación del Acuerdo, resultará de aplicación lo previsto en el Contrato de Encargado del Tratamiento respecto de la devolución o eliminación de los datos del Cliente.</w:t>
      </w:r>
    </w:p>
    <w:p>
      <w:pPr>
        <w:pStyle w:val="Heading1"/>
        <w:spacing w:after="160" w:before="320"/>
      </w:pPr>
      <w:r>
        <w:t xml:space="preserve">11. Modificación de los términos</w:t>
      </w:r>
    </w:p>
    <w:p>
      <w:pPr>
        <w:spacing w:after="160"/>
      </w:pPr>
      <w:r>
        <w:t xml:space="preserve">El Proveedor podrá modificar este Acuerdo para reflejar cambios en el Servicio o en la normativa aplicable, notificándolo al Cliente con antelación razonable. El uso continuado del Servicio tras la notificación implica la aceptación de los nuevos términos.</w:t>
      </w:r>
    </w:p>
    <w:p>
      <w:pPr>
        <w:pStyle w:val="Heading1"/>
        <w:spacing w:after="160" w:before="320"/>
      </w:pPr>
      <w:r>
        <w:t xml:space="preserve">12. Ley aplicable y jurisdicción</w:t>
      </w:r>
    </w:p>
    <w:p>
      <w:pPr>
        <w:spacing w:after="160"/>
      </w:pPr>
      <w:r>
        <w:rPr>
          <w:b/>
          <w:bCs/>
          <w:i/>
          <w:iCs/>
          <w:color w:val="B45309"/>
        </w:rPr>
        <w:t xml:space="preserve">[PLACEHOLDER — se propone Derecho español y sumisión a los Juzgados y Tribunales de [ciudad], a confirmar con asesoramiento legal, especialmente si se prevén clientes en otros países de la UE.]</w:t>
      </w:r>
    </w:p>
    <w:p>
      <w:pPr>
        <w:pStyle w:val="Heading1"/>
        <w:spacing w:after="160" w:before="320"/>
      </w:pPr>
      <w:r>
        <w:t xml:space="preserve">13. Contacto</w:t>
      </w:r>
    </w:p>
    <w:p>
      <w:pPr>
        <w:spacing w:after="160"/>
      </w:pPr>
      <w:r>
        <w:t xml:space="preserve">Cualquier comunicación relativa a este Acuerdo debe dirigirse a </w:t>
      </w:r>
      <w:r>
        <w:rPr>
          <w:b/>
          <w:bCs/>
          <w:i/>
          <w:iCs/>
          <w:color w:val="B45309"/>
        </w:rPr>
        <w:t xml:space="preserve">[email de contacto]</w:t>
      </w:r>
      <w:r>
        <w:t xml:space="preserve">.</w:t>
      </w:r>
    </w:p>
    <w:p>
      <w:pPr>
        <w:spacing w:before="400"/>
      </w:pPr>
    </w:p>
    <w:p>
      <w:pPr>
        <w:spacing w:after="200"/>
      </w:pPr>
      <w:r>
        <w:rPr>
          <w:i/>
          <w:iCs/>
          <w:color w:val="6B7280"/>
          <w:sz w:val="20"/>
          <w:szCs w:val="20"/>
        </w:rPr>
        <w:t xml:space="preserve">Generado como borrador de trabajo el 2026-09-16 a partir del estado documentado del proyecto Audiology AI Assistant (fase-12-rfc.md, product-requirements.md). Revisar con un abogado antes de cualquier uso real, y reescribir por completo el apartado 4 (tarifas) cuando se implemente Stripe.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2026-09-16T12:48:19.284Z</dcterms:created>
  <dcterms:modified xsi:type="dcterms:W3CDTF">2026-09-16T12:48:19.284Z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