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000000"/>
          <w:sz w:val="44"/>
          <w:szCs w:val="44"/>
        </w:rPr>
        <w:t xml:space="preserve">Plan de Pruebas OWASP</w:t>
      </w:r>
    </w:p>
    <w:p>
      <w:pPr>
        <w:spacing w:after="600"/>
        <w:jc w:val="center"/>
      </w:pPr>
      <w:r>
        <w:rPr>
          <w:rFonts w:ascii="Calibri" w:cs="Calibri" w:eastAsia="Calibri" w:hAnsi="Calibri"/>
          <w:i/>
          <w:iCs/>
          <w:color w:val="595959"/>
          <w:sz w:val="26"/>
          <w:szCs w:val="26"/>
        </w:rPr>
        <w:t xml:space="preserve">Sistema TuPresupuesto — Auditoría de seguridad basada en OWASP Top 10</w:t>
      </w:r>
    </w:p>
    <w:p>
      <w:pPr>
        <w:spacing w:after="80"/>
        <w:jc w:val="center"/>
      </w:pPr>
      <w:r>
        <w:rPr>
          <w:rFonts w:ascii="Calibri" w:cs="Calibri" w:eastAsia="Calibri" w:hAnsi="Calibri"/>
          <w:sz w:val="24"/>
          <w:szCs w:val="24"/>
        </w:rPr>
        <w:t xml:space="preserve">Geraldine de los Angeles</w:t>
      </w:r>
    </w:p>
    <w:p>
      <w:pPr>
        <w:spacing w:after="320"/>
        <w:jc w:val="center"/>
      </w:pPr>
      <w:r>
        <w:rPr>
          <w:rFonts w:ascii="Calibri" w:cs="Calibri" w:eastAsia="Calibri" w:hAnsi="Calibri"/>
          <w:sz w:val="24"/>
          <w:szCs w:val="24"/>
        </w:rPr>
        <w:t xml:space="preserve">Rios Lameda</w:t>
      </w:r>
    </w:p>
    <w:p>
      <w:pPr>
        <w:spacing w:after="80"/>
        <w:jc w:val="center"/>
      </w:pPr>
      <w:r>
        <w:rPr>
          <w:rFonts w:ascii="Calibri" w:cs="Calibri" w:eastAsia="Calibri" w:hAnsi="Calibri"/>
          <w:sz w:val="24"/>
          <w:szCs w:val="24"/>
        </w:rPr>
        <w:t xml:space="preserve">Corporación Universitaria Iberoamericana</w:t>
      </w:r>
    </w:p>
    <w:p>
      <w:pPr>
        <w:spacing w:after="320"/>
        <w:jc w:val="center"/>
      </w:pPr>
      <w:r>
        <w:rPr>
          <w:rFonts w:ascii="Calibri" w:cs="Calibri" w:eastAsia="Calibri" w:hAnsi="Calibri"/>
          <w:sz w:val="24"/>
          <w:szCs w:val="24"/>
        </w:rPr>
        <w:t xml:space="preserve">Ingeniería de Software</w:t>
      </w:r>
    </w:p>
    <w:p>
      <w:pPr>
        <w:spacing w:after="80"/>
        <w:jc w:val="center"/>
      </w:pPr>
      <w:r>
        <w:rPr>
          <w:rFonts w:ascii="Calibri" w:cs="Calibri" w:eastAsia="Calibri" w:hAnsi="Calibri"/>
          <w:sz w:val="24"/>
          <w:szCs w:val="24"/>
        </w:rPr>
        <w:t xml:space="preserve">Proyecto de Software</w:t>
      </w:r>
    </w:p>
    <w:p>
      <w:pPr>
        <w:spacing w:after="800"/>
        <w:jc w:val="center"/>
      </w:pPr>
      <w:r>
        <w:rPr>
          <w:rFonts w:ascii="Calibri" w:cs="Calibri" w:eastAsia="Calibri" w:hAnsi="Calibri"/>
          <w:sz w:val="24"/>
          <w:szCs w:val="24"/>
        </w:rPr>
        <w:t xml:space="preserve">Tatiana Cabrera</w:t>
      </w:r>
    </w:p>
    <w:p>
      <w:pPr>
        <w:jc w:val="center"/>
      </w:pPr>
      <w:r>
        <w:rPr>
          <w:rFonts w:ascii="Calibri" w:cs="Calibri" w:eastAsia="Calibri" w:hAnsi="Calibri"/>
          <w:sz w:val="22"/>
          <w:szCs w:val="22"/>
        </w:rPr>
        <w:t xml:space="preserve">28 de mayo de 2026</w:t>
      </w:r>
    </w:p>
    <w:p>
      <w:r>
        <w:br w:type="page"/>
      </w:r>
    </w:p>
    <w:p>
      <w:pPr>
        <w:sectPr>
          <w:pgSz w:w="12240" w:h="15840" w:orient="portrait"/>
          <w:pgMar w:top="1440" w:right="1440" w:bottom="1440" w:left="1440" w:header="708" w:footer="708" w:gutter="0"/>
          <w:pgNumType/>
          <w:docGrid w:linePitch="360"/>
        </w:sectPr>
      </w:pPr>
    </w:p>
    <w:p>
      <w:pPr>
        <w:spacing w:after="360"/>
        <w:jc w:val="center"/>
      </w:pPr>
      <w:r>
        <w:rPr>
          <w:rFonts w:ascii="Calibri" w:cs="Calibri" w:eastAsia="Calibri" w:hAnsi="Calibri"/>
          <w:b/>
          <w:bCs/>
          <w:color w:val="365F91"/>
          <w:sz w:val="36"/>
          <w:szCs w:val="36"/>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Introducción</w:t>
      </w:r>
    </w:p>
    <w:p>
      <w:pPr>
        <w:spacing w:after="200" w:line="300"/>
        <w:jc w:val="both"/>
      </w:pPr>
      <w:r>
        <w:rPr>
          <w:rFonts w:ascii="Calibri" w:cs="Calibri" w:eastAsia="Calibri" w:hAnsi="Calibri"/>
          <w:sz w:val="22"/>
          <w:szCs w:val="22"/>
        </w:rPr>
        <w:t xml:space="preserve">Este documento describe el plan de pruebas de seguridad aplicado al sistema TuPresupuesto, tomando como marco de referencia el OWASP Top 10 (2021). El OWASP Top 10 es el listado de las diez vulnerabilidades web más críticas, publicado y mantenido por la Open Web Application Security Project, y constituye el estándar de facto para la auditoría de seguridad de aplicaciones web.</w:t>
      </w:r>
    </w:p>
    <w:p>
      <w:pPr>
        <w:spacing w:after="200" w:line="300"/>
        <w:jc w:val="both"/>
      </w:pPr>
      <w:r>
        <w:rPr>
          <w:rFonts w:ascii="Calibri" w:cs="Calibri" w:eastAsia="Calibri" w:hAnsi="Calibri"/>
          <w:sz w:val="22"/>
          <w:szCs w:val="22"/>
        </w:rPr>
        <w:t xml:space="preserve">El objetivo es verificar que el MVP cumple con buenas prácticas de seguridad antes de su despliegue, identificando posibles puntos débiles y documentando los controles existentes.</w:t>
      </w:r>
    </w:p>
    <w:p>
      <w:pPr>
        <w:pStyle w:val="Heading1"/>
        <w:spacing w:after="200" w:before="360"/>
      </w:pPr>
      <w:r>
        <w:t xml:space="preserve">Alcance del Análisis</w:t>
      </w:r>
    </w:p>
    <w:p>
      <w:pPr>
        <w:spacing w:after="200" w:line="300"/>
        <w:jc w:val="both"/>
      </w:pPr>
      <w:r>
        <w:rPr>
          <w:rFonts w:ascii="Calibri" w:cs="Calibri" w:eastAsia="Calibri" w:hAnsi="Calibri"/>
          <w:sz w:val="22"/>
          <w:szCs w:val="22"/>
        </w:rPr>
        <w:t xml:space="preserve">El análisis cubre las tres capas del sistema:</w:t>
      </w:r>
    </w:p>
    <w:p>
      <w:pPr>
        <w:pStyle w:val="ListParagraph"/>
        <w:numPr>
          <w:ilvl w:val="0"/>
          <w:numId w:val="2"/>
        </w:numPr>
        <w:spacing w:after="80" w:line="280"/>
      </w:pPr>
      <w:r>
        <w:rPr>
          <w:rFonts w:ascii="Calibri" w:cs="Calibri" w:eastAsia="Calibri" w:hAnsi="Calibri"/>
          <w:sz w:val="22"/>
          <w:szCs w:val="22"/>
        </w:rPr>
        <w:t xml:space="preserve">Frontend en React 18 desplegado en Vercel.</w:t>
      </w:r>
    </w:p>
    <w:p>
      <w:pPr>
        <w:pStyle w:val="ListParagraph"/>
        <w:numPr>
          <w:ilvl w:val="0"/>
          <w:numId w:val="2"/>
        </w:numPr>
        <w:spacing w:after="80" w:line="280"/>
      </w:pPr>
      <w:r>
        <w:rPr>
          <w:rFonts w:ascii="Calibri" w:cs="Calibri" w:eastAsia="Calibri" w:hAnsi="Calibri"/>
          <w:sz w:val="22"/>
          <w:szCs w:val="22"/>
        </w:rPr>
        <w:t xml:space="preserve">Backend en FastAPI sobre Python 3.11 desplegado en Vercel/Railway.</w:t>
      </w:r>
    </w:p>
    <w:p>
      <w:pPr>
        <w:pStyle w:val="ListParagraph"/>
        <w:numPr>
          <w:ilvl w:val="0"/>
          <w:numId w:val="2"/>
        </w:numPr>
        <w:spacing w:after="80" w:line="280"/>
      </w:pPr>
      <w:r>
        <w:rPr>
          <w:rFonts w:ascii="Calibri" w:cs="Calibri" w:eastAsia="Calibri" w:hAnsi="Calibri"/>
          <w:sz w:val="22"/>
          <w:szCs w:val="22"/>
        </w:rPr>
        <w:t xml:space="preserve">Base de datos Firestore (NoSQL) en proyecto tupresupuesto-901b0.</w:t>
      </w:r>
    </w:p>
    <w:p>
      <w:pPr>
        <w:spacing w:after="200" w:line="300"/>
        <w:jc w:val="both"/>
      </w:pPr>
      <w:r>
        <w:rPr>
          <w:rFonts w:ascii="Calibri" w:cs="Calibri" w:eastAsia="Calibri" w:hAnsi="Calibri"/>
          <w:sz w:val="22"/>
          <w:szCs w:val="22"/>
        </w:rPr>
        <w:t xml:space="preserve">Quedan fuera del alcance: la infraestructura subyacente de Vercel y Google Cloud (Firestore), las cuales son responsabilidad de los proveedores.</w:t>
      </w:r>
    </w:p>
    <w:p>
      <w:pPr>
        <w:pStyle w:val="Heading1"/>
        <w:spacing w:after="200" w:before="360"/>
      </w:pPr>
      <w:r>
        <w:t xml:space="preserve">Herramientas Utilizadas</w:t>
      </w:r>
    </w:p>
    <w:p>
      <w:pPr>
        <w:pStyle w:val="ListParagraph"/>
        <w:numPr>
          <w:ilvl w:val="0"/>
          <w:numId w:val="2"/>
        </w:numPr>
        <w:spacing w:after="80" w:line="280"/>
      </w:pPr>
      <w:r>
        <w:rPr>
          <w:rFonts w:ascii="Calibri" w:cs="Calibri" w:eastAsia="Calibri" w:hAnsi="Calibri"/>
          <w:sz w:val="22"/>
          <w:szCs w:val="22"/>
        </w:rPr>
        <w:t xml:space="preserve">OWASP ZAP 2.14 — escáner automatizado y proxy manual para análisis de aplicación web.</w:t>
      </w:r>
    </w:p>
    <w:p>
      <w:pPr>
        <w:pStyle w:val="ListParagraph"/>
        <w:numPr>
          <w:ilvl w:val="0"/>
          <w:numId w:val="2"/>
        </w:numPr>
        <w:spacing w:after="80" w:line="280"/>
      </w:pPr>
      <w:r>
        <w:rPr>
          <w:rFonts w:ascii="Calibri" w:cs="Calibri" w:eastAsia="Calibri" w:hAnsi="Calibri"/>
          <w:sz w:val="22"/>
          <w:szCs w:val="22"/>
        </w:rPr>
        <w:t xml:space="preserve">Burp Suite Community Edition — proxy para inspección y modificación de peticiones.</w:t>
      </w:r>
    </w:p>
    <w:p>
      <w:pPr>
        <w:pStyle w:val="ListParagraph"/>
        <w:numPr>
          <w:ilvl w:val="0"/>
          <w:numId w:val="2"/>
        </w:numPr>
        <w:spacing w:after="80" w:line="280"/>
      </w:pPr>
      <w:r>
        <w:rPr>
          <w:rFonts w:ascii="Calibri" w:cs="Calibri" w:eastAsia="Calibri" w:hAnsi="Calibri"/>
          <w:sz w:val="22"/>
          <w:szCs w:val="22"/>
        </w:rPr>
        <w:t xml:space="preserve">Postman / curl / Invoke-RestMethod (PowerShell) — pruebas manuales de la API.</w:t>
      </w:r>
    </w:p>
    <w:p>
      <w:pPr>
        <w:pStyle w:val="ListParagraph"/>
        <w:numPr>
          <w:ilvl w:val="0"/>
          <w:numId w:val="2"/>
        </w:numPr>
        <w:spacing w:after="80" w:line="280"/>
      </w:pPr>
      <w:r>
        <w:rPr>
          <w:rFonts w:ascii="Calibri" w:cs="Calibri" w:eastAsia="Calibri" w:hAnsi="Calibri"/>
          <w:sz w:val="22"/>
          <w:szCs w:val="22"/>
        </w:rPr>
        <w:t xml:space="preserve">npm audit — auditoría de dependencias del frontend.</w:t>
      </w:r>
    </w:p>
    <w:p>
      <w:pPr>
        <w:pStyle w:val="ListParagraph"/>
        <w:numPr>
          <w:ilvl w:val="0"/>
          <w:numId w:val="2"/>
        </w:numPr>
        <w:spacing w:after="80" w:line="280"/>
      </w:pPr>
      <w:r>
        <w:rPr>
          <w:rFonts w:ascii="Calibri" w:cs="Calibri" w:eastAsia="Calibri" w:hAnsi="Calibri"/>
          <w:sz w:val="22"/>
          <w:szCs w:val="22"/>
        </w:rPr>
        <w:t xml:space="preserve">pip-audit — auditoría de dependencias del backend.</w:t>
      </w:r>
    </w:p>
    <w:p>
      <w:pPr>
        <w:pStyle w:val="ListParagraph"/>
        <w:numPr>
          <w:ilvl w:val="0"/>
          <w:numId w:val="2"/>
        </w:numPr>
        <w:spacing w:after="80" w:line="280"/>
      </w:pPr>
      <w:r>
        <w:rPr>
          <w:rFonts w:ascii="Calibri" w:cs="Calibri" w:eastAsia="Calibri" w:hAnsi="Calibri"/>
          <w:sz w:val="22"/>
          <w:szCs w:val="22"/>
        </w:rPr>
        <w:t xml:space="preserve">securityheaders.com — análisis de cabeceras de seguridad HTTP.</w:t>
      </w:r>
    </w:p>
    <w:p>
      <w:pPr>
        <w:pStyle w:val="ListParagraph"/>
        <w:numPr>
          <w:ilvl w:val="0"/>
          <w:numId w:val="2"/>
        </w:numPr>
        <w:spacing w:after="80" w:line="280"/>
      </w:pPr>
      <w:r>
        <w:rPr>
          <w:rFonts w:ascii="Calibri" w:cs="Calibri" w:eastAsia="Calibri" w:hAnsi="Calibri"/>
          <w:sz w:val="22"/>
          <w:szCs w:val="22"/>
        </w:rPr>
        <w:t xml:space="preserve">Herramientas del navegador (DevTools) — inspección manual del cliente.</w:t>
      </w:r>
    </w:p>
    <w:p>
      <w:pPr>
        <w:pStyle w:val="Heading1"/>
        <w:spacing w:after="200" w:before="360"/>
      </w:pPr>
      <w:r>
        <w:t xml:space="preserve">Metodología</w:t>
      </w:r>
    </w:p>
    <w:p>
      <w:pPr>
        <w:spacing w:after="200" w:line="300"/>
        <w:jc w:val="both"/>
      </w:pPr>
      <w:r>
        <w:rPr>
          <w:rFonts w:ascii="Calibri" w:cs="Calibri" w:eastAsia="Calibri" w:hAnsi="Calibri"/>
          <w:sz w:val="22"/>
          <w:szCs w:val="22"/>
        </w:rPr>
        <w:t xml:space="preserve">El plan se ejecuta en cuatro fases secuenciales sobre el entorno productivo, con replicación previa en local:</w:t>
      </w:r>
    </w:p>
    <w:p>
      <w:pPr>
        <w:pStyle w:val="Heading2"/>
        <w:spacing w:after="160" w:before="280"/>
      </w:pPr>
      <w:r>
        <w:t xml:space="preserve">Fase 1 — Reconocimiento</w:t>
      </w:r>
    </w:p>
    <w:p>
      <w:pPr>
        <w:spacing w:after="200" w:line="300"/>
        <w:jc w:val="both"/>
      </w:pPr>
      <w:r>
        <w:rPr>
          <w:rFonts w:ascii="Calibri" w:cs="Calibri" w:eastAsia="Calibri" w:hAnsi="Calibri"/>
          <w:sz w:val="22"/>
          <w:szCs w:val="22"/>
        </w:rPr>
        <w:t xml:space="preserve">Identificación de endpoints expuestos, mapa de funcionalidad, surface de ataque.</w:t>
      </w:r>
    </w:p>
    <w:p>
      <w:pPr>
        <w:pStyle w:val="Heading2"/>
        <w:spacing w:after="160" w:before="280"/>
      </w:pPr>
      <w:r>
        <w:t xml:space="preserve">Fase 2 — Análisis automatizado</w:t>
      </w:r>
    </w:p>
    <w:p>
      <w:pPr>
        <w:spacing w:after="200" w:line="300"/>
        <w:jc w:val="both"/>
      </w:pPr>
      <w:r>
        <w:rPr>
          <w:rFonts w:ascii="Calibri" w:cs="Calibri" w:eastAsia="Calibri" w:hAnsi="Calibri"/>
          <w:sz w:val="22"/>
          <w:szCs w:val="22"/>
        </w:rPr>
        <w:t xml:space="preserve">Ejecución del escáner ZAP en modo Quick Scan y Active Scan sobre la URL del frontend y la URL de la API.</w:t>
      </w:r>
    </w:p>
    <w:p>
      <w:pPr>
        <w:shd w:fill="F0F4F8" w:val="clear"/>
        <w:spacing w:after="60" w:before="60"/>
      </w:pPr>
      <w:r>
        <w:rPr>
          <w:rFonts w:ascii="Consolas" w:cs="Consolas" w:eastAsia="Consolas" w:hAnsi="Consolas"/>
          <w:sz w:val="20"/>
          <w:szCs w:val="20"/>
        </w:rPr>
        <w:t xml:space="preserve"># Lanzar ZAP en modo daemon y atacar la URL
zap.sh -daemon -port 8090
# desde la UI: Quick Start → Automated Scan → URL</w:t>
      </w:r>
    </w:p>
    <w:p>
      <w:pPr>
        <w:pStyle w:val="Heading2"/>
        <w:spacing w:after="160" w:before="280"/>
      </w:pPr>
      <w:r>
        <w:t xml:space="preserve">Fase 3 — Pruebas manuales por categoría OWASP Top 10</w:t>
      </w:r>
    </w:p>
    <w:p>
      <w:pPr>
        <w:spacing w:after="200" w:line="300"/>
        <w:jc w:val="both"/>
      </w:pPr>
      <w:r>
        <w:rPr>
          <w:rFonts w:ascii="Calibri" w:cs="Calibri" w:eastAsia="Calibri" w:hAnsi="Calibri"/>
          <w:sz w:val="22"/>
          <w:szCs w:val="22"/>
        </w:rPr>
        <w:t xml:space="preserve">Aplicación del listado de casos de prueba detallado en la siguiente sección, organizado por las 10 categorías. Cada caso registra el comando o pasos, el resultado esperado y el resultado obtenido.</w:t>
      </w:r>
    </w:p>
    <w:p>
      <w:pPr>
        <w:pStyle w:val="Heading2"/>
        <w:spacing w:after="160" w:before="280"/>
      </w:pPr>
      <w:r>
        <w:t xml:space="preserve">Fase 4 — Auditoría de dependencias</w:t>
      </w:r>
    </w:p>
    <w:p>
      <w:pPr>
        <w:shd w:fill="F0F4F8" w:val="clear"/>
        <w:spacing w:after="60" w:before="60"/>
      </w:pPr>
      <w:r>
        <w:rPr>
          <w:rFonts w:ascii="Consolas" w:cs="Consolas" w:eastAsia="Consolas" w:hAnsi="Consolas"/>
          <w:sz w:val="20"/>
          <w:szCs w:val="20"/>
        </w:rPr>
        <w:t xml:space="preserve"># Frontend
cd frontend &amp;&amp; npm audit --production</w:t>
      </w:r>
    </w:p>
    <w:p>
      <w:pPr>
        <w:shd w:fill="F0F4F8" w:val="clear"/>
        <w:spacing w:after="60" w:before="60"/>
      </w:pPr>
      <w:r>
        <w:rPr>
          <w:rFonts w:ascii="Consolas" w:cs="Consolas" w:eastAsia="Consolas" w:hAnsi="Consolas"/>
          <w:sz w:val="20"/>
          <w:szCs w:val="20"/>
        </w:rPr>
        <w:t xml:space="preserve"># Backend
cd backend &amp;&amp; pip-audit</w:t>
      </w:r>
    </w:p>
    <w:p>
      <w:pPr>
        <w:pStyle w:val="Heading1"/>
        <w:spacing w:after="200" w:before="360"/>
      </w:pPr>
      <w:r>
        <w:t xml:space="preserve">Casos de Prueba por Categoría OWASP Top 10</w:t>
      </w:r>
    </w:p>
    <w:p>
      <w:pPr>
        <w:spacing w:after="200" w:line="300"/>
        <w:jc w:val="both"/>
      </w:pPr>
      <w:r>
        <w:rPr>
          <w:rFonts w:ascii="Calibri" w:cs="Calibri" w:eastAsia="Calibri" w:hAnsi="Calibri"/>
          <w:sz w:val="22"/>
          <w:szCs w:val="22"/>
        </w:rPr>
        <w:t xml:space="preserve">A continuación se detallan los 25 casos de prueba agrupados por las diez categorías del OWASP Top 10. Cada caso indica los pasos exactos o el comando a ejecutar y el resultado esperado para considerarse aprobado.</w:t>
      </w:r>
    </w:p>
    <w:p>
      <w:pPr>
        <w:pStyle w:val="Heading2"/>
        <w:spacing w:after="160" w:before="280"/>
      </w:pPr>
      <w:r>
        <w:t xml:space="preserve">A01 — Broken Access Control (Control de acceso defectuoso)</w:t>
      </w:r>
    </w:p>
    <w:p>
      <w:pPr>
        <w:spacing w:after="200" w:line="300"/>
        <w:jc w:val="both"/>
      </w:pPr>
      <w:r>
        <w:rPr>
          <w:rFonts w:ascii="Calibri" w:cs="Calibri" w:eastAsia="Calibri" w:hAnsi="Calibri"/>
          <w:sz w:val="22"/>
          <w:szCs w:val="22"/>
        </w:rPr>
        <w:t xml:space="preserve">Riesgo: usuarios no autorizados acceden a recursos o acciones que no les corresponden. En este sistema, cada usuario debe ver solo sus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PO-AC-01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Acceso a datos de otro usuario</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Registrar usuario A y usuario B.
2. Login como A; copiar transaction_id de una transacción de A.
3. Login como B; intentar GET /api/transactions/{id_de_A} con token de B.</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Código 404 (Transacción no encontrada).</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PO-AC-02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Acceso sin token</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GET /api/transactions sin header Authorization.</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Código 401 (No autenticado).</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PO-AC-03</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Modificar recurso ajeno</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Login como A.
2. PUT /api/goals/{id_de_meta_de_B} con token de A.</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Código 404 (Meta no encontrada).</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PO-AC-04</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Eliminar recurso ajeno</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Login como A.
2. DELETE /api/transactions/{id_de_B} con token de A.</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Código 404 (Transacción no encontrada).</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PO-AC-05</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Confirmación obligatoria en eliminar cuenta</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Intentar DELETE /api/auth/me sin haber confirmado en UI.</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El frontend bloquea hasta que el usuario escriba ELIMINAR.</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2"/>
        <w:spacing w:after="160" w:before="280"/>
      </w:pPr>
      <w:r>
        <w:t xml:space="preserve">A02 — Cryptographic Failures (Fallos criptográficos)</w:t>
      </w:r>
    </w:p>
    <w:p>
      <w:pPr>
        <w:spacing w:after="200" w:line="300"/>
        <w:jc w:val="both"/>
      </w:pPr>
      <w:r>
        <w:rPr>
          <w:rFonts w:ascii="Calibri" w:cs="Calibri" w:eastAsia="Calibri" w:hAnsi="Calibri"/>
          <w:sz w:val="22"/>
          <w:szCs w:val="22"/>
        </w:rPr>
        <w:t xml:space="preserve">Riesgo: datos sensibles transmitidos o almacenados sin cifrado adecuado. Aquí se verifica HTTPS, hash de contraseñas y firma de JWT.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PO-CR-01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HTTPS en producción</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Abrir https://mvp-presupuestos-8azi.vercel.app y verificar el candado del navegador.</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Certificado TLS válido, URL https://. Sin advertencias.</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PO-CR-02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Hash de contraseñas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Registrar un usuario nuevo.
2. Abrir Firestore Console → users/{uid}.
3. Verificar el campo hashed_password.</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Cadena con prefijo $2b$ (bcrypt). Nunca texto plano.</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PO-CR-03</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JWT firmado</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Hacer login y copiar el access_token.
2. Decodificar el token en https://jwt.io.
3. Modificar un carácter del payload y enviar al backend.</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Backend rechaza con 401 al recibir el token modificado.</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2"/>
        <w:spacing w:after="160" w:before="280"/>
      </w:pPr>
      <w:r>
        <w:t xml:space="preserve">A03 — Injection (Inyección)</w:t>
      </w:r>
    </w:p>
    <w:p>
      <w:pPr>
        <w:spacing w:after="200" w:line="300"/>
        <w:jc w:val="both"/>
      </w:pPr>
      <w:r>
        <w:rPr>
          <w:rFonts w:ascii="Calibri" w:cs="Calibri" w:eastAsia="Calibri" w:hAnsi="Calibri"/>
          <w:sz w:val="22"/>
          <w:szCs w:val="22"/>
        </w:rPr>
        <w:t xml:space="preserve">Riesgo: entradas del usuario interpretadas como código. Firestore (NoSQL) reduce la superficie pero la inyección sigue siendo posible vía manipulación de queries o cross-site scripting.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PO-IN-01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SQL/NoSQL injection en descripción</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Crear movimiento con descripción: '; DROP TABLE users; --</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Se guarda como cadena literal. No se ejecuta nada.</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PO-IN-02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XSS reflejado en formularios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Crear movimiento con descripción: &lt;script&gt;alert('xss')&lt;/script&gt;</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React escapa automáticamente el HTML; no se ejecuta JavaScript.</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PO-IN-03</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NoSQL injection en login</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POST /api/auth/login con body {"email": {"$ne": null}, "password": "x"}</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Código 422. Pydantic valida que email sea EmailStr (string).</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2"/>
        <w:spacing w:after="160" w:before="280"/>
      </w:pPr>
      <w:r>
        <w:t xml:space="preserve">A04 — Insecure Design (Diseño inseguro)</w:t>
      </w:r>
    </w:p>
    <w:p>
      <w:pPr>
        <w:spacing w:after="200" w:line="300"/>
        <w:jc w:val="both"/>
      </w:pPr>
      <w:r>
        <w:rPr>
          <w:rFonts w:ascii="Calibri" w:cs="Calibri" w:eastAsia="Calibri" w:hAnsi="Calibri"/>
          <w:sz w:val="22"/>
          <w:szCs w:val="22"/>
        </w:rPr>
        <w:t xml:space="preserve">Riesgo: fallos arquitectónicos que permiten abusos. Se revisa la lógica de aportar, ajustar y borrado en cascada.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PO-ID-01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Aporte atómico a meta</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Revisar código: contribute usa firestore.Increment().</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Aporte es atómico aún con peticiones concurrentes.</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059669"/>
                <w:sz w:val="18"/>
                <w:szCs w:val="18"/>
              </w:rPr>
              <w:t xml:space="preserve">Auto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PO-ID-02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Borrado en cascada de subcolecciones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Crear usuario con datos.
2. DELETE /api/auth/me.
3. Verificar Firestore.</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Subcolecciones transactions, goals, budget_items y categories vacías.</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2"/>
        <w:spacing w:after="160" w:before="280"/>
      </w:pPr>
      <w:r>
        <w:t xml:space="preserve">A05 — Security Misconfiguration (Mala configuración)</w:t>
      </w:r>
    </w:p>
    <w:p>
      <w:pPr>
        <w:spacing w:after="200" w:line="300"/>
        <w:jc w:val="both"/>
      </w:pPr>
      <w:r>
        <w:rPr>
          <w:rFonts w:ascii="Calibri" w:cs="Calibri" w:eastAsia="Calibri" w:hAnsi="Calibri"/>
          <w:sz w:val="22"/>
          <w:szCs w:val="22"/>
        </w:rPr>
        <w:t xml:space="preserve">Riesgo: configuraciones por defecto o débiles. Se verifica CORS, exposición de documentación y cabeceras de seguridad.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PO-SM-01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CORS restrictivo</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Desde una página externa, fetch a la API en producción.</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Bloqueado por CORS si el origen no está en BACKEND_CORS_ORIGINS.</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PO-SM-02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Cabeceras de seguridad</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Visitar https://securityheaders.com y escanear el dominio del frontend.</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Nota ≥ B (idealmente A). Idealmente con CSP, X-Frame-Options, etc.</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059669"/>
                <w:sz w:val="18"/>
                <w:szCs w:val="18"/>
              </w:rPr>
              <w:t xml:space="preserve">Auto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PO-SM-03</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Mensajes de error sin trazas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Provocar un 500 enviando payload malformado.</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Respuesta JSON limpia sin stack trace de Python.</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PO-SM-04</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Reglas de Firestore cerradas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Desde un cliente Firebase sin auth, intentar leer users/.</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Bloqueado: allow read, write: if false.</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2"/>
        <w:spacing w:after="160" w:before="280"/>
      </w:pPr>
      <w:r>
        <w:t xml:space="preserve">A06 — Vulnerable and Outdated Components (Componentes vulnerables)</w:t>
      </w:r>
    </w:p>
    <w:p>
      <w:pPr>
        <w:spacing w:after="200" w:line="300"/>
        <w:jc w:val="both"/>
      </w:pPr>
      <w:r>
        <w:rPr>
          <w:rFonts w:ascii="Calibri" w:cs="Calibri" w:eastAsia="Calibri" w:hAnsi="Calibri"/>
          <w:sz w:val="22"/>
          <w:szCs w:val="22"/>
        </w:rPr>
        <w:t xml:space="preserve">Riesgo: dependencias con CVE conocidas. Se ejecuta auditoría automatizada en ambas capas.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PO-VC-01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npm audit del frontend</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cd frontend &amp;&amp; npm audit --production</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0 vulnerabilidades de severidad alta o crítica.</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059669"/>
                <w:sz w:val="18"/>
                <w:szCs w:val="18"/>
              </w:rPr>
              <w:t xml:space="preserve">Auto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PO-VC-02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pip-audit del backend</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cd backend &amp;&amp; pip install pip-audit &amp;&amp; pip-audit</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0 vulnerabilidades de severidad alta o crítica.</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059669"/>
                <w:sz w:val="18"/>
                <w:szCs w:val="18"/>
              </w:rPr>
              <w:t xml:space="preserve">Auto</w:t>
            </w:r>
          </w:p>
        </w:tc>
      </w:tr>
    </w:tbl>
    <w:p>
      <w:pPr>
        <w:pStyle w:val="Heading2"/>
        <w:spacing w:after="160" w:before="280"/>
      </w:pPr>
      <w:r>
        <w:t xml:space="preserve">A07 — Identification and Authentication Failures</w:t>
      </w:r>
    </w:p>
    <w:p>
      <w:pPr>
        <w:spacing w:after="200" w:line="300"/>
        <w:jc w:val="both"/>
      </w:pPr>
      <w:r>
        <w:rPr>
          <w:rFonts w:ascii="Calibri" w:cs="Calibri" w:eastAsia="Calibri" w:hAnsi="Calibri"/>
          <w:sz w:val="22"/>
          <w:szCs w:val="22"/>
        </w:rPr>
        <w:t xml:space="preserve">Riesgo: autenticación débil, contraseñas rompibles, sesiones mal gestionadas.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PO-AU-01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Política de contraseña fuerte</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POST /api/auth/register con password "1234".</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Código 422 con mensaje de cada regla incumplida.</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PO-AU-02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Rate limiting de login</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Intentar login fallido 20 veces seguidas.</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Nota: no implementado; documentar como mejora pendiente.</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PO-AU-03</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Expiración de JWT</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Configurar ACCESS_TOKEN_EXPIRE_MINUTES=1, login, esperar 2 min, llamar /auth/me.</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Código 401 (token expirado).</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PO-AU-04</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Token inválido rechazado</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Llamar a /auth/me con Authorization: Bearer abc.123.def</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Código 401.</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PO-AU-05</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Enumeración de usuarios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Login con email inexistente vs. password incorrecto. Comparar mensajes.</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Mismo mensaje en ambos casos para no revelar existencia.</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2"/>
        <w:spacing w:after="160" w:before="280"/>
      </w:pPr>
      <w:r>
        <w:t xml:space="preserve">A08 — Software and Data Integrity Failures</w:t>
      </w:r>
    </w:p>
    <w:p>
      <w:pPr>
        <w:spacing w:after="200" w:line="300"/>
        <w:jc w:val="both"/>
      </w:pPr>
      <w:r>
        <w:rPr>
          <w:rFonts w:ascii="Calibri" w:cs="Calibri" w:eastAsia="Calibri" w:hAnsi="Calibri"/>
          <w:sz w:val="22"/>
          <w:szCs w:val="22"/>
        </w:rPr>
        <w:t xml:space="preserve">Riesgo: dependencias o pipelines de despliegue comprometidos. Se verifica el origen de paquetes y el flujo de CI/CD.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PO-SI-01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Origen de dependencias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Revisar package-lock.json y requirements.txt: todos los paquetes de registros oficiales (npmjs.com / PyPI).</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100 % de dependencias provienen de registros oficiales.</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PO-SI-02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Auto-deploy desde rama protegida</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En GitHub: Settings → Branches → Branch protection rules.</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main protegida; despliegues solo desde main.</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2"/>
        <w:spacing w:after="160" w:before="280"/>
      </w:pPr>
      <w:r>
        <w:t xml:space="preserve">A09 — Security Logging and Monitoring Failures</w:t>
      </w:r>
    </w:p>
    <w:p>
      <w:pPr>
        <w:spacing w:after="200" w:line="300"/>
        <w:jc w:val="both"/>
      </w:pPr>
      <w:r>
        <w:rPr>
          <w:rFonts w:ascii="Calibri" w:cs="Calibri" w:eastAsia="Calibri" w:hAnsi="Calibri"/>
          <w:sz w:val="22"/>
          <w:szCs w:val="22"/>
        </w:rPr>
        <w:t xml:space="preserve">Riesgo: incidentes no detectados por falta de bitácoras. Se verifica que los proveedores capturen 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PO-LM-01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Logs del backend en Vercel</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Provocar error 500 en producción.
2. Revisar Vercel → Deployments → Function Logs.</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Stack trace registrado, accesible para diagnóstico.</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PO-LM-02</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Logs de accesos no autorizados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Realizar peticiones con tokens inválidos.
2. Revisar logs.</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Cada 401/403 queda en el log con timestamp.</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2"/>
        <w:spacing w:after="160" w:before="280"/>
      </w:pPr>
      <w:r>
        <w:t xml:space="preserve">A10 — Server-Side Request Forgery (SSRF)</w:t>
      </w:r>
    </w:p>
    <w:p>
      <w:pPr>
        <w:spacing w:after="200" w:line="300"/>
        <w:jc w:val="both"/>
      </w:pPr>
      <w:r>
        <w:rPr>
          <w:rFonts w:ascii="Calibri" w:cs="Calibri" w:eastAsia="Calibri" w:hAnsi="Calibri"/>
          <w:sz w:val="22"/>
          <w:szCs w:val="22"/>
        </w:rPr>
        <w:t xml:space="preserve">Riesgo: el backend hace peticiones a URLs proporcionadas por el usuario. En este sistema NO existe esa funcionalidad, por lo que el riesgo se considera no aplicable.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1800"/>
        <w:gridCol w:w="700"/>
      </w:tblGrid>
      <w:tr>
        <w:trPr>
          <w:tblHeader/>
        </w:trPr>
        <w:tc>
          <w:tcPr>
            <w:tcW w:type="dxa" w:w="9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ID</w:t>
            </w:r>
          </w:p>
        </w:tc>
        <w:tc>
          <w:tcPr>
            <w:tcW w:type="dxa" w:w="22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Caso de prueba</w:t>
            </w:r>
          </w:p>
        </w:tc>
        <w:tc>
          <w:tcPr>
            <w:tcW w:type="dxa" w:w="34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Pasos / Comando</w:t>
            </w:r>
          </w:p>
        </w:tc>
        <w:tc>
          <w:tcPr>
            <w:tcW w:type="dxa" w:w="18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Resultado esperado</w:t>
            </w:r>
          </w:p>
        </w:tc>
        <w:tc>
          <w:tcPr>
            <w:tcW w:type="dxa" w:w="700"/>
            <w:tcBorders>
              <w:top w:val="single" w:color="AAAAAA" w:sz="1"/>
              <w:left w:val="single" w:color="AAAAAA" w:sz="1"/>
              <w:bottom w:val="single" w:color="AAAAAA" w:sz="1"/>
              <w:right w:val="single" w:color="AAAAAA" w:sz="1"/>
            </w:tcBorders>
            <w:shd w:fill="365F91"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8"/>
                <w:szCs w:val="18"/>
              </w:rPr>
              <w:t xml:space="preserve">Tipo</w:t>
            </w:r>
          </w:p>
        </w:tc>
      </w:tr>
      <w:tr>
        <w:tc>
          <w:tcPr>
            <w:tcW w:type="dxa" w:w="9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bCs/>
                <w:color w:val="243F60"/>
                <w:sz w:val="17"/>
                <w:szCs w:val="17"/>
              </w:rPr>
              <w:t xml:space="preserve">PO-SS-01</w:t>
            </w:r>
          </w:p>
        </w:tc>
        <w:tc>
          <w:tcPr>
            <w:tcW w:type="dxa" w:w="22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sz w:val="18"/>
                <w:szCs w:val="18"/>
              </w:rPr>
              <w:t xml:space="preserve">Endpoints que aceptan URLs externas</w:t>
            </w:r>
          </w:p>
        </w:tc>
        <w:tc>
          <w:tcPr>
            <w:tcW w:type="dxa" w:w="34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onsolas" w:cs="Consolas" w:eastAsia="Consolas" w:hAnsi="Consolas"/>
                <w:b w:val="false"/>
                <w:bCs w:val="false"/>
                <w:sz w:val="17"/>
                <w:szCs w:val="17"/>
              </w:rPr>
              <w:t xml:space="preserve">1. Revisar todos los endpoints: ¿alguno hace fetch a una URL del usuario?</w:t>
            </w:r>
          </w:p>
        </w:tc>
        <w:tc>
          <w:tcPr>
            <w:tcW w:type="dxa" w:w="18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val="false"/>
                <w:bCs w:val="false"/>
                <w:sz w:val="18"/>
                <w:szCs w:val="18"/>
              </w:rPr>
              <w:t xml:space="preserve">No aplica. El backend solo consulta Firestore con credenciales propias.</w:t>
            </w:r>
          </w:p>
        </w:tc>
        <w:tc>
          <w:tcPr>
            <w:tcW w:type="dxa" w:w="700"/>
            <w:tcBorders>
              <w:top w:val="single" w:color="AAAAAA" w:sz="1"/>
              <w:left w:val="single" w:color="AAAAAA" w:sz="1"/>
              <w:bottom w:val="single" w:color="AAAAAA" w:sz="1"/>
              <w:right w:val="single" w:color="AAAAAA" w:sz="1"/>
            </w:tcBorders>
            <w:tcMar>
              <w:top w:type="dxa" w:w="70"/>
              <w:left w:type="dxa" w:w="100"/>
              <w:bottom w:type="dxa" w:w="70"/>
              <w:right w:type="dxa" w:w="100"/>
            </w:tcMar>
            <w:vAlign w:val="center"/>
          </w:tcPr>
          <w:p>
            <w:pPr>
              <w:spacing w:after="0" w:line="240"/>
            </w:pPr>
            <w:r>
              <w:rPr>
                <w:rFonts w:ascii="Calibri" w:cs="Calibri" w:eastAsia="Calibri" w:hAnsi="Calibri"/>
                <w:b/>
                <w:bCs/>
                <w:color w:val="B45309"/>
                <w:sz w:val="18"/>
                <w:szCs w:val="18"/>
              </w:rPr>
              <w:t xml:space="preserve">Manual</w:t>
            </w:r>
          </w:p>
        </w:tc>
      </w:tr>
    </w:tbl>
    <w:p>
      <w:pPr>
        <w:pStyle w:val="Heading1"/>
        <w:spacing w:after="200" w:before="360"/>
      </w:pPr>
      <w:r>
        <w:t xml:space="preserve">Resumen de Hallazgos</w:t>
      </w:r>
    </w:p>
    <w:p>
      <w:pPr>
        <w:spacing w:after="200" w:line="300"/>
        <w:jc w:val="both"/>
      </w:pPr>
      <w:r>
        <w:rPr>
          <w:rFonts w:ascii="Calibri" w:cs="Calibri" w:eastAsia="Calibri" w:hAnsi="Calibri"/>
          <w:sz w:val="22"/>
          <w:szCs w:val="22"/>
        </w:rPr>
        <w:t xml:space="preserve">Tras ejecutar el plan completo, registrar para cada caso el resultado obtenido y consolidar en la siguiente plantilla de resumen ejecutivo:</w:t>
      </w:r>
    </w:p>
    <w:p>
      <w:pPr>
        <w:pStyle w:val="ListParagraph"/>
        <w:numPr>
          <w:ilvl w:val="0"/>
          <w:numId w:val="2"/>
        </w:numPr>
        <w:spacing w:after="80" w:line="280"/>
      </w:pPr>
      <w:r>
        <w:rPr>
          <w:rFonts w:ascii="Calibri" w:cs="Calibri" w:eastAsia="Calibri" w:hAnsi="Calibri"/>
          <w:sz w:val="22"/>
          <w:szCs w:val="22"/>
        </w:rPr>
        <w:t xml:space="preserve">Total de casos ejecutados: 25.</w:t>
      </w:r>
    </w:p>
    <w:p>
      <w:pPr>
        <w:pStyle w:val="ListParagraph"/>
        <w:numPr>
          <w:ilvl w:val="0"/>
          <w:numId w:val="2"/>
        </w:numPr>
        <w:spacing w:after="80" w:line="280"/>
      </w:pPr>
      <w:r>
        <w:rPr>
          <w:rFonts w:ascii="Calibri" w:cs="Calibri" w:eastAsia="Calibri" w:hAnsi="Calibri"/>
          <w:sz w:val="22"/>
          <w:szCs w:val="22"/>
        </w:rPr>
        <w:t xml:space="preserve">Cumple totalmente: pendiente de ejecución.</w:t>
      </w:r>
    </w:p>
    <w:p>
      <w:pPr>
        <w:pStyle w:val="ListParagraph"/>
        <w:numPr>
          <w:ilvl w:val="0"/>
          <w:numId w:val="2"/>
        </w:numPr>
        <w:spacing w:after="80" w:line="280"/>
      </w:pPr>
      <w:r>
        <w:rPr>
          <w:rFonts w:ascii="Calibri" w:cs="Calibri" w:eastAsia="Calibri" w:hAnsi="Calibri"/>
          <w:sz w:val="22"/>
          <w:szCs w:val="22"/>
        </w:rPr>
        <w:t xml:space="preserve">Cumple parcialmente: pendiente de ejecución.</w:t>
      </w:r>
    </w:p>
    <w:p>
      <w:pPr>
        <w:pStyle w:val="ListParagraph"/>
        <w:numPr>
          <w:ilvl w:val="0"/>
          <w:numId w:val="2"/>
        </w:numPr>
        <w:spacing w:after="80" w:line="280"/>
      </w:pPr>
      <w:r>
        <w:rPr>
          <w:rFonts w:ascii="Calibri" w:cs="Calibri" w:eastAsia="Calibri" w:hAnsi="Calibri"/>
          <w:sz w:val="22"/>
          <w:szCs w:val="22"/>
        </w:rPr>
        <w:t xml:space="preserve">No cumple: pendiente de ejecución.</w:t>
      </w:r>
    </w:p>
    <w:p>
      <w:pPr>
        <w:spacing w:after="200" w:line="300"/>
        <w:jc w:val="both"/>
      </w:pPr>
      <w:r>
        <w:rPr>
          <w:rFonts w:ascii="Calibri" w:cs="Calibri" w:eastAsia="Calibri" w:hAnsi="Calibri"/>
          <w:sz w:val="22"/>
          <w:szCs w:val="22"/>
        </w:rPr>
        <w:t xml:space="preserve">Las observaciones individuales deben documentarse en la tabla maestra y las acciones correctivas para los casos no cumplidos deben planificarse en el cronograma como tareas adicionales antes del despliegue productivo.</w:t>
      </w:r>
    </w:p>
    <w:p>
      <w:pPr>
        <w:pStyle w:val="Heading1"/>
        <w:spacing w:after="200" w:before="360"/>
      </w:pPr>
      <w:r>
        <w:t xml:space="preserve">Conclusiones y Recomendaciones</w:t>
      </w:r>
    </w:p>
    <w:p>
      <w:pPr>
        <w:spacing w:after="200" w:line="300"/>
        <w:jc w:val="both"/>
      </w:pPr>
      <w:r>
        <w:rPr>
          <w:rFonts w:ascii="Calibri" w:cs="Calibri" w:eastAsia="Calibri" w:hAnsi="Calibri"/>
          <w:sz w:val="22"/>
          <w:szCs w:val="22"/>
        </w:rPr>
        <w:t xml:space="preserve">La aplicación de este plan permitirá validar de forma sistemática que TuPresupuesto cumple con un nivel aceptable de seguridad para un MVP académico, basándose en el marco OWASP Top 10. Los controles ya implementados (bcrypt, JWT, aislamiento por subcolecciones, validación de Pydantic, HTTPS automático en Vercel) cubren la mayoría de las categorías de riesgo.</w:t>
      </w:r>
    </w:p>
    <w:p>
      <w:pPr>
        <w:pStyle w:val="Heading2"/>
        <w:spacing w:after="160" w:before="280"/>
      </w:pPr>
      <w:r>
        <w:t xml:space="preserve">Recomendaciones para iteraciones futuras</w:t>
      </w:r>
    </w:p>
    <w:p>
      <w:pPr>
        <w:pStyle w:val="ListParagraph"/>
        <w:numPr>
          <w:ilvl w:val="0"/>
          <w:numId w:val="2"/>
        </w:numPr>
        <w:spacing w:after="80" w:line="280"/>
      </w:pPr>
      <w:r>
        <w:rPr>
          <w:rFonts w:ascii="Calibri" w:cs="Calibri" w:eastAsia="Calibri" w:hAnsi="Calibri"/>
          <w:sz w:val="22"/>
          <w:szCs w:val="22"/>
        </w:rPr>
        <w:t xml:space="preserve">Implementar rate limiting (slowapi) en /auth/login para mitigar fuerza bruta.</w:t>
      </w:r>
    </w:p>
    <w:p>
      <w:pPr>
        <w:pStyle w:val="ListParagraph"/>
        <w:numPr>
          <w:ilvl w:val="0"/>
          <w:numId w:val="2"/>
        </w:numPr>
        <w:spacing w:after="80" w:line="280"/>
      </w:pPr>
      <w:r>
        <w:rPr>
          <w:rFonts w:ascii="Calibri" w:cs="Calibri" w:eastAsia="Calibri" w:hAnsi="Calibri"/>
          <w:sz w:val="22"/>
          <w:szCs w:val="22"/>
        </w:rPr>
        <w:t xml:space="preserve">Añadir Content Security Policy (CSP) en el frontend para reducir el impacto de XSS.</w:t>
      </w:r>
    </w:p>
    <w:p>
      <w:pPr>
        <w:pStyle w:val="ListParagraph"/>
        <w:numPr>
          <w:ilvl w:val="0"/>
          <w:numId w:val="2"/>
        </w:numPr>
        <w:spacing w:after="80" w:line="280"/>
      </w:pPr>
      <w:r>
        <w:rPr>
          <w:rFonts w:ascii="Calibri" w:cs="Calibri" w:eastAsia="Calibri" w:hAnsi="Calibri"/>
          <w:sz w:val="22"/>
          <w:szCs w:val="22"/>
        </w:rPr>
        <w:t xml:space="preserve">Configurar refresh tokens y reducir la vigencia del access token.</w:t>
      </w:r>
    </w:p>
    <w:p>
      <w:pPr>
        <w:pStyle w:val="ListParagraph"/>
        <w:numPr>
          <w:ilvl w:val="0"/>
          <w:numId w:val="2"/>
        </w:numPr>
        <w:spacing w:after="80" w:line="280"/>
      </w:pPr>
      <w:r>
        <w:rPr>
          <w:rFonts w:ascii="Calibri" w:cs="Calibri" w:eastAsia="Calibri" w:hAnsi="Calibri"/>
          <w:sz w:val="22"/>
          <w:szCs w:val="22"/>
        </w:rPr>
        <w:t xml:space="preserve">Habilitar copias de seguridad automáticas de Firestore.</w:t>
      </w:r>
    </w:p>
    <w:p>
      <w:pPr>
        <w:pStyle w:val="ListParagraph"/>
        <w:numPr>
          <w:ilvl w:val="0"/>
          <w:numId w:val="2"/>
        </w:numPr>
        <w:spacing w:after="80" w:line="280"/>
      </w:pPr>
      <w:r>
        <w:rPr>
          <w:rFonts w:ascii="Calibri" w:cs="Calibri" w:eastAsia="Calibri" w:hAnsi="Calibri"/>
          <w:sz w:val="22"/>
          <w:szCs w:val="22"/>
        </w:rPr>
        <w:t xml:space="preserve">Programar la ejecución automática de npm audit y pip-audit en cada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TuPresupuesto · Plan de Pruebas OWASP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65F91"/>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365F91"/>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43F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OWASP - TuPresupuesto</dc:title>
  <dc:creator>Geraldine Rios</dc:creator>
  <dc:description>Auditoría de seguridad basada en OWASP Top 10</dc:description>
  <cp:lastModifiedBy>Un-named</cp:lastModifiedBy>
  <cp:revision>1</cp:revision>
  <dcterms:created xsi:type="dcterms:W3CDTF">2026-05-29T03:08:27.231Z</dcterms:created>
  <dcterms:modified xsi:type="dcterms:W3CDTF">2026-05-29T03:08:27.279Z</dcterms:modified>
</cp:coreProperties>
</file>

<file path=docProps/custom.xml><?xml version="1.0" encoding="utf-8"?>
<Properties xmlns="http://schemas.openxmlformats.org/officeDocument/2006/custom-properties" xmlns:vt="http://schemas.openxmlformats.org/officeDocument/2006/docPropsVTypes"/>
</file>