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1F" w:rsidRDefault="009E3AA2" w:rsidP="00563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B770FA">
        <w:rPr>
          <w:b/>
          <w:sz w:val="28"/>
          <w:szCs w:val="28"/>
        </w:rPr>
        <w:t xml:space="preserve">аспорт </w:t>
      </w:r>
      <w:r w:rsidR="003B6F52">
        <w:rPr>
          <w:b/>
          <w:sz w:val="28"/>
          <w:szCs w:val="28"/>
        </w:rPr>
        <w:t xml:space="preserve">инвестиционного </w:t>
      </w:r>
      <w:r w:rsidR="00B770FA">
        <w:rPr>
          <w:b/>
          <w:sz w:val="28"/>
          <w:szCs w:val="28"/>
        </w:rPr>
        <w:t>проекта</w:t>
      </w:r>
    </w:p>
    <w:p w:rsidR="00B20AAC" w:rsidRPr="00B20AAC" w:rsidRDefault="00B20AAC" w:rsidP="00563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20AAC">
        <w:rPr>
          <w:b/>
          <w:sz w:val="28"/>
          <w:szCs w:val="28"/>
        </w:rPr>
        <w:t>Геологическое изучение и промышленное освоение Западно-</w:t>
      </w:r>
      <w:proofErr w:type="spellStart"/>
      <w:r w:rsidRPr="00B20AAC">
        <w:rPr>
          <w:b/>
          <w:sz w:val="28"/>
          <w:szCs w:val="28"/>
        </w:rPr>
        <w:t>Анабарского</w:t>
      </w:r>
      <w:proofErr w:type="spellEnd"/>
      <w:r w:rsidRPr="00B20AAC">
        <w:rPr>
          <w:b/>
          <w:sz w:val="28"/>
          <w:szCs w:val="28"/>
        </w:rPr>
        <w:t xml:space="preserve"> участка недр</w:t>
      </w:r>
      <w:r>
        <w:rPr>
          <w:b/>
          <w:sz w:val="28"/>
          <w:szCs w:val="28"/>
        </w:rPr>
        <w:t>»</w:t>
      </w:r>
    </w:p>
    <w:p w:rsidR="0056311F" w:rsidRDefault="0056311F" w:rsidP="0056311F"/>
    <w:tbl>
      <w:tblPr>
        <w:tblW w:w="1545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"/>
        <w:gridCol w:w="2500"/>
        <w:gridCol w:w="2127"/>
        <w:gridCol w:w="283"/>
        <w:gridCol w:w="3402"/>
        <w:gridCol w:w="6521"/>
      </w:tblGrid>
      <w:tr w:rsidR="00FF75D1" w:rsidTr="00F916C0">
        <w:trPr>
          <w:trHeight w:val="602"/>
        </w:trPr>
        <w:tc>
          <w:tcPr>
            <w:tcW w:w="618" w:type="dxa"/>
          </w:tcPr>
          <w:p w:rsidR="00FF75D1" w:rsidRPr="00EE4C8B" w:rsidRDefault="00FF75D1" w:rsidP="002F287E">
            <w:pPr>
              <w:jc w:val="center"/>
              <w:rPr>
                <w:b/>
                <w:sz w:val="28"/>
                <w:szCs w:val="28"/>
              </w:rPr>
            </w:pPr>
            <w:r w:rsidRPr="00EE4C8B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500" w:type="dxa"/>
          </w:tcPr>
          <w:p w:rsidR="00FF75D1" w:rsidRPr="00EE4C8B" w:rsidRDefault="00FF75D1" w:rsidP="002F287E">
            <w:pPr>
              <w:jc w:val="center"/>
              <w:rPr>
                <w:b/>
                <w:sz w:val="26"/>
                <w:szCs w:val="26"/>
              </w:rPr>
            </w:pPr>
            <w:r w:rsidRPr="00EE4C8B">
              <w:rPr>
                <w:b/>
                <w:sz w:val="26"/>
                <w:szCs w:val="26"/>
              </w:rPr>
              <w:t>Наименование раздела</w:t>
            </w:r>
          </w:p>
        </w:tc>
        <w:tc>
          <w:tcPr>
            <w:tcW w:w="5812" w:type="dxa"/>
            <w:gridSpan w:val="3"/>
          </w:tcPr>
          <w:p w:rsidR="00FF75D1" w:rsidRPr="00EE4C8B" w:rsidRDefault="00FF75D1" w:rsidP="002F287E">
            <w:pPr>
              <w:jc w:val="center"/>
              <w:rPr>
                <w:b/>
                <w:sz w:val="26"/>
                <w:szCs w:val="26"/>
              </w:rPr>
            </w:pPr>
            <w:r w:rsidRPr="00EE4C8B">
              <w:rPr>
                <w:b/>
                <w:sz w:val="26"/>
                <w:szCs w:val="26"/>
              </w:rPr>
              <w:t>Содержание раздела</w:t>
            </w:r>
          </w:p>
        </w:tc>
        <w:tc>
          <w:tcPr>
            <w:tcW w:w="6521" w:type="dxa"/>
          </w:tcPr>
          <w:p w:rsidR="00FF75D1" w:rsidRPr="00EE4C8B" w:rsidRDefault="00FF75D1" w:rsidP="002F287E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487B78" w:rsidTr="00F916C0">
        <w:trPr>
          <w:trHeight w:val="70"/>
        </w:trPr>
        <w:tc>
          <w:tcPr>
            <w:tcW w:w="618" w:type="dxa"/>
            <w:vMerge w:val="restart"/>
          </w:tcPr>
          <w:p w:rsidR="00487B78" w:rsidRPr="0052458A" w:rsidRDefault="00487B78" w:rsidP="002F287E">
            <w:r>
              <w:t>1.</w:t>
            </w:r>
          </w:p>
        </w:tc>
        <w:tc>
          <w:tcPr>
            <w:tcW w:w="2500" w:type="dxa"/>
            <w:vMerge w:val="restart"/>
          </w:tcPr>
          <w:p w:rsidR="00487B78" w:rsidRPr="0052458A" w:rsidRDefault="00487B78" w:rsidP="002F287E">
            <w:r w:rsidRPr="0052458A">
              <w:t xml:space="preserve">Описание проекта </w:t>
            </w:r>
          </w:p>
        </w:tc>
        <w:tc>
          <w:tcPr>
            <w:tcW w:w="5812" w:type="dxa"/>
            <w:gridSpan w:val="3"/>
          </w:tcPr>
          <w:p w:rsidR="00487B78" w:rsidRDefault="00487B78" w:rsidP="002F287E">
            <w:r>
              <w:t>Наименование проекта:</w:t>
            </w:r>
          </w:p>
        </w:tc>
        <w:tc>
          <w:tcPr>
            <w:tcW w:w="6521" w:type="dxa"/>
          </w:tcPr>
          <w:p w:rsidR="00487B78" w:rsidRPr="002F4821" w:rsidRDefault="000D6EAD" w:rsidP="002F287E">
            <w:r>
              <w:t>Геологическое изучение и промышленное освоение З</w:t>
            </w:r>
            <w:r w:rsidR="0001691F">
              <w:t>ападно-</w:t>
            </w:r>
            <w:proofErr w:type="spellStart"/>
            <w:r w:rsidR="0001691F">
              <w:t>Анабарского</w:t>
            </w:r>
            <w:proofErr w:type="spellEnd"/>
            <w:r>
              <w:t xml:space="preserve"> участка</w:t>
            </w:r>
            <w:r w:rsidR="0001691F">
              <w:t xml:space="preserve"> недр</w:t>
            </w:r>
          </w:p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Pr="0052458A" w:rsidRDefault="00A452B9" w:rsidP="00DC6480"/>
        </w:tc>
        <w:tc>
          <w:tcPr>
            <w:tcW w:w="2410" w:type="dxa"/>
            <w:gridSpan w:val="2"/>
          </w:tcPr>
          <w:p w:rsidR="00A452B9" w:rsidRDefault="00DD79EF" w:rsidP="00DC6480">
            <w:r>
              <w:t>Цель проекта</w:t>
            </w:r>
          </w:p>
        </w:tc>
        <w:tc>
          <w:tcPr>
            <w:tcW w:w="3402" w:type="dxa"/>
          </w:tcPr>
          <w:p w:rsidR="00A452B9" w:rsidRDefault="00A452B9" w:rsidP="00DC6480">
            <w:r>
              <w:t>Другое</w:t>
            </w:r>
          </w:p>
        </w:tc>
        <w:tc>
          <w:tcPr>
            <w:tcW w:w="6521" w:type="dxa"/>
          </w:tcPr>
          <w:p w:rsidR="00A452B9" w:rsidRPr="002F4821" w:rsidRDefault="000D6EAD" w:rsidP="00DC6480">
            <w:r>
              <w:t>Геологическое изучение и промышленное освоение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Характеристика выпускаемой продукции:</w:t>
            </w:r>
          </w:p>
        </w:tc>
        <w:tc>
          <w:tcPr>
            <w:tcW w:w="6521" w:type="dxa"/>
          </w:tcPr>
          <w:p w:rsidR="00487B78" w:rsidRDefault="0001691F" w:rsidP="00792A6E">
            <w:r>
              <w:t>Н</w:t>
            </w:r>
            <w:r w:rsidR="000D6EAD">
              <w:t>ефть</w:t>
            </w:r>
            <w:r>
              <w:t>, природный газ, газовый конденсат</w:t>
            </w:r>
            <w:r w:rsidR="00CF63DB">
              <w:t>.</w:t>
            </w:r>
          </w:p>
          <w:p w:rsidR="00CF63DB" w:rsidRDefault="00CF63DB" w:rsidP="00792A6E"/>
          <w:p w:rsidR="00CF63DB" w:rsidRPr="00522CFF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результате подсчета запасов по Южно-</w:t>
            </w:r>
            <w:proofErr w:type="spellStart"/>
            <w:r>
              <w:rPr>
                <w:sz w:val="22"/>
                <w:szCs w:val="22"/>
              </w:rPr>
              <w:t>Тигянскому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нефтепроявлению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22CFF">
              <w:rPr>
                <w:sz w:val="22"/>
                <w:szCs w:val="22"/>
              </w:rPr>
              <w:t>в пределах Западно-</w:t>
            </w:r>
            <w:proofErr w:type="spellStart"/>
            <w:r w:rsidRPr="00522CFF">
              <w:rPr>
                <w:sz w:val="22"/>
                <w:szCs w:val="22"/>
              </w:rPr>
              <w:t>Анабарского</w:t>
            </w:r>
            <w:proofErr w:type="spellEnd"/>
            <w:r w:rsidRPr="00522CFF">
              <w:rPr>
                <w:sz w:val="22"/>
                <w:szCs w:val="22"/>
              </w:rPr>
              <w:t xml:space="preserve"> лицензионного участка</w:t>
            </w:r>
            <w:r>
              <w:rPr>
                <w:sz w:val="22"/>
                <w:szCs w:val="22"/>
              </w:rPr>
              <w:t>,</w:t>
            </w:r>
            <w:r w:rsidRPr="00522C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запасы нефти составили</w:t>
            </w:r>
            <w:r w:rsidRPr="00522CFF">
              <w:rPr>
                <w:sz w:val="22"/>
                <w:szCs w:val="22"/>
              </w:rPr>
              <w:t xml:space="preserve">: </w:t>
            </w:r>
          </w:p>
          <w:p w:rsidR="00CF63DB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>(</w:t>
            </w:r>
            <w:proofErr w:type="gramStart"/>
            <w:r w:rsidRPr="00522CFF">
              <w:rPr>
                <w:sz w:val="22"/>
                <w:szCs w:val="22"/>
              </w:rPr>
              <w:t>геологические)  –</w:t>
            </w:r>
            <w:proofErr w:type="gramEnd"/>
            <w:r w:rsidRPr="00522CFF">
              <w:rPr>
                <w:sz w:val="22"/>
                <w:szCs w:val="22"/>
              </w:rPr>
              <w:t xml:space="preserve"> 27 922 тыс. т категории С1, </w:t>
            </w:r>
          </w:p>
          <w:p w:rsidR="00CF63DB" w:rsidRPr="00522CFF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>52 427 тыс. т категории С2</w:t>
            </w:r>
          </w:p>
          <w:p w:rsidR="00CF63DB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 xml:space="preserve">(извлекаемые) – 5 </w:t>
            </w:r>
            <w:proofErr w:type="gramStart"/>
            <w:r w:rsidRPr="00522CFF">
              <w:rPr>
                <w:sz w:val="22"/>
                <w:szCs w:val="22"/>
              </w:rPr>
              <w:t>584  тыс.</w:t>
            </w:r>
            <w:proofErr w:type="gramEnd"/>
            <w:r w:rsidRPr="00522CFF">
              <w:rPr>
                <w:sz w:val="22"/>
                <w:szCs w:val="22"/>
              </w:rPr>
              <w:t xml:space="preserve"> т категории С1, </w:t>
            </w:r>
          </w:p>
          <w:p w:rsidR="00CF63DB" w:rsidRPr="00522CFF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 xml:space="preserve">10 485 тыс. т категории С2 </w:t>
            </w:r>
          </w:p>
          <w:p w:rsidR="00CF63DB" w:rsidRPr="00522CFF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>Всего по категориям С1+С2 запасы нефти составляют:</w:t>
            </w:r>
          </w:p>
          <w:p w:rsidR="00CF63DB" w:rsidRPr="00522CFF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>(</w:t>
            </w:r>
            <w:proofErr w:type="gramStart"/>
            <w:r w:rsidRPr="00522CFF">
              <w:rPr>
                <w:sz w:val="22"/>
                <w:szCs w:val="22"/>
              </w:rPr>
              <w:t>геологические)  –</w:t>
            </w:r>
            <w:proofErr w:type="gramEnd"/>
            <w:r w:rsidRPr="00522CFF">
              <w:rPr>
                <w:sz w:val="22"/>
                <w:szCs w:val="22"/>
              </w:rPr>
              <w:t xml:space="preserve"> 83 149 тыс. т </w:t>
            </w:r>
          </w:p>
          <w:p w:rsidR="00CF63DB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 w:rsidRPr="00522CFF">
              <w:rPr>
                <w:sz w:val="22"/>
                <w:szCs w:val="22"/>
              </w:rPr>
              <w:t>(извлекаемые) – 16 070 тыс. т</w:t>
            </w:r>
          </w:p>
          <w:p w:rsidR="00CF63DB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перспективных ресурсов нефти категории Д0 составили:</w:t>
            </w:r>
          </w:p>
          <w:p w:rsidR="00CF63DB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геологические – 477 млн т</w:t>
            </w:r>
          </w:p>
          <w:p w:rsidR="00CF63DB" w:rsidRPr="00CF63DB" w:rsidRDefault="00CF63DB" w:rsidP="00CF63DB">
            <w:pPr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извлекаемые – 90 млн т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Основные этапы реализации проекта:</w:t>
            </w:r>
          </w:p>
        </w:tc>
        <w:tc>
          <w:tcPr>
            <w:tcW w:w="6521" w:type="dxa"/>
          </w:tcPr>
          <w:p w:rsidR="00E74BD1" w:rsidRPr="002F4821" w:rsidRDefault="009F75C4" w:rsidP="009F75C4">
            <w:pPr>
              <w:jc w:val="both"/>
            </w:pPr>
            <w:r>
              <w:t>Геолог</w:t>
            </w:r>
            <w:r w:rsidR="00A31753">
              <w:t>о</w:t>
            </w:r>
            <w:r>
              <w:t>разведочные работы</w:t>
            </w:r>
            <w:r w:rsidR="0001691F">
              <w:t>, эксплуатационное бурение, промысловое обустройство, строительство подводящих трубопроводов, нефтеналивного терминала, добыча нефти, природ</w:t>
            </w:r>
            <w:r w:rsidR="00A31753">
              <w:t>ного газа и газового конденсата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Обеспеченность сырьем и материалами</w:t>
            </w:r>
          </w:p>
        </w:tc>
        <w:tc>
          <w:tcPr>
            <w:tcW w:w="6521" w:type="dxa"/>
          </w:tcPr>
          <w:p w:rsidR="00487B78" w:rsidRPr="002F4821" w:rsidRDefault="006A53FF" w:rsidP="0080595A">
            <w:r w:rsidRPr="002F4821">
              <w:t xml:space="preserve"> </w:t>
            </w:r>
            <w:r w:rsidR="000D6EAD">
              <w:t>-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Рынки сбыта</w:t>
            </w:r>
          </w:p>
        </w:tc>
        <w:tc>
          <w:tcPr>
            <w:tcW w:w="6521" w:type="dxa"/>
          </w:tcPr>
          <w:p w:rsidR="00487B78" w:rsidRPr="002F4821" w:rsidRDefault="0001691F" w:rsidP="009F75C4">
            <w:pPr>
              <w:jc w:val="both"/>
            </w:pPr>
            <w:r>
              <w:t xml:space="preserve">Коммерческий экспорт нефти и газа в Европу, страны Азиатско-Тихоокеанского региона и сопредельные регионы РФ, а также для нужд ЖКХ и населения </w:t>
            </w:r>
            <w:proofErr w:type="spellStart"/>
            <w:r>
              <w:t>Анабарского</w:t>
            </w:r>
            <w:proofErr w:type="spellEnd"/>
            <w:r>
              <w:t xml:space="preserve"> улуса Якутии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Планируемый годовой объем продукции/услуг</w:t>
            </w:r>
          </w:p>
        </w:tc>
        <w:tc>
          <w:tcPr>
            <w:tcW w:w="6521" w:type="dxa"/>
          </w:tcPr>
          <w:p w:rsidR="00700F17" w:rsidRDefault="00700F17" w:rsidP="00700F17">
            <w:pPr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оценке </w:t>
            </w:r>
            <w:proofErr w:type="gramStart"/>
            <w:r>
              <w:rPr>
                <w:sz w:val="22"/>
                <w:szCs w:val="22"/>
              </w:rPr>
              <w:t>Сибирского НТЦ</w:t>
            </w:r>
            <w:proofErr w:type="gramEnd"/>
            <w:r>
              <w:rPr>
                <w:sz w:val="22"/>
                <w:szCs w:val="22"/>
              </w:rPr>
              <w:t xml:space="preserve"> уровни добычи составят:</w:t>
            </w:r>
          </w:p>
          <w:p w:rsidR="00700F17" w:rsidRDefault="0001691F" w:rsidP="0001691F">
            <w:r>
              <w:t xml:space="preserve">Нефть – 12 млн тонн в </w:t>
            </w:r>
            <w:r w:rsidR="000D6EAD">
              <w:t>год</w:t>
            </w:r>
          </w:p>
          <w:p w:rsidR="00700F17" w:rsidRDefault="0001691F" w:rsidP="0001691F">
            <w:r>
              <w:t>газ – 10 млрд м</w:t>
            </w:r>
            <w:r>
              <w:rPr>
                <w:vertAlign w:val="superscript"/>
              </w:rPr>
              <w:t xml:space="preserve">3 </w:t>
            </w:r>
            <w:r w:rsidR="00700F17">
              <w:t>в год</w:t>
            </w:r>
          </w:p>
          <w:p w:rsidR="00487B78" w:rsidRPr="0001691F" w:rsidRDefault="0001691F" w:rsidP="0001691F">
            <w:r>
              <w:t>газовый конденсат – 114 тыс.</w:t>
            </w:r>
            <w:r w:rsidR="00700F17">
              <w:t xml:space="preserve"> </w:t>
            </w:r>
            <w:r>
              <w:t>тонн в год.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Технология</w:t>
            </w:r>
          </w:p>
        </w:tc>
        <w:tc>
          <w:tcPr>
            <w:tcW w:w="6521" w:type="dxa"/>
          </w:tcPr>
          <w:p w:rsidR="00487B78" w:rsidRPr="002F4821" w:rsidRDefault="000D6EAD" w:rsidP="00DC6480">
            <w:r>
              <w:t>-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Срок реализации проекта</w:t>
            </w:r>
          </w:p>
        </w:tc>
        <w:tc>
          <w:tcPr>
            <w:tcW w:w="6521" w:type="dxa"/>
          </w:tcPr>
          <w:p w:rsidR="00487B78" w:rsidRPr="002F4821" w:rsidRDefault="000D6EAD" w:rsidP="00DC6480">
            <w:r>
              <w:t>С 2025 года добыча нефти</w:t>
            </w:r>
            <w:r w:rsidR="0001691F">
              <w:t>, с 2030 года добыча газа</w:t>
            </w:r>
          </w:p>
        </w:tc>
      </w:tr>
      <w:tr w:rsidR="00487B78" w:rsidTr="00F916C0">
        <w:trPr>
          <w:trHeight w:val="70"/>
        </w:trPr>
        <w:tc>
          <w:tcPr>
            <w:tcW w:w="618" w:type="dxa"/>
            <w:vMerge/>
          </w:tcPr>
          <w:p w:rsidR="00487B78" w:rsidRDefault="00487B78" w:rsidP="00DC6480"/>
        </w:tc>
        <w:tc>
          <w:tcPr>
            <w:tcW w:w="2500" w:type="dxa"/>
            <w:vMerge/>
          </w:tcPr>
          <w:p w:rsidR="00487B78" w:rsidRPr="0052458A" w:rsidRDefault="00487B78" w:rsidP="00DC6480"/>
        </w:tc>
        <w:tc>
          <w:tcPr>
            <w:tcW w:w="5812" w:type="dxa"/>
            <w:gridSpan w:val="3"/>
          </w:tcPr>
          <w:p w:rsidR="00487B78" w:rsidRDefault="00487B78" w:rsidP="00DC6480">
            <w:r>
              <w:t>Иная необходимая информация о замысле проекта:</w:t>
            </w:r>
          </w:p>
        </w:tc>
        <w:tc>
          <w:tcPr>
            <w:tcW w:w="6521" w:type="dxa"/>
          </w:tcPr>
          <w:p w:rsidR="00487B78" w:rsidRPr="002F4821" w:rsidRDefault="000D6EAD" w:rsidP="00DC6480">
            <w:r>
              <w:t>-</w:t>
            </w:r>
          </w:p>
        </w:tc>
      </w:tr>
      <w:tr w:rsidR="00FF75D1" w:rsidTr="00F916C0">
        <w:tc>
          <w:tcPr>
            <w:tcW w:w="618" w:type="dxa"/>
            <w:vMerge w:val="restart"/>
          </w:tcPr>
          <w:p w:rsidR="00FF75D1" w:rsidRPr="0052458A" w:rsidRDefault="00FF75D1" w:rsidP="00DC6480">
            <w:r>
              <w:t>2.</w:t>
            </w:r>
          </w:p>
        </w:tc>
        <w:tc>
          <w:tcPr>
            <w:tcW w:w="2500" w:type="dxa"/>
            <w:vMerge w:val="restart"/>
          </w:tcPr>
          <w:p w:rsidR="00FF75D1" w:rsidRPr="0052458A" w:rsidRDefault="00FF75D1" w:rsidP="00DC6480">
            <w:r w:rsidRPr="0052458A">
              <w:t xml:space="preserve">Инициатор проекта </w:t>
            </w:r>
          </w:p>
        </w:tc>
        <w:tc>
          <w:tcPr>
            <w:tcW w:w="5812" w:type="dxa"/>
            <w:gridSpan w:val="3"/>
          </w:tcPr>
          <w:p w:rsidR="00FF75D1" w:rsidRDefault="00FF75D1" w:rsidP="0080595A">
            <w:r>
              <w:t>П</w:t>
            </w:r>
            <w:r w:rsidR="0080595A">
              <w:t>олное наименование организации:</w:t>
            </w:r>
          </w:p>
        </w:tc>
        <w:tc>
          <w:tcPr>
            <w:tcW w:w="6521" w:type="dxa"/>
          </w:tcPr>
          <w:p w:rsidR="00FF75D1" w:rsidRPr="002F4821" w:rsidRDefault="000D6EAD" w:rsidP="00DC6480">
            <w:r>
              <w:t>АО НК «</w:t>
            </w:r>
            <w:proofErr w:type="spellStart"/>
            <w:r>
              <w:t>Туймаада</w:t>
            </w:r>
            <w:proofErr w:type="spellEnd"/>
            <w:r>
              <w:t>-нефть»</w:t>
            </w:r>
          </w:p>
        </w:tc>
      </w:tr>
      <w:tr w:rsidR="00FF75D1" w:rsidTr="00F916C0">
        <w:tc>
          <w:tcPr>
            <w:tcW w:w="618" w:type="dxa"/>
            <w:vMerge/>
          </w:tcPr>
          <w:p w:rsidR="00FF75D1" w:rsidRDefault="00FF75D1" w:rsidP="00DC6480"/>
        </w:tc>
        <w:tc>
          <w:tcPr>
            <w:tcW w:w="2500" w:type="dxa"/>
            <w:vMerge/>
          </w:tcPr>
          <w:p w:rsidR="00FF75D1" w:rsidRPr="0052458A" w:rsidRDefault="00FF75D1" w:rsidP="00DC6480"/>
        </w:tc>
        <w:tc>
          <w:tcPr>
            <w:tcW w:w="5812" w:type="dxa"/>
            <w:gridSpan w:val="3"/>
          </w:tcPr>
          <w:p w:rsidR="00FF75D1" w:rsidRDefault="00FF75D1" w:rsidP="00DC6480">
            <w:r>
              <w:t>Год основания, направления деятельности:</w:t>
            </w:r>
          </w:p>
        </w:tc>
        <w:tc>
          <w:tcPr>
            <w:tcW w:w="6521" w:type="dxa"/>
          </w:tcPr>
          <w:p w:rsidR="00FF75D1" w:rsidRPr="002F4821" w:rsidRDefault="000D6EAD" w:rsidP="0080595A">
            <w:r>
              <w:t>1998 год, розничная и оптовая реализация нефтепродуктов</w:t>
            </w:r>
          </w:p>
        </w:tc>
      </w:tr>
      <w:tr w:rsidR="00FF75D1" w:rsidTr="00F916C0">
        <w:tc>
          <w:tcPr>
            <w:tcW w:w="618" w:type="dxa"/>
            <w:vMerge/>
          </w:tcPr>
          <w:p w:rsidR="00FF75D1" w:rsidRDefault="00FF75D1" w:rsidP="00DC6480"/>
        </w:tc>
        <w:tc>
          <w:tcPr>
            <w:tcW w:w="2500" w:type="dxa"/>
            <w:vMerge/>
          </w:tcPr>
          <w:p w:rsidR="00FF75D1" w:rsidRPr="0052458A" w:rsidRDefault="00FF75D1" w:rsidP="00DC6480"/>
        </w:tc>
        <w:tc>
          <w:tcPr>
            <w:tcW w:w="5812" w:type="dxa"/>
            <w:gridSpan w:val="3"/>
          </w:tcPr>
          <w:p w:rsidR="00FF75D1" w:rsidRDefault="00FF75D1" w:rsidP="00DC6480">
            <w:r>
              <w:t>Основные акционеры:</w:t>
            </w:r>
          </w:p>
        </w:tc>
        <w:tc>
          <w:tcPr>
            <w:tcW w:w="6521" w:type="dxa"/>
          </w:tcPr>
          <w:p w:rsidR="00FF75D1" w:rsidRPr="002F4821" w:rsidRDefault="000D6EAD" w:rsidP="00DC6480">
            <w:r>
              <w:t>-</w:t>
            </w:r>
          </w:p>
        </w:tc>
      </w:tr>
      <w:tr w:rsidR="00FF75D1" w:rsidTr="00F916C0">
        <w:tc>
          <w:tcPr>
            <w:tcW w:w="618" w:type="dxa"/>
            <w:vMerge/>
          </w:tcPr>
          <w:p w:rsidR="00FF75D1" w:rsidRDefault="00FF75D1" w:rsidP="00DC6480"/>
        </w:tc>
        <w:tc>
          <w:tcPr>
            <w:tcW w:w="2500" w:type="dxa"/>
            <w:vMerge/>
          </w:tcPr>
          <w:p w:rsidR="00FF75D1" w:rsidRPr="0052458A" w:rsidRDefault="00FF75D1" w:rsidP="00DC6480"/>
        </w:tc>
        <w:tc>
          <w:tcPr>
            <w:tcW w:w="5812" w:type="dxa"/>
            <w:gridSpan w:val="3"/>
          </w:tcPr>
          <w:p w:rsidR="00FF75D1" w:rsidRDefault="00FF75D1" w:rsidP="00DC6480">
            <w:r>
              <w:t>Уставной капитал:</w:t>
            </w:r>
          </w:p>
        </w:tc>
        <w:tc>
          <w:tcPr>
            <w:tcW w:w="6521" w:type="dxa"/>
          </w:tcPr>
          <w:p w:rsidR="00FF75D1" w:rsidRPr="002F4821" w:rsidRDefault="000D6EAD" w:rsidP="00DC6480">
            <w:r>
              <w:t>95 млн. рублей</w:t>
            </w:r>
          </w:p>
        </w:tc>
      </w:tr>
      <w:tr w:rsidR="00FF75D1" w:rsidTr="00F916C0">
        <w:trPr>
          <w:trHeight w:val="70"/>
        </w:trPr>
        <w:tc>
          <w:tcPr>
            <w:tcW w:w="618" w:type="dxa"/>
            <w:vMerge/>
          </w:tcPr>
          <w:p w:rsidR="00FF75D1" w:rsidRDefault="00FF75D1" w:rsidP="00DC6480"/>
        </w:tc>
        <w:tc>
          <w:tcPr>
            <w:tcW w:w="2500" w:type="dxa"/>
            <w:vMerge/>
          </w:tcPr>
          <w:p w:rsidR="00FF75D1" w:rsidRPr="0052458A" w:rsidRDefault="00FF75D1" w:rsidP="00DC6480"/>
        </w:tc>
        <w:tc>
          <w:tcPr>
            <w:tcW w:w="5812" w:type="dxa"/>
            <w:gridSpan w:val="3"/>
          </w:tcPr>
          <w:p w:rsidR="00FF75D1" w:rsidRDefault="002C2433" w:rsidP="00DC6480">
            <w:r>
              <w:t>Юридический/почтовый адрес</w:t>
            </w:r>
          </w:p>
        </w:tc>
        <w:tc>
          <w:tcPr>
            <w:tcW w:w="6521" w:type="dxa"/>
          </w:tcPr>
          <w:p w:rsidR="00FF75D1" w:rsidRPr="002F4821" w:rsidRDefault="0080595A" w:rsidP="0080595A">
            <w:r w:rsidRPr="002F4821">
              <w:t xml:space="preserve"> </w:t>
            </w:r>
            <w:r w:rsidR="000D6EAD">
              <w:t xml:space="preserve">677005, Республика Саха (Якутия), </w:t>
            </w:r>
            <w:proofErr w:type="spellStart"/>
            <w:r w:rsidR="000D6EAD">
              <w:t>ул.Курашова</w:t>
            </w:r>
            <w:proofErr w:type="spellEnd"/>
            <w:r w:rsidR="000D6EAD">
              <w:t>, дом 46</w:t>
            </w:r>
          </w:p>
        </w:tc>
      </w:tr>
      <w:tr w:rsidR="00FF75D1" w:rsidTr="00F916C0">
        <w:trPr>
          <w:trHeight w:val="70"/>
        </w:trPr>
        <w:tc>
          <w:tcPr>
            <w:tcW w:w="618" w:type="dxa"/>
            <w:vMerge/>
          </w:tcPr>
          <w:p w:rsidR="00FF75D1" w:rsidRDefault="00FF75D1" w:rsidP="00DC6480"/>
        </w:tc>
        <w:tc>
          <w:tcPr>
            <w:tcW w:w="2500" w:type="dxa"/>
            <w:vMerge/>
          </w:tcPr>
          <w:p w:rsidR="00FF75D1" w:rsidRPr="0052458A" w:rsidRDefault="00FF75D1" w:rsidP="00DC6480"/>
        </w:tc>
        <w:tc>
          <w:tcPr>
            <w:tcW w:w="5812" w:type="dxa"/>
            <w:gridSpan w:val="3"/>
          </w:tcPr>
          <w:p w:rsidR="00FF75D1" w:rsidRDefault="00FF75D1" w:rsidP="00DC6480">
            <w:r>
              <w:t>е-</w:t>
            </w:r>
            <w:r w:rsidRPr="00EE4C8B">
              <w:rPr>
                <w:lang w:val="en-US"/>
              </w:rPr>
              <w:t>mail</w:t>
            </w:r>
            <w:r>
              <w:t>, телефон:</w:t>
            </w:r>
          </w:p>
        </w:tc>
        <w:tc>
          <w:tcPr>
            <w:tcW w:w="6521" w:type="dxa"/>
          </w:tcPr>
          <w:p w:rsidR="00FF75D1" w:rsidRDefault="00B20AAC" w:rsidP="0001691F">
            <w:pPr>
              <w:rPr>
                <w:rStyle w:val="a3"/>
              </w:rPr>
            </w:pPr>
            <w:hyperlink r:id="rId6" w:history="1">
              <w:r w:rsidR="0001691F" w:rsidRPr="002C4180">
                <w:rPr>
                  <w:rStyle w:val="a3"/>
                </w:rPr>
                <w:t>tuymaada.neft@yandex.ru</w:t>
              </w:r>
            </w:hyperlink>
            <w:r w:rsidR="0001691F">
              <w:t xml:space="preserve"> </w:t>
            </w:r>
            <w:r w:rsidR="000D6EAD" w:rsidRPr="000D6EAD">
              <w:t xml:space="preserve"> </w:t>
            </w:r>
            <w:r w:rsidR="0001691F">
              <w:t xml:space="preserve"> </w:t>
            </w:r>
            <w:hyperlink r:id="rId7" w:history="1">
              <w:r w:rsidR="000D6EAD" w:rsidRPr="001B5E75">
                <w:rPr>
                  <w:rStyle w:val="a3"/>
                  <w:lang w:val="en-US"/>
                </w:rPr>
                <w:t>www</w:t>
              </w:r>
              <w:r w:rsidR="000D6EAD" w:rsidRPr="000D6EAD">
                <w:rPr>
                  <w:rStyle w:val="a3"/>
                </w:rPr>
                <w:t>.</w:t>
              </w:r>
              <w:proofErr w:type="spellStart"/>
              <w:r w:rsidR="000D6EAD" w:rsidRPr="001B5E75">
                <w:rPr>
                  <w:rStyle w:val="a3"/>
                  <w:lang w:val="en-US"/>
                </w:rPr>
                <w:t>tuneft</w:t>
              </w:r>
              <w:proofErr w:type="spellEnd"/>
              <w:r w:rsidR="000D6EAD" w:rsidRPr="000D6EAD">
                <w:rPr>
                  <w:rStyle w:val="a3"/>
                </w:rPr>
                <w:t>.</w:t>
              </w:r>
              <w:proofErr w:type="spellStart"/>
              <w:r w:rsidR="000D6EAD" w:rsidRPr="001B5E75">
                <w:rPr>
                  <w:rStyle w:val="a3"/>
                  <w:lang w:val="en-US"/>
                </w:rPr>
                <w:t>ru</w:t>
              </w:r>
              <w:proofErr w:type="spellEnd"/>
            </w:hyperlink>
            <w:r w:rsidR="00D71D4B">
              <w:rPr>
                <w:rStyle w:val="a3"/>
              </w:rPr>
              <w:t xml:space="preserve"> </w:t>
            </w:r>
          </w:p>
          <w:p w:rsidR="004235C4" w:rsidRPr="00D71D4B" w:rsidRDefault="004235C4" w:rsidP="0001691F">
            <w:r w:rsidRPr="00786EC1">
              <w:t>тел.: +7 4112 32 43 32</w:t>
            </w:r>
          </w:p>
        </w:tc>
      </w:tr>
      <w:tr w:rsidR="00FF75D1" w:rsidTr="00F916C0">
        <w:tc>
          <w:tcPr>
            <w:tcW w:w="618" w:type="dxa"/>
            <w:vMerge/>
          </w:tcPr>
          <w:p w:rsidR="00FF75D1" w:rsidRDefault="00FF75D1" w:rsidP="00DC6480"/>
        </w:tc>
        <w:tc>
          <w:tcPr>
            <w:tcW w:w="2500" w:type="dxa"/>
            <w:vMerge/>
          </w:tcPr>
          <w:p w:rsidR="00FF75D1" w:rsidRPr="0052458A" w:rsidRDefault="00FF75D1" w:rsidP="00DC6480"/>
        </w:tc>
        <w:tc>
          <w:tcPr>
            <w:tcW w:w="5812" w:type="dxa"/>
            <w:gridSpan w:val="3"/>
          </w:tcPr>
          <w:p w:rsidR="00FF75D1" w:rsidRDefault="00FF75D1" w:rsidP="00DC6480">
            <w:r>
              <w:t>Руководитель организации:</w:t>
            </w:r>
          </w:p>
        </w:tc>
        <w:tc>
          <w:tcPr>
            <w:tcW w:w="6521" w:type="dxa"/>
          </w:tcPr>
          <w:p w:rsidR="00FF75D1" w:rsidRPr="002F4821" w:rsidRDefault="000D6EAD" w:rsidP="00DC6480">
            <w:r>
              <w:t>Чепалов Степан Михайлович</w:t>
            </w:r>
          </w:p>
        </w:tc>
      </w:tr>
      <w:tr w:rsidR="00FF75D1" w:rsidTr="00DC6480">
        <w:tc>
          <w:tcPr>
            <w:tcW w:w="618" w:type="dxa"/>
          </w:tcPr>
          <w:p w:rsidR="00FF75D1" w:rsidRDefault="00FF75D1" w:rsidP="00DC6480">
            <w:r>
              <w:t>3.</w:t>
            </w:r>
          </w:p>
        </w:tc>
        <w:tc>
          <w:tcPr>
            <w:tcW w:w="8312" w:type="dxa"/>
            <w:gridSpan w:val="4"/>
          </w:tcPr>
          <w:p w:rsidR="00FF75D1" w:rsidRDefault="00FF75D1" w:rsidP="00DC6480">
            <w:r>
              <w:t xml:space="preserve">Место расположения </w:t>
            </w:r>
          </w:p>
        </w:tc>
        <w:tc>
          <w:tcPr>
            <w:tcW w:w="6521" w:type="dxa"/>
          </w:tcPr>
          <w:p w:rsidR="00053A0A" w:rsidRPr="000D6EAD" w:rsidRDefault="00775E0A" w:rsidP="00775E0A">
            <w:pPr>
              <w:jc w:val="both"/>
            </w:pPr>
            <w:r w:rsidRPr="000736A6">
              <w:rPr>
                <w:sz w:val="22"/>
                <w:szCs w:val="22"/>
              </w:rPr>
              <w:t>Западно-</w:t>
            </w:r>
            <w:proofErr w:type="spellStart"/>
            <w:r>
              <w:rPr>
                <w:sz w:val="22"/>
                <w:szCs w:val="22"/>
              </w:rPr>
              <w:t>Анабарский</w:t>
            </w:r>
            <w:proofErr w:type="spellEnd"/>
            <w:r>
              <w:rPr>
                <w:sz w:val="22"/>
                <w:szCs w:val="22"/>
              </w:rPr>
              <w:t xml:space="preserve"> лицензионный участок расположен в </w:t>
            </w:r>
            <w:proofErr w:type="spellStart"/>
            <w:r>
              <w:rPr>
                <w:sz w:val="22"/>
                <w:szCs w:val="22"/>
              </w:rPr>
              <w:t>Анабарском</w:t>
            </w:r>
            <w:proofErr w:type="spellEnd"/>
            <w:r w:rsidRPr="000736A6">
              <w:rPr>
                <w:sz w:val="22"/>
                <w:szCs w:val="22"/>
              </w:rPr>
              <w:t xml:space="preserve"> район</w:t>
            </w:r>
            <w:r>
              <w:rPr>
                <w:sz w:val="22"/>
                <w:szCs w:val="22"/>
              </w:rPr>
              <w:t>е Республики</w:t>
            </w:r>
            <w:r w:rsidRPr="000736A6">
              <w:rPr>
                <w:sz w:val="22"/>
                <w:szCs w:val="22"/>
              </w:rPr>
              <w:t xml:space="preserve"> Саха (Якутия)</w:t>
            </w:r>
            <w:r>
              <w:rPr>
                <w:sz w:val="22"/>
                <w:szCs w:val="22"/>
              </w:rPr>
              <w:t xml:space="preserve"> в</w:t>
            </w:r>
            <w:r w:rsidR="007A0849" w:rsidRPr="000736A6">
              <w:rPr>
                <w:sz w:val="22"/>
                <w:szCs w:val="22"/>
              </w:rPr>
              <w:t xml:space="preserve"> 8 км от бухты </w:t>
            </w:r>
            <w:proofErr w:type="spellStart"/>
            <w:r w:rsidR="007A0849" w:rsidRPr="000736A6">
              <w:rPr>
                <w:sz w:val="22"/>
                <w:szCs w:val="22"/>
              </w:rPr>
              <w:t>Нордвик</w:t>
            </w:r>
            <w:proofErr w:type="spellEnd"/>
            <w:r w:rsidR="007A0849" w:rsidRPr="000736A6">
              <w:rPr>
                <w:sz w:val="22"/>
                <w:szCs w:val="22"/>
              </w:rPr>
              <w:t xml:space="preserve"> моря Лаптевых</w:t>
            </w:r>
            <w:r w:rsidR="007A0849">
              <w:rPr>
                <w:sz w:val="22"/>
                <w:szCs w:val="22"/>
              </w:rPr>
              <w:t>. Расстояние до ближайшего населенного пункта (</w:t>
            </w:r>
            <w:r>
              <w:rPr>
                <w:sz w:val="22"/>
                <w:szCs w:val="22"/>
              </w:rPr>
              <w:t xml:space="preserve">п. </w:t>
            </w:r>
            <w:proofErr w:type="spellStart"/>
            <w:r w:rsidR="007A0849">
              <w:rPr>
                <w:sz w:val="22"/>
                <w:szCs w:val="22"/>
              </w:rPr>
              <w:t>Юрюнг-Хайа</w:t>
            </w:r>
            <w:proofErr w:type="spellEnd"/>
            <w:r w:rsidR="007A0849">
              <w:rPr>
                <w:sz w:val="22"/>
                <w:szCs w:val="22"/>
              </w:rPr>
              <w:t>) составляет 120 км. Расстояние</w:t>
            </w:r>
            <w:r w:rsidR="00B518BD">
              <w:rPr>
                <w:sz w:val="22"/>
                <w:szCs w:val="22"/>
              </w:rPr>
              <w:t xml:space="preserve"> до г. Якутска 1700 км.</w:t>
            </w:r>
            <w:r w:rsidR="007A0849">
              <w:rPr>
                <w:sz w:val="22"/>
                <w:szCs w:val="22"/>
              </w:rPr>
              <w:t xml:space="preserve"> </w:t>
            </w:r>
          </w:p>
        </w:tc>
      </w:tr>
      <w:tr w:rsidR="00A452B9" w:rsidTr="00F916C0">
        <w:trPr>
          <w:trHeight w:val="70"/>
        </w:trPr>
        <w:tc>
          <w:tcPr>
            <w:tcW w:w="618" w:type="dxa"/>
            <w:vMerge w:val="restart"/>
          </w:tcPr>
          <w:p w:rsidR="00A452B9" w:rsidRDefault="00A452B9" w:rsidP="00DC6480">
            <w:r>
              <w:t>4.</w:t>
            </w:r>
          </w:p>
        </w:tc>
        <w:tc>
          <w:tcPr>
            <w:tcW w:w="2500" w:type="dxa"/>
            <w:vMerge w:val="restart"/>
          </w:tcPr>
          <w:p w:rsidR="00A452B9" w:rsidRDefault="00A452B9" w:rsidP="00DC6480">
            <w:r>
              <w:t>Уровень готовности проекта</w:t>
            </w:r>
          </w:p>
        </w:tc>
        <w:tc>
          <w:tcPr>
            <w:tcW w:w="2127" w:type="dxa"/>
            <w:vMerge w:val="restart"/>
          </w:tcPr>
          <w:p w:rsidR="00A452B9" w:rsidRDefault="00A452B9" w:rsidP="00DC6480">
            <w:r>
              <w:t>Степень проработки проекта:</w:t>
            </w:r>
          </w:p>
        </w:tc>
        <w:tc>
          <w:tcPr>
            <w:tcW w:w="3685" w:type="dxa"/>
            <w:gridSpan w:val="2"/>
          </w:tcPr>
          <w:p w:rsidR="00A452B9" w:rsidRDefault="00A452B9" w:rsidP="00DC6480">
            <w:r>
              <w:t>Идея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Бизнес-план</w:t>
            </w:r>
          </w:p>
        </w:tc>
        <w:tc>
          <w:tcPr>
            <w:tcW w:w="6521" w:type="dxa"/>
          </w:tcPr>
          <w:p w:rsidR="00A452B9" w:rsidRPr="002F4821" w:rsidRDefault="0001691F" w:rsidP="00DC6480">
            <w:r>
              <w:t>Предварительные ТЭО</w:t>
            </w:r>
          </w:p>
        </w:tc>
      </w:tr>
      <w:tr w:rsidR="00A452B9" w:rsidTr="00F916C0">
        <w:trPr>
          <w:trHeight w:val="46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Научно-техническая документация</w:t>
            </w:r>
          </w:p>
        </w:tc>
        <w:tc>
          <w:tcPr>
            <w:tcW w:w="6521" w:type="dxa"/>
          </w:tcPr>
          <w:p w:rsidR="00A452B9" w:rsidRPr="002F4821" w:rsidRDefault="0001691F" w:rsidP="009F75C4">
            <w:pPr>
              <w:jc w:val="both"/>
            </w:pPr>
            <w:r>
              <w:t>Оперативный подсчет запасов нефти категории С1+С2 по Южно-</w:t>
            </w:r>
            <w:proofErr w:type="spellStart"/>
            <w:r>
              <w:t>Тигянско</w:t>
            </w:r>
            <w:r w:rsidR="00666298">
              <w:t>му</w:t>
            </w:r>
            <w:proofErr w:type="spellEnd"/>
            <w:r w:rsidR="00666298">
              <w:t xml:space="preserve"> </w:t>
            </w:r>
            <w:proofErr w:type="spellStart"/>
            <w:r w:rsidR="00666298">
              <w:t>нефтепроявлению</w:t>
            </w:r>
            <w:proofErr w:type="spellEnd"/>
            <w:r>
              <w:t xml:space="preserve"> (16 </w:t>
            </w:r>
            <w:proofErr w:type="spellStart"/>
            <w:r>
              <w:t>млн.тонн</w:t>
            </w:r>
            <w:proofErr w:type="spellEnd"/>
            <w:r>
              <w:t xml:space="preserve"> извлекаемые), оценка перспективных ресурсов</w:t>
            </w:r>
            <w:r w:rsidR="00666298">
              <w:t xml:space="preserve"> нефти</w:t>
            </w:r>
            <w:r>
              <w:t xml:space="preserve"> категории </w:t>
            </w:r>
            <w:r w:rsidR="00666298">
              <w:t xml:space="preserve">Д0 по </w:t>
            </w:r>
            <w:proofErr w:type="spellStart"/>
            <w:r w:rsidR="00666298">
              <w:t>Чайдахской</w:t>
            </w:r>
            <w:proofErr w:type="spellEnd"/>
            <w:r w:rsidR="00666298">
              <w:t>, Восточно-</w:t>
            </w:r>
            <w:proofErr w:type="spellStart"/>
            <w:r w:rsidR="00666298">
              <w:t>Гуримисской</w:t>
            </w:r>
            <w:proofErr w:type="spellEnd"/>
            <w:r w:rsidR="00666298">
              <w:t xml:space="preserve"> и Западно-</w:t>
            </w:r>
            <w:proofErr w:type="spellStart"/>
            <w:r w:rsidR="00666298">
              <w:t>Гуримисской</w:t>
            </w:r>
            <w:proofErr w:type="spellEnd"/>
            <w:r w:rsidR="00666298">
              <w:t xml:space="preserve"> локальным структурам (90 </w:t>
            </w:r>
            <w:proofErr w:type="spellStart"/>
            <w:r w:rsidR="00666298">
              <w:t>млн.тонн</w:t>
            </w:r>
            <w:proofErr w:type="spellEnd"/>
            <w:r w:rsidR="00666298">
              <w:t xml:space="preserve"> извлекаемые)</w:t>
            </w:r>
          </w:p>
        </w:tc>
      </w:tr>
      <w:tr w:rsidR="00A452B9" w:rsidTr="00F916C0">
        <w:trPr>
          <w:trHeight w:val="123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Проектно-сметная документация</w:t>
            </w:r>
          </w:p>
        </w:tc>
        <w:tc>
          <w:tcPr>
            <w:tcW w:w="6521" w:type="dxa"/>
          </w:tcPr>
          <w:p w:rsidR="00A452B9" w:rsidRPr="002F4821" w:rsidRDefault="00666298" w:rsidP="00DC6480">
            <w:r>
              <w:t>Проект геологического изучения Западно-</w:t>
            </w:r>
            <w:proofErr w:type="spellStart"/>
            <w:r>
              <w:t>Анабарского</w:t>
            </w:r>
            <w:proofErr w:type="spellEnd"/>
            <w:r>
              <w:t xml:space="preserve"> участка недр</w:t>
            </w:r>
          </w:p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Конструкторская документация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Подготовка производства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Серийное производство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Опытный образец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127" w:type="dxa"/>
            <w:vMerge/>
          </w:tcPr>
          <w:p w:rsidR="00A452B9" w:rsidRDefault="00A452B9" w:rsidP="00DC6480"/>
        </w:tc>
        <w:tc>
          <w:tcPr>
            <w:tcW w:w="3685" w:type="dxa"/>
            <w:gridSpan w:val="2"/>
          </w:tcPr>
          <w:p w:rsidR="00A452B9" w:rsidRDefault="00A452B9" w:rsidP="00DC6480">
            <w:r>
              <w:t>Другое</w:t>
            </w:r>
          </w:p>
        </w:tc>
        <w:tc>
          <w:tcPr>
            <w:tcW w:w="6521" w:type="dxa"/>
          </w:tcPr>
          <w:p w:rsidR="00A452B9" w:rsidRPr="002F4821" w:rsidRDefault="007F3CB7" w:rsidP="009F75C4">
            <w:pPr>
              <w:jc w:val="both"/>
            </w:pPr>
            <w:r>
              <w:t>Проведены сейсморазведочные работы</w:t>
            </w:r>
            <w:r w:rsidR="00666298">
              <w:t xml:space="preserve"> 2Д в объеме 431пог.км; ранее осуществлялась пробная эксплуатация скважины </w:t>
            </w:r>
            <w:r w:rsidR="004235C4">
              <w:t xml:space="preserve">№ </w:t>
            </w:r>
            <w:r w:rsidR="00666298">
              <w:t>102-р на Южно-</w:t>
            </w:r>
            <w:proofErr w:type="spellStart"/>
            <w:r w:rsidR="00666298">
              <w:t>Тигянском</w:t>
            </w:r>
            <w:proofErr w:type="spellEnd"/>
            <w:r w:rsidR="00666298">
              <w:t xml:space="preserve"> </w:t>
            </w:r>
            <w:proofErr w:type="spellStart"/>
            <w:r w:rsidR="00666298">
              <w:t>нефтепроявлении</w:t>
            </w:r>
            <w:proofErr w:type="spellEnd"/>
            <w:r w:rsidR="00666298">
              <w:t xml:space="preserve"> (добыто порядка 2</w:t>
            </w:r>
            <w:r w:rsidR="0081269D">
              <w:t xml:space="preserve"> </w:t>
            </w:r>
            <w:proofErr w:type="spellStart"/>
            <w:r w:rsidR="00666298">
              <w:t>тыс.тонн</w:t>
            </w:r>
            <w:proofErr w:type="spellEnd"/>
            <w:r w:rsidR="00666298">
              <w:t xml:space="preserve"> нефти)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F916C0">
            <w:r>
              <w:t xml:space="preserve">Наличие земельного участка и/или объекта </w:t>
            </w:r>
            <w:r w:rsidR="00F916C0">
              <w:t>н</w:t>
            </w:r>
            <w:r>
              <w:t>едвижимости:</w:t>
            </w:r>
          </w:p>
        </w:tc>
        <w:tc>
          <w:tcPr>
            <w:tcW w:w="6521" w:type="dxa"/>
          </w:tcPr>
          <w:p w:rsidR="00A452B9" w:rsidRPr="002F4821" w:rsidRDefault="00F621E7" w:rsidP="009F75C4">
            <w:pPr>
              <w:jc w:val="both"/>
            </w:pPr>
            <w:r>
              <w:t>Участок площадью 1564</w:t>
            </w:r>
            <w:r w:rsidR="007F3CB7">
              <w:t xml:space="preserve"> </w:t>
            </w:r>
            <w:proofErr w:type="spellStart"/>
            <w:r w:rsidR="007F3CB7">
              <w:t>кв.км</w:t>
            </w:r>
            <w:proofErr w:type="spellEnd"/>
            <w:r w:rsidR="007F3CB7">
              <w:t xml:space="preserve">. выделен для </w:t>
            </w:r>
            <w:r w:rsidR="00CE66E1">
              <w:t>проведения поисковых, разведочных работ и добычи углеводородного сырья до 2033 года.</w:t>
            </w:r>
          </w:p>
        </w:tc>
      </w:tr>
      <w:tr w:rsidR="00C76B2A" w:rsidTr="00F916C0">
        <w:tc>
          <w:tcPr>
            <w:tcW w:w="618" w:type="dxa"/>
            <w:vMerge w:val="restart"/>
          </w:tcPr>
          <w:p w:rsidR="00C76B2A" w:rsidRDefault="00C76B2A" w:rsidP="00DC6480">
            <w:r>
              <w:lastRenderedPageBreak/>
              <w:t>5.</w:t>
            </w:r>
          </w:p>
        </w:tc>
        <w:tc>
          <w:tcPr>
            <w:tcW w:w="2500" w:type="dxa"/>
            <w:vMerge w:val="restart"/>
          </w:tcPr>
          <w:p w:rsidR="00C76B2A" w:rsidRDefault="00C76B2A" w:rsidP="00DC6480">
            <w:r>
              <w:t>Общая стоимость, источники финансирования проекта</w:t>
            </w:r>
          </w:p>
        </w:tc>
        <w:tc>
          <w:tcPr>
            <w:tcW w:w="5812" w:type="dxa"/>
            <w:gridSpan w:val="3"/>
          </w:tcPr>
          <w:p w:rsidR="00C76B2A" w:rsidRDefault="00C76B2A" w:rsidP="00DC6480">
            <w:r>
              <w:t>Общая стоимость проекта</w:t>
            </w:r>
          </w:p>
        </w:tc>
        <w:tc>
          <w:tcPr>
            <w:tcW w:w="6521" w:type="dxa"/>
          </w:tcPr>
          <w:p w:rsidR="00A779BD" w:rsidRPr="00A779BD" w:rsidRDefault="00F621E7" w:rsidP="0081269D">
            <w:pPr>
              <w:rPr>
                <w:b/>
                <w:bCs/>
              </w:rPr>
            </w:pPr>
            <w:r>
              <w:rPr>
                <w:b/>
                <w:bCs/>
              </w:rPr>
              <w:t>364,7</w:t>
            </w:r>
            <w:r w:rsidR="00CE66E1">
              <w:rPr>
                <w:b/>
                <w:bCs/>
              </w:rPr>
              <w:t xml:space="preserve"> млрд рублей</w:t>
            </w:r>
          </w:p>
        </w:tc>
      </w:tr>
      <w:tr w:rsidR="00C76B2A" w:rsidTr="00F916C0">
        <w:tc>
          <w:tcPr>
            <w:tcW w:w="618" w:type="dxa"/>
            <w:vMerge/>
          </w:tcPr>
          <w:p w:rsidR="00C76B2A" w:rsidRDefault="00C76B2A" w:rsidP="00DC6480"/>
        </w:tc>
        <w:tc>
          <w:tcPr>
            <w:tcW w:w="2500" w:type="dxa"/>
            <w:vMerge/>
          </w:tcPr>
          <w:p w:rsidR="00C76B2A" w:rsidRDefault="00C76B2A" w:rsidP="00DC6480"/>
        </w:tc>
        <w:tc>
          <w:tcPr>
            <w:tcW w:w="5812" w:type="dxa"/>
            <w:gridSpan w:val="3"/>
          </w:tcPr>
          <w:p w:rsidR="00C76B2A" w:rsidRPr="00CB7CF6" w:rsidRDefault="00C76B2A" w:rsidP="00DC6480">
            <w:r>
              <w:t>Объем с</w:t>
            </w:r>
            <w:r w:rsidRPr="00CB7CF6">
              <w:t>обственны</w:t>
            </w:r>
            <w:r>
              <w:t>х вкладываемых средств:</w:t>
            </w:r>
          </w:p>
        </w:tc>
        <w:tc>
          <w:tcPr>
            <w:tcW w:w="6521" w:type="dxa"/>
          </w:tcPr>
          <w:p w:rsidR="00C76B2A" w:rsidRPr="002F4821" w:rsidRDefault="00CE66E1" w:rsidP="0081269D">
            <w:r>
              <w:t>300 млн рублей</w:t>
            </w:r>
          </w:p>
        </w:tc>
      </w:tr>
      <w:tr w:rsidR="00C76B2A" w:rsidTr="00F916C0">
        <w:tc>
          <w:tcPr>
            <w:tcW w:w="618" w:type="dxa"/>
            <w:vMerge/>
          </w:tcPr>
          <w:p w:rsidR="00C76B2A" w:rsidRDefault="00C76B2A" w:rsidP="00DC6480"/>
        </w:tc>
        <w:tc>
          <w:tcPr>
            <w:tcW w:w="2500" w:type="dxa"/>
            <w:vMerge/>
          </w:tcPr>
          <w:p w:rsidR="00C76B2A" w:rsidRDefault="00C76B2A" w:rsidP="00DC6480"/>
        </w:tc>
        <w:tc>
          <w:tcPr>
            <w:tcW w:w="5812" w:type="dxa"/>
            <w:gridSpan w:val="3"/>
          </w:tcPr>
          <w:p w:rsidR="00C76B2A" w:rsidRPr="00CB7CF6" w:rsidRDefault="00C76B2A" w:rsidP="00DC6480">
            <w:r>
              <w:t>Курс валюты на дату составления паспорта</w:t>
            </w:r>
          </w:p>
        </w:tc>
        <w:tc>
          <w:tcPr>
            <w:tcW w:w="6521" w:type="dxa"/>
          </w:tcPr>
          <w:p w:rsidR="00C76B2A" w:rsidRPr="00CE66E1" w:rsidRDefault="00CE66E1" w:rsidP="00A779BD">
            <w:pPr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eastAsia="zh-CN"/>
              </w:rPr>
              <w:t>60 рублей/</w:t>
            </w:r>
            <w:r>
              <w:rPr>
                <w:rFonts w:eastAsia="SimSun"/>
                <w:lang w:val="en-US" w:eastAsia="zh-CN"/>
              </w:rPr>
              <w:t>USD</w:t>
            </w:r>
          </w:p>
        </w:tc>
      </w:tr>
      <w:tr w:rsidR="00A452B9" w:rsidTr="00DC6480">
        <w:tc>
          <w:tcPr>
            <w:tcW w:w="618" w:type="dxa"/>
          </w:tcPr>
          <w:p w:rsidR="00A452B9" w:rsidRDefault="00A452B9" w:rsidP="00DC6480">
            <w:r>
              <w:t>6.</w:t>
            </w:r>
          </w:p>
        </w:tc>
        <w:tc>
          <w:tcPr>
            <w:tcW w:w="8312" w:type="dxa"/>
            <w:gridSpan w:val="4"/>
          </w:tcPr>
          <w:p w:rsidR="00A452B9" w:rsidRPr="00CB7CF6" w:rsidRDefault="00A452B9" w:rsidP="00DC6480">
            <w:r>
              <w:t>Требуемый объем инвестиций</w:t>
            </w:r>
          </w:p>
        </w:tc>
        <w:tc>
          <w:tcPr>
            <w:tcW w:w="6521" w:type="dxa"/>
          </w:tcPr>
          <w:p w:rsidR="00A452B9" w:rsidRPr="00CE66E1" w:rsidRDefault="00F621E7" w:rsidP="0081269D">
            <w:r>
              <w:t>364,0</w:t>
            </w:r>
            <w:r w:rsidR="00CE66E1">
              <w:t xml:space="preserve"> млрд рублей</w:t>
            </w:r>
          </w:p>
        </w:tc>
      </w:tr>
      <w:tr w:rsidR="00C76B2A" w:rsidTr="00F916C0">
        <w:tc>
          <w:tcPr>
            <w:tcW w:w="618" w:type="dxa"/>
            <w:vMerge w:val="restart"/>
          </w:tcPr>
          <w:p w:rsidR="00C76B2A" w:rsidRDefault="00C76B2A" w:rsidP="00DC6480">
            <w:r>
              <w:t>7.</w:t>
            </w:r>
          </w:p>
        </w:tc>
        <w:tc>
          <w:tcPr>
            <w:tcW w:w="2500" w:type="dxa"/>
            <w:vMerge w:val="restart"/>
          </w:tcPr>
          <w:p w:rsidR="00C76B2A" w:rsidRDefault="00C76B2A" w:rsidP="00DC6480">
            <w:r w:rsidRPr="0017614E">
              <w:t>Форма участия инвестора</w:t>
            </w:r>
          </w:p>
        </w:tc>
        <w:tc>
          <w:tcPr>
            <w:tcW w:w="2410" w:type="dxa"/>
            <w:gridSpan w:val="2"/>
            <w:vMerge w:val="restart"/>
          </w:tcPr>
          <w:p w:rsidR="00C76B2A" w:rsidRDefault="00C76B2A" w:rsidP="00DC6480">
            <w:r>
              <w:t>Со инвестирование</w:t>
            </w:r>
          </w:p>
        </w:tc>
        <w:tc>
          <w:tcPr>
            <w:tcW w:w="3402" w:type="dxa"/>
          </w:tcPr>
          <w:p w:rsidR="00C76B2A" w:rsidRDefault="00C76B2A" w:rsidP="00DC6480">
            <w:r>
              <w:t>С правом управления</w:t>
            </w:r>
          </w:p>
        </w:tc>
        <w:tc>
          <w:tcPr>
            <w:tcW w:w="6521" w:type="dxa"/>
          </w:tcPr>
          <w:p w:rsidR="00C76B2A" w:rsidRPr="002F4821" w:rsidRDefault="00CE66E1" w:rsidP="00DC6480">
            <w:r>
              <w:t>Да</w:t>
            </w:r>
          </w:p>
        </w:tc>
      </w:tr>
      <w:tr w:rsidR="00C76B2A" w:rsidTr="00F916C0">
        <w:tc>
          <w:tcPr>
            <w:tcW w:w="618" w:type="dxa"/>
            <w:vMerge/>
          </w:tcPr>
          <w:p w:rsidR="00C76B2A" w:rsidRDefault="00C76B2A" w:rsidP="00DC6480"/>
        </w:tc>
        <w:tc>
          <w:tcPr>
            <w:tcW w:w="2500" w:type="dxa"/>
            <w:vMerge/>
          </w:tcPr>
          <w:p w:rsidR="00C76B2A" w:rsidRDefault="00C76B2A" w:rsidP="00DC6480"/>
        </w:tc>
        <w:tc>
          <w:tcPr>
            <w:tcW w:w="2410" w:type="dxa"/>
            <w:gridSpan w:val="2"/>
            <w:vMerge/>
          </w:tcPr>
          <w:p w:rsidR="00C76B2A" w:rsidRDefault="00C76B2A" w:rsidP="00DC6480"/>
        </w:tc>
        <w:tc>
          <w:tcPr>
            <w:tcW w:w="3402" w:type="dxa"/>
          </w:tcPr>
          <w:p w:rsidR="00C76B2A" w:rsidRDefault="00C76B2A" w:rsidP="00DC6480">
            <w:r>
              <w:t>Без права управления</w:t>
            </w:r>
          </w:p>
        </w:tc>
        <w:tc>
          <w:tcPr>
            <w:tcW w:w="6521" w:type="dxa"/>
          </w:tcPr>
          <w:p w:rsidR="00C76B2A" w:rsidRPr="002F4821" w:rsidRDefault="00CE66E1" w:rsidP="00DC6480">
            <w:r>
              <w:t>-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410" w:type="dxa"/>
            <w:gridSpan w:val="2"/>
            <w:vMerge w:val="restart"/>
          </w:tcPr>
          <w:p w:rsidR="00A452B9" w:rsidRDefault="00A452B9" w:rsidP="00DC6480">
            <w:pPr>
              <w:tabs>
                <w:tab w:val="left" w:pos="3885"/>
              </w:tabs>
            </w:pPr>
            <w:r>
              <w:t>Заемное финансирование</w:t>
            </w:r>
          </w:p>
        </w:tc>
        <w:tc>
          <w:tcPr>
            <w:tcW w:w="3402" w:type="dxa"/>
          </w:tcPr>
          <w:p w:rsidR="00A452B9" w:rsidRDefault="00A452B9" w:rsidP="00DC6480">
            <w:pPr>
              <w:tabs>
                <w:tab w:val="left" w:pos="3885"/>
              </w:tabs>
            </w:pPr>
            <w:r>
              <w:t>Кредит</w:t>
            </w:r>
          </w:p>
        </w:tc>
        <w:tc>
          <w:tcPr>
            <w:tcW w:w="6521" w:type="dxa"/>
          </w:tcPr>
          <w:p w:rsidR="00A452B9" w:rsidRPr="002F4821" w:rsidRDefault="00CE66E1" w:rsidP="00DC6480">
            <w:pPr>
              <w:tabs>
                <w:tab w:val="left" w:pos="3885"/>
              </w:tabs>
            </w:pPr>
            <w:r>
              <w:t>-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2410" w:type="dxa"/>
            <w:gridSpan w:val="2"/>
            <w:vMerge/>
          </w:tcPr>
          <w:p w:rsidR="00A452B9" w:rsidRDefault="00A452B9" w:rsidP="00DC6480">
            <w:pPr>
              <w:tabs>
                <w:tab w:val="left" w:pos="3885"/>
              </w:tabs>
            </w:pPr>
          </w:p>
        </w:tc>
        <w:tc>
          <w:tcPr>
            <w:tcW w:w="3402" w:type="dxa"/>
          </w:tcPr>
          <w:p w:rsidR="00A452B9" w:rsidRDefault="00A452B9" w:rsidP="00DC6480">
            <w:pPr>
              <w:tabs>
                <w:tab w:val="left" w:pos="3885"/>
              </w:tabs>
            </w:pPr>
            <w:r>
              <w:t>Лизинг</w:t>
            </w:r>
          </w:p>
        </w:tc>
        <w:tc>
          <w:tcPr>
            <w:tcW w:w="6521" w:type="dxa"/>
          </w:tcPr>
          <w:p w:rsidR="00A452B9" w:rsidRPr="002F4821" w:rsidRDefault="00CE66E1" w:rsidP="00DC6480">
            <w:pPr>
              <w:tabs>
                <w:tab w:val="left" w:pos="3885"/>
              </w:tabs>
            </w:pPr>
            <w:r>
              <w:t>-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Портфельное финансирование (менее 10% акций, без права управления)</w:t>
            </w:r>
          </w:p>
        </w:tc>
        <w:tc>
          <w:tcPr>
            <w:tcW w:w="6521" w:type="dxa"/>
          </w:tcPr>
          <w:p w:rsidR="00A452B9" w:rsidRPr="002F4821" w:rsidRDefault="00CE66E1" w:rsidP="00DC6480">
            <w:r>
              <w:t>-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Другое (указать что именно)</w:t>
            </w:r>
          </w:p>
        </w:tc>
        <w:tc>
          <w:tcPr>
            <w:tcW w:w="6521" w:type="dxa"/>
          </w:tcPr>
          <w:p w:rsidR="00A452B9" w:rsidRPr="002F4821" w:rsidRDefault="00CE66E1" w:rsidP="009D7277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Инвестор</w:t>
            </w:r>
          </w:p>
        </w:tc>
      </w:tr>
      <w:tr w:rsidR="00A452B9" w:rsidTr="00F916C0">
        <w:tc>
          <w:tcPr>
            <w:tcW w:w="618" w:type="dxa"/>
            <w:vMerge w:val="restart"/>
          </w:tcPr>
          <w:p w:rsidR="00A452B9" w:rsidRDefault="00A452B9" w:rsidP="00DC6480">
            <w:r>
              <w:t>8.</w:t>
            </w:r>
          </w:p>
        </w:tc>
        <w:tc>
          <w:tcPr>
            <w:tcW w:w="2500" w:type="dxa"/>
            <w:vMerge w:val="restart"/>
          </w:tcPr>
          <w:p w:rsidR="00A452B9" w:rsidRDefault="00A452B9" w:rsidP="00DC6480">
            <w:r>
              <w:t>Срок и гарантии возврата инвестиций</w:t>
            </w:r>
          </w:p>
        </w:tc>
        <w:tc>
          <w:tcPr>
            <w:tcW w:w="5812" w:type="dxa"/>
            <w:gridSpan w:val="3"/>
          </w:tcPr>
          <w:p w:rsidR="00A452B9" w:rsidRPr="00CB7CF6" w:rsidRDefault="00A452B9" w:rsidP="00DC6480">
            <w:r>
              <w:t>Срок возврата инвестиций</w:t>
            </w:r>
          </w:p>
        </w:tc>
        <w:tc>
          <w:tcPr>
            <w:tcW w:w="6521" w:type="dxa"/>
          </w:tcPr>
          <w:p w:rsidR="00A452B9" w:rsidRPr="002F4821" w:rsidRDefault="00F621E7" w:rsidP="00F621E7">
            <w:r>
              <w:t>С начала пробной эксплуатации первой нефтяной скважины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B7CF6" w:rsidRDefault="00A452B9" w:rsidP="00DC6480">
            <w:r>
              <w:t>Передача прав на управление предприятием (да/нет)</w:t>
            </w:r>
          </w:p>
        </w:tc>
        <w:tc>
          <w:tcPr>
            <w:tcW w:w="6521" w:type="dxa"/>
          </w:tcPr>
          <w:p w:rsidR="00A452B9" w:rsidRPr="002F4821" w:rsidRDefault="00CE66E1" w:rsidP="00DC6480">
            <w:r>
              <w:t>Мажоритарное управление</w:t>
            </w:r>
          </w:p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B7CF6" w:rsidRDefault="00A452B9" w:rsidP="00DC6480">
            <w:r>
              <w:t>Гарантия залога основных средств (да/нет)</w:t>
            </w:r>
          </w:p>
        </w:tc>
        <w:tc>
          <w:tcPr>
            <w:tcW w:w="6521" w:type="dxa"/>
          </w:tcPr>
          <w:p w:rsidR="00A452B9" w:rsidRPr="002F4821" w:rsidRDefault="00CE66E1" w:rsidP="00DC6480">
            <w:r>
              <w:t>Нет</w:t>
            </w:r>
          </w:p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Гарантия залога землей (да/нет)</w:t>
            </w:r>
          </w:p>
        </w:tc>
        <w:tc>
          <w:tcPr>
            <w:tcW w:w="6521" w:type="dxa"/>
          </w:tcPr>
          <w:p w:rsidR="00A452B9" w:rsidRPr="002F4821" w:rsidRDefault="00CE66E1" w:rsidP="00DC6480">
            <w:r>
              <w:t>Нет</w:t>
            </w:r>
          </w:p>
        </w:tc>
      </w:tr>
      <w:tr w:rsidR="00A452B9" w:rsidTr="00F916C0">
        <w:trPr>
          <w:trHeight w:val="7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Ценные бумаги (да/нет)</w:t>
            </w:r>
          </w:p>
        </w:tc>
        <w:tc>
          <w:tcPr>
            <w:tcW w:w="6521" w:type="dxa"/>
          </w:tcPr>
          <w:p w:rsidR="00A452B9" w:rsidRPr="002F4821" w:rsidRDefault="00CE66E1" w:rsidP="00DC6480">
            <w:r>
              <w:t>Нет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B7CF6" w:rsidRDefault="00A452B9" w:rsidP="00DC6480">
            <w:r>
              <w:t>Другое (что именно)</w:t>
            </w:r>
          </w:p>
        </w:tc>
        <w:tc>
          <w:tcPr>
            <w:tcW w:w="6521" w:type="dxa"/>
          </w:tcPr>
          <w:p w:rsidR="00A452B9" w:rsidRPr="002F4821" w:rsidRDefault="00CE66E1" w:rsidP="00DC648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</w:tr>
      <w:tr w:rsidR="00A452B9" w:rsidTr="00F916C0">
        <w:tc>
          <w:tcPr>
            <w:tcW w:w="618" w:type="dxa"/>
            <w:vMerge w:val="restart"/>
          </w:tcPr>
          <w:p w:rsidR="00A452B9" w:rsidRDefault="0096314D" w:rsidP="0096314D">
            <w:r>
              <w:t>9</w:t>
            </w:r>
            <w:r w:rsidR="00A452B9">
              <w:t>.</w:t>
            </w:r>
          </w:p>
        </w:tc>
        <w:tc>
          <w:tcPr>
            <w:tcW w:w="2500" w:type="dxa"/>
            <w:vMerge w:val="restart"/>
          </w:tcPr>
          <w:p w:rsidR="00A452B9" w:rsidRDefault="00A452B9" w:rsidP="00DC6480">
            <w:r>
              <w:t xml:space="preserve">Показатели эффективности проекта </w:t>
            </w:r>
          </w:p>
        </w:tc>
        <w:tc>
          <w:tcPr>
            <w:tcW w:w="5812" w:type="dxa"/>
            <w:gridSpan w:val="3"/>
          </w:tcPr>
          <w:p w:rsidR="00A452B9" w:rsidRPr="00CB7CF6" w:rsidRDefault="00A452B9" w:rsidP="00DC6480">
            <w:r>
              <w:t>Ставка дисконтирования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C2BC7" w:rsidRDefault="00A452B9" w:rsidP="00DC6480">
            <w:r>
              <w:t>Период окупаемости</w:t>
            </w:r>
            <w:r>
              <w:rPr>
                <w:lang w:val="en-US"/>
              </w:rPr>
              <w:t xml:space="preserve"> (PB)</w:t>
            </w:r>
          </w:p>
        </w:tc>
        <w:tc>
          <w:tcPr>
            <w:tcW w:w="6521" w:type="dxa"/>
          </w:tcPr>
          <w:p w:rsidR="00A452B9" w:rsidRPr="002F4821" w:rsidRDefault="00517024" w:rsidP="00DC6480">
            <w:r>
              <w:t>11 лет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C2BC7" w:rsidRDefault="00A452B9" w:rsidP="00DC6480">
            <w:pPr>
              <w:rPr>
                <w:lang w:val="en-US"/>
              </w:rPr>
            </w:pPr>
            <w:r>
              <w:t>Дисконтированный период окупаемости (</w:t>
            </w:r>
            <w:r>
              <w:rPr>
                <w:lang w:val="en-US"/>
              </w:rPr>
              <w:t>DPB)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B7CF6" w:rsidRDefault="00A452B9" w:rsidP="00DC6480">
            <w:r w:rsidRPr="00CB7CF6">
              <w:t>Чистый дисконтированный доход (</w:t>
            </w:r>
            <w:r w:rsidRPr="00CB7CF6">
              <w:rPr>
                <w:lang w:val="en-US"/>
              </w:rPr>
              <w:t>NPV</w:t>
            </w:r>
            <w:r w:rsidRPr="00CB7CF6">
              <w:t>)</w:t>
            </w:r>
            <w:r>
              <w:t>:</w:t>
            </w:r>
          </w:p>
        </w:tc>
        <w:tc>
          <w:tcPr>
            <w:tcW w:w="6521" w:type="dxa"/>
          </w:tcPr>
          <w:p w:rsidR="00A452B9" w:rsidRPr="002F4821" w:rsidRDefault="00517024" w:rsidP="00DC6480">
            <w:r>
              <w:t>132 млрд. рублей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B7CF6" w:rsidRDefault="00A452B9" w:rsidP="00DC6480">
            <w:r w:rsidRPr="00CB7CF6">
              <w:t>Внутр</w:t>
            </w:r>
            <w:r>
              <w:t>енняя норма доходности (</w:t>
            </w:r>
            <w:r w:rsidRPr="00CB7CF6">
              <w:rPr>
                <w:lang w:val="en-US"/>
              </w:rPr>
              <w:t>IRR</w:t>
            </w:r>
            <w:r w:rsidRPr="00CB7CF6">
              <w:t>)</w:t>
            </w:r>
            <w:r>
              <w:t>:</w:t>
            </w:r>
          </w:p>
        </w:tc>
        <w:tc>
          <w:tcPr>
            <w:tcW w:w="6521" w:type="dxa"/>
          </w:tcPr>
          <w:p w:rsidR="00A452B9" w:rsidRPr="002F4821" w:rsidRDefault="00517024" w:rsidP="00DC6480">
            <w:r>
              <w:t>24</w:t>
            </w:r>
            <w:r w:rsidR="00F621E7">
              <w:t xml:space="preserve">, 35 </w:t>
            </w:r>
            <w:r>
              <w:t>%</w:t>
            </w:r>
          </w:p>
        </w:tc>
      </w:tr>
      <w:tr w:rsidR="00A452B9" w:rsidTr="00DC6480">
        <w:tc>
          <w:tcPr>
            <w:tcW w:w="618" w:type="dxa"/>
          </w:tcPr>
          <w:p w:rsidR="00A452B9" w:rsidRDefault="00A452B9" w:rsidP="0096314D">
            <w:r>
              <w:t>1</w:t>
            </w:r>
            <w:r w:rsidR="0096314D">
              <w:t>0</w:t>
            </w:r>
            <w:r>
              <w:t>.</w:t>
            </w:r>
          </w:p>
        </w:tc>
        <w:tc>
          <w:tcPr>
            <w:tcW w:w="8312" w:type="dxa"/>
            <w:gridSpan w:val="4"/>
          </w:tcPr>
          <w:p w:rsidR="00A452B9" w:rsidRPr="00CB7CF6" w:rsidRDefault="00A452B9" w:rsidP="00DC6480">
            <w:r>
              <w:t>Формы государственной поддержки проекту</w:t>
            </w:r>
          </w:p>
        </w:tc>
        <w:tc>
          <w:tcPr>
            <w:tcW w:w="6521" w:type="dxa"/>
          </w:tcPr>
          <w:p w:rsidR="00A452B9" w:rsidRPr="002F4821" w:rsidRDefault="00F621E7" w:rsidP="0096522A">
            <w:pPr>
              <w:jc w:val="both"/>
            </w:pPr>
            <w:r>
              <w:t xml:space="preserve">Логистика проекта связана с развитием Северного морского пути (СМП) и подключением к трубопроводной системе ВСТО и Западной Сибири. СМП предусмотрено государственные программы Арктической зоны и рядом других федеральных инициатив. </w:t>
            </w:r>
            <w:r w:rsidR="0096522A">
              <w:rPr>
                <w:sz w:val="22"/>
                <w:szCs w:val="22"/>
              </w:rPr>
              <w:t xml:space="preserve">Создание транспортной и энергетической инфраструктуры. </w:t>
            </w:r>
            <w:r>
              <w:t>Возможно создание территории опережающего развития (ТОР)</w:t>
            </w:r>
            <w:r w:rsidR="00F06AE9">
              <w:t xml:space="preserve">. </w:t>
            </w:r>
          </w:p>
        </w:tc>
      </w:tr>
      <w:tr w:rsidR="00A452B9" w:rsidTr="00F916C0">
        <w:trPr>
          <w:trHeight w:val="240"/>
        </w:trPr>
        <w:tc>
          <w:tcPr>
            <w:tcW w:w="618" w:type="dxa"/>
            <w:vMerge w:val="restart"/>
          </w:tcPr>
          <w:p w:rsidR="00A452B9" w:rsidRDefault="0096314D" w:rsidP="00DC6480">
            <w:r>
              <w:t>11</w:t>
            </w:r>
            <w:r w:rsidR="00A452B9">
              <w:t>.</w:t>
            </w:r>
          </w:p>
        </w:tc>
        <w:tc>
          <w:tcPr>
            <w:tcW w:w="2500" w:type="dxa"/>
            <w:vMerge w:val="restart"/>
          </w:tcPr>
          <w:p w:rsidR="00A452B9" w:rsidRDefault="00A452B9" w:rsidP="00DC6480">
            <w:r>
              <w:t xml:space="preserve">Информация о транспортных коммуникациях </w:t>
            </w:r>
          </w:p>
        </w:tc>
        <w:tc>
          <w:tcPr>
            <w:tcW w:w="5812" w:type="dxa"/>
            <w:gridSpan w:val="3"/>
          </w:tcPr>
          <w:p w:rsidR="00A452B9" w:rsidRDefault="00A452B9" w:rsidP="00DC6480">
            <w:r>
              <w:t>Автомобильное сообщение (тип дороги, покрытие, протяженность и т.д.)</w:t>
            </w:r>
          </w:p>
        </w:tc>
        <w:tc>
          <w:tcPr>
            <w:tcW w:w="6521" w:type="dxa"/>
          </w:tcPr>
          <w:p w:rsidR="00A452B9" w:rsidRPr="002F4821" w:rsidRDefault="00517024" w:rsidP="007A0849">
            <w:pPr>
              <w:jc w:val="both"/>
            </w:pPr>
            <w:r>
              <w:t>Автозимник, грунтовое покрытие, расстояние от ближайшего населенного пункта 150 км.</w:t>
            </w:r>
            <w:r w:rsidR="007A0849">
              <w:t xml:space="preserve"> </w:t>
            </w:r>
          </w:p>
        </w:tc>
      </w:tr>
      <w:tr w:rsidR="00A452B9" w:rsidTr="00F916C0">
        <w:trPr>
          <w:trHeight w:val="24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Ж/д сообщение (тип, протяженность, ближайшая станция и т.д.)</w:t>
            </w:r>
          </w:p>
        </w:tc>
        <w:tc>
          <w:tcPr>
            <w:tcW w:w="6521" w:type="dxa"/>
          </w:tcPr>
          <w:p w:rsidR="00A452B9" w:rsidRPr="0081269D" w:rsidRDefault="0081269D" w:rsidP="007236B3">
            <w:r w:rsidRPr="0081269D">
              <w:t>1700 км (Нижний Бестях)</w:t>
            </w:r>
          </w:p>
        </w:tc>
      </w:tr>
      <w:tr w:rsidR="00A452B9" w:rsidTr="00F916C0">
        <w:trPr>
          <w:trHeight w:val="24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Водное сообщение (тип, протяженность, ближайший порт и т.д.)</w:t>
            </w:r>
          </w:p>
        </w:tc>
        <w:tc>
          <w:tcPr>
            <w:tcW w:w="6521" w:type="dxa"/>
          </w:tcPr>
          <w:p w:rsidR="00A452B9" w:rsidRPr="002F4821" w:rsidRDefault="00F621E7" w:rsidP="00167B7E">
            <w:r>
              <w:t>Участок недр находится в 8</w:t>
            </w:r>
            <w:r w:rsidR="0081269D">
              <w:t xml:space="preserve"> </w:t>
            </w:r>
            <w:r>
              <w:t xml:space="preserve">км от бухты </w:t>
            </w:r>
            <w:proofErr w:type="spellStart"/>
            <w:r>
              <w:t>Нордвик</w:t>
            </w:r>
            <w:proofErr w:type="spellEnd"/>
            <w:r>
              <w:t xml:space="preserve"> моря Лаптевых</w:t>
            </w:r>
            <w:r w:rsidR="0081269D">
              <w:t xml:space="preserve">. </w:t>
            </w:r>
            <w:r w:rsidR="00167B7E">
              <w:t xml:space="preserve">Расстояние </w:t>
            </w:r>
            <w:r w:rsidR="0081269D">
              <w:rPr>
                <w:sz w:val="22"/>
                <w:szCs w:val="22"/>
              </w:rPr>
              <w:t>до порта Тикси</w:t>
            </w:r>
            <w:r w:rsidR="00167B7E">
              <w:rPr>
                <w:sz w:val="22"/>
                <w:szCs w:val="22"/>
              </w:rPr>
              <w:t xml:space="preserve"> 750 км</w:t>
            </w:r>
            <w:r w:rsidR="0081269D">
              <w:rPr>
                <w:sz w:val="22"/>
                <w:szCs w:val="22"/>
              </w:rPr>
              <w:t>.</w:t>
            </w:r>
          </w:p>
        </w:tc>
      </w:tr>
      <w:tr w:rsidR="00A452B9" w:rsidTr="00F916C0">
        <w:trPr>
          <w:trHeight w:val="24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Воздушное сообщение (типы ВС, ближайший аэропорт)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Вертолет</w:t>
            </w:r>
            <w:r w:rsidR="00F621E7">
              <w:t>, ближайший аэропорт п.</w:t>
            </w:r>
            <w:r w:rsidR="00167B7E">
              <w:t xml:space="preserve"> </w:t>
            </w:r>
            <w:proofErr w:type="spellStart"/>
            <w:r w:rsidR="00F621E7">
              <w:t>Саскылах</w:t>
            </w:r>
            <w:proofErr w:type="spellEnd"/>
          </w:p>
        </w:tc>
      </w:tr>
      <w:tr w:rsidR="00A452B9" w:rsidTr="00F916C0">
        <w:trPr>
          <w:trHeight w:val="24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Сети телекоммуникаций (телефон, интернет, иное)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Нет</w:t>
            </w:r>
          </w:p>
        </w:tc>
      </w:tr>
      <w:tr w:rsidR="00A452B9" w:rsidTr="00F916C0">
        <w:tc>
          <w:tcPr>
            <w:tcW w:w="618" w:type="dxa"/>
          </w:tcPr>
          <w:p w:rsidR="00A452B9" w:rsidRDefault="0096314D" w:rsidP="00DC6480">
            <w:r>
              <w:t>12</w:t>
            </w:r>
            <w:r w:rsidR="00A452B9">
              <w:t>.</w:t>
            </w:r>
          </w:p>
        </w:tc>
        <w:tc>
          <w:tcPr>
            <w:tcW w:w="2500" w:type="dxa"/>
          </w:tcPr>
          <w:p w:rsidR="00A452B9" w:rsidRDefault="00A452B9" w:rsidP="00DC6480">
            <w:r>
              <w:t>Доступность трудовых ресурсов</w:t>
            </w:r>
          </w:p>
        </w:tc>
        <w:tc>
          <w:tcPr>
            <w:tcW w:w="5812" w:type="dxa"/>
            <w:gridSpan w:val="3"/>
          </w:tcPr>
          <w:p w:rsidR="00A452B9" w:rsidRDefault="00A452B9" w:rsidP="00DC6480">
            <w:r>
              <w:t>Численность трудоспособного/квалифицированного населения ближайшего насел. пункта/ района/РС(</w:t>
            </w:r>
            <w:proofErr w:type="gramStart"/>
            <w:r>
              <w:t xml:space="preserve">Я)  </w:t>
            </w:r>
            <w:proofErr w:type="gramEnd"/>
          </w:p>
        </w:tc>
        <w:tc>
          <w:tcPr>
            <w:tcW w:w="6521" w:type="dxa"/>
          </w:tcPr>
          <w:p w:rsidR="0019455A" w:rsidRDefault="0019455A" w:rsidP="0019455A">
            <w:r>
              <w:t xml:space="preserve">На 01.01.2017 численность населения </w:t>
            </w:r>
            <w:proofErr w:type="spellStart"/>
            <w:r>
              <w:t>Анабарского</w:t>
            </w:r>
            <w:proofErr w:type="spellEnd"/>
            <w:r>
              <w:t xml:space="preserve"> района составляет </w:t>
            </w:r>
            <w:r w:rsidRPr="00217F19">
              <w:t>3</w:t>
            </w:r>
            <w:r>
              <w:t xml:space="preserve"> 500 человек. </w:t>
            </w:r>
          </w:p>
          <w:p w:rsidR="00A452B9" w:rsidRPr="002F4821" w:rsidRDefault="0019455A" w:rsidP="0019455A">
            <w:r>
              <w:t>Ч</w:t>
            </w:r>
            <w:r w:rsidRPr="0093543A">
              <w:t xml:space="preserve">исленность трудоспособного населения Республики Саха (Якутия) – </w:t>
            </w:r>
            <w:r>
              <w:t>571,8</w:t>
            </w:r>
            <w:r w:rsidRPr="0093543A">
              <w:t xml:space="preserve"> тыс. чел.</w:t>
            </w:r>
            <w:r>
              <w:t xml:space="preserve"> (данные 2016 года).</w:t>
            </w:r>
          </w:p>
        </w:tc>
      </w:tr>
      <w:tr w:rsidR="00A452B9" w:rsidTr="00F916C0">
        <w:trPr>
          <w:trHeight w:val="315"/>
        </w:trPr>
        <w:tc>
          <w:tcPr>
            <w:tcW w:w="618" w:type="dxa"/>
            <w:vMerge w:val="restart"/>
          </w:tcPr>
          <w:p w:rsidR="00A452B9" w:rsidRDefault="0096314D" w:rsidP="00DC6480">
            <w:r>
              <w:t>13</w:t>
            </w:r>
            <w:r w:rsidR="00A452B9">
              <w:t>.</w:t>
            </w:r>
          </w:p>
        </w:tc>
        <w:tc>
          <w:tcPr>
            <w:tcW w:w="2500" w:type="dxa"/>
            <w:vMerge w:val="restart"/>
          </w:tcPr>
          <w:p w:rsidR="00A452B9" w:rsidRDefault="00A452B9" w:rsidP="00DC6480">
            <w:r>
              <w:t>Ожидаемый социально-экономический эффект для Республики Саха (Якутия)</w:t>
            </w:r>
          </w:p>
        </w:tc>
        <w:tc>
          <w:tcPr>
            <w:tcW w:w="5812" w:type="dxa"/>
            <w:gridSpan w:val="3"/>
          </w:tcPr>
          <w:p w:rsidR="00A452B9" w:rsidRDefault="00A452B9" w:rsidP="00DC6480">
            <w:r w:rsidRPr="00CB7CF6">
              <w:t xml:space="preserve">Число </w:t>
            </w:r>
            <w:r>
              <w:t xml:space="preserve">создаваемых </w:t>
            </w:r>
            <w:r w:rsidRPr="00CB7CF6">
              <w:t>рабочих мест</w:t>
            </w:r>
            <w:r>
              <w:t>:</w:t>
            </w:r>
          </w:p>
        </w:tc>
        <w:tc>
          <w:tcPr>
            <w:tcW w:w="6521" w:type="dxa"/>
          </w:tcPr>
          <w:p w:rsidR="00A452B9" w:rsidRPr="002F4821" w:rsidRDefault="00990D88" w:rsidP="00595A45">
            <w:r>
              <w:t>До 150</w:t>
            </w:r>
            <w:r w:rsidR="00595A45">
              <w:t>0</w:t>
            </w:r>
            <w:r>
              <w:t xml:space="preserve"> рабочих мест в период </w:t>
            </w:r>
            <w:r w:rsidR="00595A45">
              <w:t>эксплуатации</w:t>
            </w:r>
          </w:p>
        </w:tc>
      </w:tr>
      <w:tr w:rsidR="00A452B9" w:rsidRPr="00CB7CF6" w:rsidTr="00F916C0">
        <w:trPr>
          <w:trHeight w:val="315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CB7CF6" w:rsidRDefault="00A452B9" w:rsidP="00DC6480">
            <w:r>
              <w:t>Объем предусмотренных налогов и платежей</w:t>
            </w:r>
          </w:p>
        </w:tc>
        <w:tc>
          <w:tcPr>
            <w:tcW w:w="6521" w:type="dxa"/>
          </w:tcPr>
          <w:p w:rsidR="00A452B9" w:rsidRPr="002F4821" w:rsidRDefault="00A452B9" w:rsidP="00DC6480"/>
        </w:tc>
      </w:tr>
      <w:tr w:rsidR="00A452B9" w:rsidTr="00F916C0">
        <w:trPr>
          <w:trHeight w:val="315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Pr="00261896" w:rsidRDefault="00A452B9" w:rsidP="00DC6480">
            <w:r>
              <w:t xml:space="preserve">Привлечение предприятий республики (каким </w:t>
            </w:r>
            <w:bookmarkStart w:id="0" w:name="_GoBack"/>
            <w:bookmarkEnd w:id="0"/>
            <w:r>
              <w:t>образом)</w:t>
            </w:r>
            <w:r w:rsidR="00261896" w:rsidRPr="00261896">
              <w:t xml:space="preserve"> </w:t>
            </w:r>
          </w:p>
        </w:tc>
        <w:tc>
          <w:tcPr>
            <w:tcW w:w="6521" w:type="dxa"/>
          </w:tcPr>
          <w:p w:rsidR="00A452B9" w:rsidRPr="002F4821" w:rsidRDefault="00990D88" w:rsidP="00E44E29">
            <w:r>
              <w:t>Сервисное обслуживание, обеспечение</w:t>
            </w:r>
            <w:r w:rsidR="000209E9">
              <w:t xml:space="preserve"> продуктами питания</w:t>
            </w:r>
          </w:p>
        </w:tc>
      </w:tr>
      <w:tr w:rsidR="00A452B9" w:rsidTr="00F916C0">
        <w:trPr>
          <w:trHeight w:val="315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Создание объектов социальной инфраструктуры</w:t>
            </w:r>
          </w:p>
        </w:tc>
        <w:tc>
          <w:tcPr>
            <w:tcW w:w="6521" w:type="dxa"/>
          </w:tcPr>
          <w:p w:rsidR="00A452B9" w:rsidRPr="002F4821" w:rsidRDefault="00595A45" w:rsidP="00DC6480">
            <w:r>
              <w:t xml:space="preserve">Строительство автодорог и других </w:t>
            </w:r>
            <w:proofErr w:type="spellStart"/>
            <w:r>
              <w:t>соц.объектов</w:t>
            </w:r>
            <w:proofErr w:type="spellEnd"/>
          </w:p>
        </w:tc>
      </w:tr>
      <w:tr w:rsidR="00A452B9" w:rsidTr="00F916C0">
        <w:trPr>
          <w:trHeight w:val="315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Внедрение новых технологий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-</w:t>
            </w:r>
          </w:p>
        </w:tc>
      </w:tr>
      <w:tr w:rsidR="00A452B9" w:rsidTr="00F916C0">
        <w:trPr>
          <w:trHeight w:val="240"/>
        </w:trPr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Другое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-</w:t>
            </w:r>
          </w:p>
        </w:tc>
      </w:tr>
      <w:tr w:rsidR="00A452B9" w:rsidTr="00F916C0">
        <w:tc>
          <w:tcPr>
            <w:tcW w:w="618" w:type="dxa"/>
            <w:vMerge w:val="restart"/>
          </w:tcPr>
          <w:p w:rsidR="00A452B9" w:rsidRDefault="00A452B9" w:rsidP="0045732F">
            <w:r>
              <w:t>1</w:t>
            </w:r>
            <w:r w:rsidR="0096314D">
              <w:t>4</w:t>
            </w:r>
            <w:r>
              <w:t>.</w:t>
            </w:r>
          </w:p>
        </w:tc>
        <w:tc>
          <w:tcPr>
            <w:tcW w:w="2500" w:type="dxa"/>
            <w:vMerge w:val="restart"/>
          </w:tcPr>
          <w:p w:rsidR="00A452B9" w:rsidRDefault="00A452B9" w:rsidP="00DC6480">
            <w:r>
              <w:t>Дополнительные сведения</w:t>
            </w:r>
          </w:p>
        </w:tc>
        <w:tc>
          <w:tcPr>
            <w:tcW w:w="5812" w:type="dxa"/>
            <w:gridSpan w:val="3"/>
          </w:tcPr>
          <w:p w:rsidR="00A452B9" w:rsidRDefault="00A452B9" w:rsidP="00DC6480">
            <w:r>
              <w:t>Специфика проекта: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Нефтегазовая про</w:t>
            </w:r>
            <w:r w:rsidR="00595A45">
              <w:t>мы</w:t>
            </w:r>
            <w:r>
              <w:t>шленность, долгосрочные инвестиции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Другие участники проекта: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-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</w:tcPr>
          <w:p w:rsidR="00A452B9" w:rsidRDefault="00A452B9" w:rsidP="00DC6480">
            <w:r>
              <w:t>Действующие соглашения и договоренности в рамках проекта:</w:t>
            </w:r>
          </w:p>
        </w:tc>
        <w:tc>
          <w:tcPr>
            <w:tcW w:w="6521" w:type="dxa"/>
          </w:tcPr>
          <w:p w:rsidR="00A452B9" w:rsidRPr="002F4821" w:rsidRDefault="00990D88" w:rsidP="00DC6480">
            <w:r>
              <w:t>-</w:t>
            </w:r>
          </w:p>
        </w:tc>
      </w:tr>
      <w:tr w:rsidR="00A452B9" w:rsidTr="00F916C0">
        <w:tc>
          <w:tcPr>
            <w:tcW w:w="618" w:type="dxa"/>
            <w:vMerge/>
          </w:tcPr>
          <w:p w:rsidR="00A452B9" w:rsidRDefault="00A452B9" w:rsidP="00DC6480"/>
        </w:tc>
        <w:tc>
          <w:tcPr>
            <w:tcW w:w="2500" w:type="dxa"/>
            <w:vMerge/>
          </w:tcPr>
          <w:p w:rsidR="00A452B9" w:rsidRDefault="00A452B9" w:rsidP="00DC6480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B9" w:rsidRDefault="00A452B9" w:rsidP="00DC6480">
            <w:r>
              <w:t>Иная информация, требующая представления: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B9" w:rsidRPr="002F4821" w:rsidRDefault="00990D88" w:rsidP="00DC6480">
            <w:r>
              <w:t>-</w:t>
            </w:r>
          </w:p>
        </w:tc>
      </w:tr>
      <w:tr w:rsidR="00A452B9" w:rsidTr="00DC6480">
        <w:tc>
          <w:tcPr>
            <w:tcW w:w="618" w:type="dxa"/>
          </w:tcPr>
          <w:p w:rsidR="00A452B9" w:rsidRDefault="00A452B9" w:rsidP="0045732F">
            <w:r>
              <w:t>1</w:t>
            </w:r>
            <w:r w:rsidR="0096314D">
              <w:t>5</w:t>
            </w:r>
            <w:r>
              <w:t>.</w:t>
            </w:r>
          </w:p>
        </w:tc>
        <w:tc>
          <w:tcPr>
            <w:tcW w:w="8312" w:type="dxa"/>
            <w:gridSpan w:val="4"/>
            <w:tcBorders>
              <w:right w:val="single" w:sz="4" w:space="0" w:color="auto"/>
            </w:tcBorders>
          </w:tcPr>
          <w:p w:rsidR="00A452B9" w:rsidRDefault="00A452B9" w:rsidP="00DC6480">
            <w:r>
              <w:t>Дата составления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B9" w:rsidRPr="002F4821" w:rsidRDefault="003A34A4" w:rsidP="00792A6E">
            <w:r>
              <w:t>11.01.2018</w:t>
            </w:r>
          </w:p>
        </w:tc>
      </w:tr>
      <w:tr w:rsidR="00B20AAC" w:rsidTr="00F916C0">
        <w:tc>
          <w:tcPr>
            <w:tcW w:w="618" w:type="dxa"/>
            <w:vMerge w:val="restart"/>
          </w:tcPr>
          <w:p w:rsidR="00B20AAC" w:rsidRDefault="00B20AAC" w:rsidP="00B20AAC">
            <w:r>
              <w:t>16.</w:t>
            </w:r>
          </w:p>
        </w:tc>
        <w:tc>
          <w:tcPr>
            <w:tcW w:w="2500" w:type="dxa"/>
            <w:vMerge w:val="restart"/>
          </w:tcPr>
          <w:p w:rsidR="00B20AAC" w:rsidRDefault="00B20AAC" w:rsidP="00B20AAC">
            <w:r>
              <w:t>Контакты ведомства сопровождающее проект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457243" w:rsidRDefault="00B20AAC" w:rsidP="00B20AAC">
            <w:r>
              <w:t xml:space="preserve">Ответственное подразделение: 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F53034" w:rsidRDefault="00B20AAC" w:rsidP="00B20AAC">
            <w:pPr>
              <w:jc w:val="both"/>
            </w:pPr>
            <w:r w:rsidRPr="00F53034">
              <w:t>Отдел продвижения инвестиционных проектов ГБУ «Агентство инвестиционного развития Республики Саха (Якутия)»</w:t>
            </w:r>
          </w:p>
        </w:tc>
      </w:tr>
      <w:tr w:rsidR="00B20AAC" w:rsidTr="00F916C0">
        <w:tc>
          <w:tcPr>
            <w:tcW w:w="618" w:type="dxa"/>
            <w:vMerge/>
          </w:tcPr>
          <w:p w:rsidR="00B20AAC" w:rsidRDefault="00B20AAC" w:rsidP="00B20AAC"/>
        </w:tc>
        <w:tc>
          <w:tcPr>
            <w:tcW w:w="2500" w:type="dxa"/>
            <w:vMerge/>
          </w:tcPr>
          <w:p w:rsidR="00B20AAC" w:rsidRDefault="00B20AAC" w:rsidP="00B20AAC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457243" w:rsidRDefault="00B20AAC" w:rsidP="00B20AAC">
            <w:r w:rsidRPr="002C7AEE">
              <w:t>Телефон/факс</w:t>
            </w:r>
            <w: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F53034" w:rsidRDefault="00B20AAC" w:rsidP="00B20AAC">
            <w:pPr>
              <w:jc w:val="both"/>
            </w:pPr>
            <w:r w:rsidRPr="00F53034">
              <w:t>+7(4112)42 32 99, +7(4112)39 83 00 (67 905)</w:t>
            </w:r>
          </w:p>
        </w:tc>
      </w:tr>
      <w:tr w:rsidR="00B20AAC" w:rsidTr="00F916C0">
        <w:tc>
          <w:tcPr>
            <w:tcW w:w="618" w:type="dxa"/>
            <w:vMerge/>
          </w:tcPr>
          <w:p w:rsidR="00B20AAC" w:rsidRDefault="00B20AAC" w:rsidP="00B20AAC"/>
        </w:tc>
        <w:tc>
          <w:tcPr>
            <w:tcW w:w="2500" w:type="dxa"/>
            <w:vMerge/>
          </w:tcPr>
          <w:p w:rsidR="00B20AAC" w:rsidRDefault="00B20AAC" w:rsidP="00B20AAC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DD4ACA" w:rsidRDefault="00B20AAC" w:rsidP="00B20AAC">
            <w:r w:rsidRPr="002C7AEE">
              <w:t>Электронный адрес</w:t>
            </w:r>
            <w: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B85DFB" w:rsidRDefault="00B20AAC" w:rsidP="00B20AAC">
            <w:pPr>
              <w:spacing w:line="256" w:lineRule="auto"/>
              <w:jc w:val="both"/>
              <w:rPr>
                <w:rStyle w:val="a3"/>
                <w:rFonts w:eastAsia="SimSun"/>
                <w:lang w:eastAsia="zh-CN"/>
              </w:rPr>
            </w:pPr>
            <w:hyperlink r:id="rId8" w:history="1">
              <w:r w:rsidRPr="00F53034">
                <w:rPr>
                  <w:rStyle w:val="a3"/>
                  <w:rFonts w:eastAsia="SimSun"/>
                  <w:lang w:val="en-US" w:eastAsia="zh-CN"/>
                </w:rPr>
                <w:t>info</w:t>
              </w:r>
              <w:r w:rsidRPr="00F53034">
                <w:rPr>
                  <w:rStyle w:val="a3"/>
                  <w:rFonts w:eastAsia="SimSun"/>
                  <w:lang w:eastAsia="zh-CN"/>
                </w:rPr>
                <w:t>@</w:t>
              </w:r>
              <w:proofErr w:type="spellStart"/>
              <w:r w:rsidRPr="00F53034">
                <w:rPr>
                  <w:rStyle w:val="a3"/>
                  <w:rFonts w:eastAsia="SimSun"/>
                  <w:lang w:val="en-US" w:eastAsia="zh-CN"/>
                </w:rPr>
                <w:t>investyakutia</w:t>
              </w:r>
              <w:proofErr w:type="spellEnd"/>
              <w:r w:rsidRPr="00F53034">
                <w:rPr>
                  <w:rStyle w:val="a3"/>
                  <w:rFonts w:eastAsia="SimSun"/>
                  <w:lang w:eastAsia="zh-CN"/>
                </w:rPr>
                <w:t>.</w:t>
              </w:r>
              <w:r w:rsidRPr="00F53034">
                <w:rPr>
                  <w:rStyle w:val="a3"/>
                  <w:rFonts w:eastAsia="SimSun"/>
                  <w:lang w:val="en-US" w:eastAsia="zh-CN"/>
                </w:rPr>
                <w:t>com</w:t>
              </w:r>
            </w:hyperlink>
          </w:p>
          <w:p w:rsidR="00B20AAC" w:rsidRPr="00172AF9" w:rsidRDefault="00B20AAC" w:rsidP="00B20AAC">
            <w:pPr>
              <w:spacing w:line="256" w:lineRule="auto"/>
              <w:jc w:val="both"/>
              <w:rPr>
                <w:rFonts w:eastAsia="SimSun"/>
                <w:lang w:eastAsia="zh-CN"/>
              </w:rPr>
            </w:pPr>
            <w:proofErr w:type="spellStart"/>
            <w:r>
              <w:rPr>
                <w:rStyle w:val="a3"/>
                <w:rFonts w:eastAsia="SimSun"/>
                <w:lang w:val="en-US" w:eastAsia="zh-CN"/>
              </w:rPr>
              <w:t>investyakutia</w:t>
            </w:r>
            <w:proofErr w:type="spellEnd"/>
            <w:r w:rsidRPr="00B85DFB">
              <w:rPr>
                <w:rStyle w:val="a3"/>
                <w:rFonts w:eastAsia="SimSun"/>
                <w:lang w:eastAsia="zh-CN"/>
              </w:rPr>
              <w:t>.</w:t>
            </w:r>
            <w:r>
              <w:rPr>
                <w:rStyle w:val="a3"/>
                <w:rFonts w:eastAsia="SimSun"/>
                <w:lang w:val="en-US" w:eastAsia="zh-CN"/>
              </w:rPr>
              <w:t>com</w:t>
            </w:r>
          </w:p>
        </w:tc>
      </w:tr>
      <w:tr w:rsidR="00B20AAC" w:rsidTr="00F916C0">
        <w:tc>
          <w:tcPr>
            <w:tcW w:w="618" w:type="dxa"/>
            <w:vMerge/>
          </w:tcPr>
          <w:p w:rsidR="00B20AAC" w:rsidRDefault="00B20AAC" w:rsidP="00B20AAC"/>
        </w:tc>
        <w:tc>
          <w:tcPr>
            <w:tcW w:w="2500" w:type="dxa"/>
            <w:vMerge/>
          </w:tcPr>
          <w:p w:rsidR="00B20AAC" w:rsidRDefault="00B20AAC" w:rsidP="00B20AAC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457243" w:rsidRDefault="00B20AAC" w:rsidP="00B20AAC">
            <w:r w:rsidRPr="002C7AEE">
              <w:t>Почтовый адрес</w:t>
            </w:r>
            <w: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AC" w:rsidRPr="00F53034" w:rsidRDefault="00B20AAC" w:rsidP="00B20AAC">
            <w:pPr>
              <w:jc w:val="both"/>
            </w:pPr>
            <w:r w:rsidRPr="00172AF9">
              <w:t>677000</w:t>
            </w:r>
            <w:r>
              <w:t>, г. Якутск, Проспект Ленина, 4/2, оф. 510</w:t>
            </w:r>
          </w:p>
        </w:tc>
      </w:tr>
    </w:tbl>
    <w:p w:rsidR="00DC6480" w:rsidRDefault="00DC6480" w:rsidP="00DC6480"/>
    <w:p w:rsidR="00DC6480" w:rsidRPr="00DC6480" w:rsidRDefault="00DC6480" w:rsidP="00DC6480"/>
    <w:sectPr w:rsidR="00DC6480" w:rsidRPr="00DC6480" w:rsidSect="00B20AAC">
      <w:footerReference w:type="default" r:id="rId9"/>
      <w:pgSz w:w="16838" w:h="11906" w:orient="landscape"/>
      <w:pgMar w:top="851" w:right="425" w:bottom="851" w:left="425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AAC" w:rsidRDefault="00B20AAC" w:rsidP="00B20AAC">
      <w:r>
        <w:separator/>
      </w:r>
    </w:p>
  </w:endnote>
  <w:endnote w:type="continuationSeparator" w:id="0">
    <w:p w:rsidR="00B20AAC" w:rsidRDefault="00B20AAC" w:rsidP="00B2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671377"/>
      <w:docPartObj>
        <w:docPartGallery w:val="Page Numbers (Bottom of Page)"/>
        <w:docPartUnique/>
      </w:docPartObj>
    </w:sdtPr>
    <w:sdtContent>
      <w:p w:rsidR="00B20AAC" w:rsidRDefault="00B20AAC">
        <w:pPr>
          <w:pStyle w:val="a7"/>
          <w:jc w:val="center"/>
        </w:pPr>
        <w:r w:rsidRPr="00B20AAC">
          <w:rPr>
            <w:sz w:val="22"/>
            <w:szCs w:val="22"/>
          </w:rPr>
          <w:fldChar w:fldCharType="begin"/>
        </w:r>
        <w:r w:rsidRPr="00B20AAC">
          <w:rPr>
            <w:sz w:val="22"/>
            <w:szCs w:val="22"/>
          </w:rPr>
          <w:instrText>PAGE   \* MERGEFORMAT</w:instrText>
        </w:r>
        <w:r w:rsidRPr="00B20AAC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4</w:t>
        </w:r>
        <w:r w:rsidRPr="00B20AAC">
          <w:rPr>
            <w:sz w:val="22"/>
            <w:szCs w:val="22"/>
          </w:rPr>
          <w:fldChar w:fldCharType="end"/>
        </w:r>
      </w:p>
    </w:sdtContent>
  </w:sdt>
  <w:p w:rsidR="00B20AAC" w:rsidRDefault="00B20A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AAC" w:rsidRDefault="00B20AAC" w:rsidP="00B20AAC">
      <w:r>
        <w:separator/>
      </w:r>
    </w:p>
  </w:footnote>
  <w:footnote w:type="continuationSeparator" w:id="0">
    <w:p w:rsidR="00B20AAC" w:rsidRDefault="00B20AAC" w:rsidP="00B20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1F"/>
    <w:rsid w:val="00012837"/>
    <w:rsid w:val="0001691F"/>
    <w:rsid w:val="000209E9"/>
    <w:rsid w:val="00042AF7"/>
    <w:rsid w:val="00053A0A"/>
    <w:rsid w:val="00092184"/>
    <w:rsid w:val="000D6EAD"/>
    <w:rsid w:val="00110DC4"/>
    <w:rsid w:val="001217DC"/>
    <w:rsid w:val="00167B7E"/>
    <w:rsid w:val="001755C6"/>
    <w:rsid w:val="0017614E"/>
    <w:rsid w:val="00177B10"/>
    <w:rsid w:val="0019455A"/>
    <w:rsid w:val="001D1FEC"/>
    <w:rsid w:val="001D306F"/>
    <w:rsid w:val="001E0904"/>
    <w:rsid w:val="002043E1"/>
    <w:rsid w:val="0020512A"/>
    <w:rsid w:val="00207569"/>
    <w:rsid w:val="00261896"/>
    <w:rsid w:val="00276D74"/>
    <w:rsid w:val="002B44AA"/>
    <w:rsid w:val="002B4EC8"/>
    <w:rsid w:val="002C2433"/>
    <w:rsid w:val="002F4821"/>
    <w:rsid w:val="003310ED"/>
    <w:rsid w:val="003912B6"/>
    <w:rsid w:val="003A34A4"/>
    <w:rsid w:val="003B2FB6"/>
    <w:rsid w:val="003B6F52"/>
    <w:rsid w:val="004235C4"/>
    <w:rsid w:val="00432AC4"/>
    <w:rsid w:val="00440EB2"/>
    <w:rsid w:val="0045732F"/>
    <w:rsid w:val="00472491"/>
    <w:rsid w:val="004763FB"/>
    <w:rsid w:val="00487B78"/>
    <w:rsid w:val="0049398F"/>
    <w:rsid w:val="004C77FB"/>
    <w:rsid w:val="004E0D8A"/>
    <w:rsid w:val="00517024"/>
    <w:rsid w:val="0054043E"/>
    <w:rsid w:val="0056311F"/>
    <w:rsid w:val="00563699"/>
    <w:rsid w:val="00595A45"/>
    <w:rsid w:val="00596DAD"/>
    <w:rsid w:val="005D5072"/>
    <w:rsid w:val="005E586A"/>
    <w:rsid w:val="00666298"/>
    <w:rsid w:val="00680FAB"/>
    <w:rsid w:val="0068209D"/>
    <w:rsid w:val="006A53FF"/>
    <w:rsid w:val="00700F17"/>
    <w:rsid w:val="00710FB5"/>
    <w:rsid w:val="007236B3"/>
    <w:rsid w:val="00775778"/>
    <w:rsid w:val="00775E0A"/>
    <w:rsid w:val="00792A6E"/>
    <w:rsid w:val="007A0849"/>
    <w:rsid w:val="007E10F7"/>
    <w:rsid w:val="007F3CB7"/>
    <w:rsid w:val="008022AF"/>
    <w:rsid w:val="0080595A"/>
    <w:rsid w:val="00810551"/>
    <w:rsid w:val="0081269D"/>
    <w:rsid w:val="00894103"/>
    <w:rsid w:val="008C7D6B"/>
    <w:rsid w:val="009529CC"/>
    <w:rsid w:val="009531E2"/>
    <w:rsid w:val="0096314D"/>
    <w:rsid w:val="0096522A"/>
    <w:rsid w:val="009722DF"/>
    <w:rsid w:val="00990D88"/>
    <w:rsid w:val="00991DB4"/>
    <w:rsid w:val="009D45C1"/>
    <w:rsid w:val="009D7277"/>
    <w:rsid w:val="009E3AA2"/>
    <w:rsid w:val="009F75C4"/>
    <w:rsid w:val="00A212EA"/>
    <w:rsid w:val="00A272F8"/>
    <w:rsid w:val="00A31753"/>
    <w:rsid w:val="00A452B9"/>
    <w:rsid w:val="00A74FDC"/>
    <w:rsid w:val="00A7718C"/>
    <w:rsid w:val="00A779BD"/>
    <w:rsid w:val="00A81863"/>
    <w:rsid w:val="00A96F16"/>
    <w:rsid w:val="00A97463"/>
    <w:rsid w:val="00AB5C4C"/>
    <w:rsid w:val="00AC7489"/>
    <w:rsid w:val="00B20AAC"/>
    <w:rsid w:val="00B256C9"/>
    <w:rsid w:val="00B3041C"/>
    <w:rsid w:val="00B518BD"/>
    <w:rsid w:val="00B651D8"/>
    <w:rsid w:val="00B770FA"/>
    <w:rsid w:val="00C643BC"/>
    <w:rsid w:val="00C76B2A"/>
    <w:rsid w:val="00C77973"/>
    <w:rsid w:val="00CC2BC7"/>
    <w:rsid w:val="00CC543F"/>
    <w:rsid w:val="00CE66E1"/>
    <w:rsid w:val="00CF63DB"/>
    <w:rsid w:val="00D10037"/>
    <w:rsid w:val="00D71D4B"/>
    <w:rsid w:val="00DC6480"/>
    <w:rsid w:val="00DD79EF"/>
    <w:rsid w:val="00E175A1"/>
    <w:rsid w:val="00E348F0"/>
    <w:rsid w:val="00E44E29"/>
    <w:rsid w:val="00E74BD1"/>
    <w:rsid w:val="00F06AE9"/>
    <w:rsid w:val="00F1554B"/>
    <w:rsid w:val="00F244C6"/>
    <w:rsid w:val="00F621E7"/>
    <w:rsid w:val="00F62977"/>
    <w:rsid w:val="00F916C0"/>
    <w:rsid w:val="00FF6BCE"/>
    <w:rsid w:val="00FF75D1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31C7F-6C97-4623-A0AD-2127A1E7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95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72491"/>
    <w:pPr>
      <w:spacing w:before="100" w:beforeAutospacing="1" w:after="100" w:afterAutospacing="1"/>
    </w:pPr>
    <w:rPr>
      <w:lang w:eastAsia="zh-CN"/>
    </w:rPr>
  </w:style>
  <w:style w:type="paragraph" w:styleId="a5">
    <w:name w:val="header"/>
    <w:basedOn w:val="a"/>
    <w:link w:val="a6"/>
    <w:uiPriority w:val="99"/>
    <w:unhideWhenUsed/>
    <w:rsid w:val="00B20A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0A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20A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0A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vestyakuti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nef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ymaada.neft@yandex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Александр Ларионов</cp:lastModifiedBy>
  <cp:revision>22</cp:revision>
  <dcterms:created xsi:type="dcterms:W3CDTF">2018-01-12T00:14:00Z</dcterms:created>
  <dcterms:modified xsi:type="dcterms:W3CDTF">2018-01-17T05:55:00Z</dcterms:modified>
</cp:coreProperties>
</file>