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CRITERIO 1 — MAPA DE ARQUITECTURA CON EVIDENCIA</w:t>
        <w:br/>
      </w:r>
      <w:r>
        <w:rPr>
          <w:b/>
          <w:sz w:val="24"/>
        </w:rPr>
        <w:t>Ecosistema Autónomo de Generación, Validación y Distribución de Contenido</w:t>
      </w:r>
    </w:p>
    <w:p>
      <w:pPr>
        <w:jc w:val="center"/>
      </w:pPr>
      <w:r>
        <w:t>German Velasquez | AI Automation | Grupo Estrategia y Marca LLC</w:t>
      </w:r>
    </w:p>
    <w:p>
      <w:pPr>
        <w:pStyle w:val="Heading1"/>
      </w:pPr>
      <w:r>
        <w:t>1. Arquitectura final</w:t>
      </w:r>
    </w:p>
    <w:p>
      <w:r>
        <w:t>La solución final utiliza Make como orquestador, Airtable como memoria operativa, una base de conocimiento RAG, OpenAI GPT-4o-mini para generación, un control humano HITL antes de la acción crítica y Gmail como canal de salida. La resiliencia se implementa mediante una ruta de error que registra el fallo en Airtable.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334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3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A1. Mapa de arquitectura final construido a partir de los dos Blueprints finales.</w:t>
      </w:r>
    </w:p>
    <w:p>
      <w:pPr>
        <w:pStyle w:val="Heading1"/>
      </w:pPr>
      <w:r>
        <w:t>2. Escenario 1 — Generación IA + RAG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5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A2. Escenario real en Make: Airtable → búsqueda/agrupación de conocimiento → OpenAI → actualización de Airtable.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37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A3. Configuración real del módulo OpenAI dentro del escenario de generación.</w:t>
      </w:r>
    </w:p>
    <w:p>
      <w:pPr>
        <w:pStyle w:val="Heading1"/>
      </w:pPr>
      <w:r>
        <w:t>3. Escenario 2 — HITL y salida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760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7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A4. Escenario real de aprobación humana: Airtable → actualización → Gmail.</w:t>
      </w:r>
    </w:p>
    <w:p>
      <w:r>
        <w:t>Estas capturas prueban que el mapa no es una arquitectura hipotética: corresponde a escenarios efectivamente construidos en Make.</w:t>
      </w:r>
    </w:p>
    <w:p>
      <w:r>
        <w:rPr>
          <w:b/>
          <w:sz w:val="28"/>
        </w:rPr>
        <w:t>4. Actualización final — solicitud de aprobación por Gmail</w:t>
      </w:r>
    </w:p>
    <w:p>
      <w:r>
        <w:t>Después de la última validación, el Escenario 1 incorpora una notificación por Gmail inmediatamente después de guardar el borrador en Airtable. El correo informa que la pieza está pendiente de aprobación, incluye la Idea Semilla y el Borrador Generado mediante variables dinámicas y solicita revisar Airtable y marcar el campo Aprobado. La pieza permanece En Revisión; este correo no publica el contenido.</w:t>
      </w:r>
    </w:p>
    <w:p>
      <w:r>
        <w:t>Secuencia final validada: Nueva → RAG → OpenAI → Airtable (En Revisión) → Gmail de solicitud de aprobación → aprobación humana en Airtable → Escenario HITL → Airtable (Publicado) → Gmail final de contenido aprobado.</w:t>
      </w:r>
    </w:p>
    <w:p>
      <w:r>
        <w:drawing>
          <wp:inline xmlns:a="http://schemas.openxmlformats.org/drawingml/2006/main" xmlns:pic="http://schemas.openxmlformats.org/drawingml/2006/picture">
            <wp:extent cx="6035040" cy="3234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b8b196-a75b-4844-85b3-90112759bfa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A5. Escenario 1 actualizado con Gmail de solicitud de aprobación.</w:t>
      </w:r>
    </w:p>
    <w:p>
      <w:r>
        <w:drawing>
          <wp:inline xmlns:a="http://schemas.openxmlformats.org/drawingml/2006/main" xmlns:pic="http://schemas.openxmlformats.org/drawingml/2006/picture">
            <wp:extent cx="6035040" cy="3211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c099c8-05e2-4d64-a974-a31ec03e03d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1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A6. Correo real recibido: pieza pendiente de aprobación.</w:t>
      </w:r>
    </w:p>
    <w:p>
      <w:r>
        <w:drawing>
          <wp:inline xmlns:a="http://schemas.openxmlformats.org/drawingml/2006/main" xmlns:pic="http://schemas.openxmlformats.org/drawingml/2006/picture">
            <wp:extent cx="6035040" cy="30318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c5ac3b-00cd-48f0-a94c-5598cdc4bc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31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A7. Escenario HITL ejecutado después de la aprobación humana.</w:t>
      </w:r>
    </w:p>
    <w:p>
      <w:r>
        <w:drawing>
          <wp:inline xmlns:a="http://schemas.openxmlformats.org/drawingml/2006/main" xmlns:pic="http://schemas.openxmlformats.org/drawingml/2006/picture">
            <wp:extent cx="6035040" cy="32153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19d8e7-4ba7-4a1f-af30-8cae2bbc0c5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A8. Correo final recibido: pieza aprobada y publicada.</w:t>
      </w:r>
    </w:p>
    <w:p>
      <w:r>
        <w:t>Control de versión: el Blueprint de Escenario 1 exportado antes de esta modificación no contiene todavía el nuevo módulo Gmail. Para el repositorio GitHub debe exportarse nuevamente el Blueprint actualizado; no es necesario modificar la lógica ya validada.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