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CRITERIO 4 — SEGURIDAD, RESILIENCIA Y HITL CON EVIDENCIA</w:t>
        <w:br/>
      </w:r>
      <w:r>
        <w:rPr>
          <w:b/>
          <w:sz w:val="24"/>
        </w:rPr>
        <w:t>Error Handler, trazabilidad, aprobación humana y anti-loop</w:t>
      </w:r>
    </w:p>
    <w:p>
      <w:pPr>
        <w:jc w:val="center"/>
      </w:pPr>
      <w:r>
        <w:t>German Velasquez | AI Automation | Grupo Estrategia y Marca LLC</w:t>
      </w:r>
    </w:p>
    <w:p>
      <w:pPr>
        <w:pStyle w:val="Heading1"/>
      </w:pPr>
      <w:r>
        <w:t>1. Error Handling y camino infeliz</w:t>
      </w:r>
    </w:p>
    <w:p>
      <w:r>
        <w:t>El módulo OpenAI dispone de una ruta de error. La prueba controlada forzó un fallo de API y permitió validar que el incidente se registra en Airtable en lugar de tratarse como una ejecución exitosa.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3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S1. Escenario de generación con la configuración de control y actualización de Airtable.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16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1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S2. Airtable conserva los estados/resultados del procesamiento para trazabilidad.</w:t>
      </w:r>
    </w:p>
    <w:p>
      <w:pPr>
        <w:pStyle w:val="Heading1"/>
      </w:pPr>
      <w:r>
        <w:t>2. Human-in-the-loop</w:t>
      </w:r>
    </w:p>
    <w:p>
      <w:r>
        <w:t>La acción final requiere Aprobado = true y Estado = En Revisión. El checkbox se trata como booleano. Después de aprobar, el registro pasa a Publicado; por ello deja de cumplir la condición de entrada y se evita el bucle.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6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S3. Filtro/condición real utilizado para controlar el paso del registro.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55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S4. Ejecución real del escenario HITL sobre Airtable.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95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S5. Módulo Gmail del escenario final, posterior al control humano.</w:t>
      </w:r>
    </w:p>
    <w:p>
      <w:pPr>
        <w:pStyle w:val="Heading1"/>
      </w:pPr>
      <w:r>
        <w:t>3. Seguridad de entrega</w:t>
      </w:r>
    </w:p>
    <w:p>
      <w:r>
        <w:t>• No publicar API keys, tokens o secretos en GitHub.</w:t>
      </w:r>
    </w:p>
    <w:p>
      <w:r>
        <w:t>• Ocultar conexiones y secretos en el video.</w:t>
      </w:r>
    </w:p>
    <w:p>
      <w:r>
        <w:t>• Usar variables dinámicas para los datos operativos.</w:t>
      </w:r>
    </w:p>
    <w:p>
      <w:r>
        <w:t>• Mantener la ruta de error y el registro de mensajes de fallo.</w:t>
      </w:r>
    </w:p>
    <w:p>
      <w:r>
        <w:t>• No reabrir ni modificar escenarios ya validados sin evidencia nueva.</w:t>
      </w:r>
    </w:p>
    <w:p>
      <w:r>
        <w:rPr>
          <w:b/>
          <w:sz w:val="28"/>
        </w:rPr>
        <w:t>4. Actualización final — notificación de aprobación y cierre HITL</w:t>
      </w:r>
    </w:p>
    <w:p>
      <w:r>
        <w:t>La versión final fortalece la evidencia del Human-in-the-loop: al terminar la generación, el Escenario 1 envía un Gmail indicando expresamente que la pieza está pendiente de aprobación y que no será publicada hasta recibir aprobación humana. El correo usa variables dinámicas para Idea Semilla y Borrador Generado.</w:t>
      </w:r>
    </w:p>
    <w:p>
      <w:r>
        <w:t>La aprobación continúa ocurriendo en Airtable. El Escenario 2 solo avanza cuando Aprobado = true y Estado = En Revisión. Tras superar el filtro, actualiza el registro a Publicado y envía el Gmail final. El cambio a Publicado conserva el control anti-loop porque el registro deja de cumplir Estado = En Revisión.</w:t>
      </w:r>
    </w:p>
    <w:p>
      <w:r>
        <w:drawing>
          <wp:inline xmlns:a="http://schemas.openxmlformats.org/drawingml/2006/main" xmlns:pic="http://schemas.openxmlformats.org/drawingml/2006/picture">
            <wp:extent cx="6035040" cy="3211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c099c8-05e2-4d64-a974-a31ec03e03d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S6. Notificación previa al aprobador: pieza pendiente de aprobación.</w:t>
      </w:r>
    </w:p>
    <w:p>
      <w:r>
        <w:drawing>
          <wp:inline xmlns:a="http://schemas.openxmlformats.org/drawingml/2006/main" xmlns:pic="http://schemas.openxmlformats.org/drawingml/2006/picture">
            <wp:extent cx="6035040" cy="30318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c5ac3b-00cd-48f0-a94c-5598cdc4bc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31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S7. Ejecución exitosa del escenario HITL.</w:t>
      </w:r>
    </w:p>
    <w:p>
      <w:r>
        <w:drawing>
          <wp:inline xmlns:a="http://schemas.openxmlformats.org/drawingml/2006/main" xmlns:pic="http://schemas.openxmlformats.org/drawingml/2006/picture">
            <wp:extent cx="6035040" cy="3215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9d8e7-4ba7-4a1f-af30-8cae2bbc0c5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S8. Salida crítica posterior a la aprobación: Gmail final.</w:t>
      </w:r>
    </w:p>
    <w:p>
      <w:r>
        <w:t>La ruta de Error Handler de OpenAI permanece sin cambios y conserva la prueba controlada 404 ya documentada. No se declara Retry automático porque no forma parte de la implementación final validada.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