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а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Промежуточный отчет по программному проекту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1. Основные планы и этапы проекта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1.1 Краткое описание проекта:</w:t>
      </w:r>
    </w:p>
    <w:p w:rsidR="00000000" w:rsidDel="00000000" w:rsidP="00000000" w:rsidRDefault="00000000" w:rsidRPr="00000000" w14:paraId="00000005">
      <w:pPr>
        <w:ind w:firstLine="72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Название проекта: «Сервис Item composition»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Цель проекта: Реализовать сервис для централизованного форматирования и представления данных по заданным шаблонам и схемам с возможностью интеграции с внутренними сервисами и компонентами.</w:t>
      </w:r>
    </w:p>
    <w:p w:rsidR="00000000" w:rsidDel="00000000" w:rsidP="00000000" w:rsidRDefault="00000000" w:rsidRPr="00000000" w14:paraId="00000007">
      <w:pPr>
        <w:ind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Краткое описание задач: 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/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Реализовать runtime кодогенерацию по описанию шаблонов представления данных.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afterAutospacing="0"/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Реализовать runtime кодогенерацию клиентов для интеграции с внутренними сервисами и компонентами.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afterAutospacing="0"/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Оптимизировать код с помощью батч-запросов.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afterAutospacing="0"/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Настроить качественное логирование и трейсинг.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Выполнить интеграционное и unit тестирование кода.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1.2 Планы и этапы выполнения проекта:</w:t>
      </w:r>
    </w:p>
    <w:tbl>
      <w:tblPr>
        <w:tblStyle w:val="Table1"/>
        <w:tblW w:w="8625.0" w:type="dxa"/>
        <w:jc w:val="left"/>
        <w:tblBorders>
          <w:top w:color="4bacc6" w:space="0" w:sz="24" w:val="single"/>
          <w:left w:color="f79646" w:space="0" w:sz="4" w:val="single"/>
          <w:bottom w:color="f79646" w:space="0" w:sz="4" w:val="single"/>
          <w:right w:color="f79646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1740"/>
        <w:gridCol w:w="2895"/>
        <w:gridCol w:w="2505"/>
        <w:gridCol w:w="1485"/>
        <w:tblGridChange w:id="0">
          <w:tblGrid>
            <w:gridCol w:w="1740"/>
            <w:gridCol w:w="2895"/>
            <w:gridCol w:w="2505"/>
            <w:gridCol w:w="14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Этап проекта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Описание работ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Ожидаемые результаты</w:t>
              <w:tab/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Сроки выполнения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Подготовительные работы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numPr>
                <w:ilvl w:val="0"/>
                <w:numId w:val="8"/>
              </w:numPr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Постановка задачи.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8"/>
              </w:num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Обоснование возможности решения поставленной задачи.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8"/>
              </w:num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Предварительный выбор методов решения задач.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numPr>
                <w:ilvl w:val="0"/>
                <w:numId w:val="10"/>
              </w:numPr>
              <w:ind w:left="0" w:right="57.2834645669297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Проведена декомпозиция проекта на подзадачи.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0"/>
              </w:numPr>
              <w:ind w:left="0" w:right="57.2834645669297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Выбран технологический стек и методы решения задач. 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21.11.2024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Разработка и утверждение технического задания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numPr>
                <w:ilvl w:val="0"/>
                <w:numId w:val="15"/>
              </w:num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Определение требований к программе.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5"/>
              </w:num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Определение стадий. Этапов и сроков разработки программы и документации на нее.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5"/>
              </w:num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Согласование и утверждение технического задания.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Утвержденное техническое задание.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04.12.2024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Разработка программы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numPr>
                <w:ilvl w:val="0"/>
                <w:numId w:val="14"/>
              </w:numPr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Разработка и тестирование программы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numPr>
                <w:ilvl w:val="0"/>
                <w:numId w:val="7"/>
              </w:num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Полностью работоспособная программа.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01.04.2025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Разработка программной документации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numPr>
                <w:ilvl w:val="0"/>
                <w:numId w:val="12"/>
              </w:numPr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Разработка программных документов в соответствии с требованиями ГОСТ 19.101-77.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numPr>
                <w:ilvl w:val="0"/>
                <w:numId w:val="13"/>
              </w:num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Написана “Пояснительная записка”.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3"/>
              </w:num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Написано “Руководство оператора”.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3"/>
              </w:num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Написан “Текст программы”. 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15.04.2025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Испытания программы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Разработка, согласование и утверждение порядка и методики испытаний.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Отладка программы и программной документации по результатам испытаний.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numPr>
                <w:ilvl w:val="0"/>
                <w:numId w:val="5"/>
              </w:num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Написана и утверждена “Программа и методика испытаний”.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5"/>
              </w:num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Проведены финальные правки программных документов.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20.04.2025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Подготовка и передача программы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Подготовка и передача программы и программной документации для сопровождения.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numPr>
                <w:ilvl w:val="0"/>
                <w:numId w:val="6"/>
              </w:num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Написан и отлажен контейнер для программы.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6"/>
              </w:num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Сервис полностью готов к передаче и установке в необходимой системе.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01.05.2025</w:t>
            </w:r>
          </w:p>
        </w:tc>
      </w:tr>
    </w:tbl>
    <w:p w:rsidR="00000000" w:rsidDel="00000000" w:rsidP="00000000" w:rsidRDefault="00000000" w:rsidRPr="00000000" w14:paraId="00000035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2. Используемый технологический стек и его обоснование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2.1 Перечень используемых технологий:</w:t>
      </w:r>
    </w:p>
    <w:tbl>
      <w:tblPr>
        <w:tblStyle w:val="Table2"/>
        <w:tblW w:w="8630.0" w:type="dxa"/>
        <w:jc w:val="left"/>
        <w:tblBorders>
          <w:top w:color="4bacc6" w:space="0" w:sz="24" w:val="single"/>
          <w:left w:color="f79646" w:space="0" w:sz="4" w:val="single"/>
          <w:bottom w:color="f79646" w:space="0" w:sz="4" w:val="single"/>
          <w:right w:color="f79646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3107"/>
        <w:gridCol w:w="2766"/>
        <w:gridCol w:w="2757"/>
        <w:tblGridChange w:id="0">
          <w:tblGrid>
            <w:gridCol w:w="3107"/>
            <w:gridCol w:w="2766"/>
            <w:gridCol w:w="275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Технология/Инструмент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Причины выбора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Golang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Быстрый , простой и эффективный язык, удобный для разработки веб и микро сервисов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Удобное взаимодействие с GRPC, удобен для разработки веб-сервисов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  <w:t xml:space="preserve">RPC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Высокопроизводительный фреймворк для создания распределённых систем, использующий протобуферы для определения интерфейсов и передачи данных.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Высокая производительность, эффективная сериализация данных, поддержка различных языков программирования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MongoDB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NoSQL база данных, хранящая данные в формате BSON (похожем на JSON), обеспечивающая гибкость и масштабируемость.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Гибкая схема данных, масштабируемость, простота горизонтального масштабирования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Docker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платформа для контейнеризации, позволяющая упаковывать приложения и их зависимости в изолированные контейнеры для легкого запуска и развертывания.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Легкое развертывание, воспроизводимость среды, изоляция зависимостей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Git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это система контроля версий, позволяющая отслеживать изменения в коде и сотрудничать над проектами.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Управление версиями кода, отслеживание изменений, сотрудничество в команде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2.2 Обоснование выбранного технологического стека: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8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212529"/>
          <w:sz w:val="28"/>
          <w:szCs w:val="28"/>
          <w:rtl w:val="0"/>
        </w:rPr>
        <w:t xml:space="preserve">Golang: Использование Golang обеспечивает высокую производительность и эффективность обработки JSON-данных. Его встроенная поддержка конкурентности позволяет обрабатывать множество запросов одновременно, что критично для сервиса с высокой нагрузкой. Простота и читаемость кода Go способствует быстрой разработке и сопровождению проекта.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212529"/>
          <w:sz w:val="28"/>
          <w:szCs w:val="28"/>
          <w:rtl w:val="0"/>
        </w:rPr>
        <w:t xml:space="preserve">gRPC: gRPC выбран в качестве фреймворка для межсервисного взаимодействия благодаря его высокой производительности и эффективности. Использование протобуферов обеспечивает быструю сериализацию/десериализацию JSON-данных, что критически важно для производительности сервиса.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212529"/>
          <w:sz w:val="28"/>
          <w:szCs w:val="28"/>
          <w:rtl w:val="0"/>
        </w:rPr>
        <w:t xml:space="preserve">MongoDB: MongoDB идеально подходит для хранения JSON-данных благодаря своей гибкой схеме. Это позволяет легко адаптироваться к изменениям структуры данных без необходимости модификации схемы базы данных. Масштабируемость MongoDB обеспечивает возможность обработки больших объемов данных и высоких нагрузок.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212529"/>
          <w:sz w:val="28"/>
          <w:szCs w:val="28"/>
          <w:rtl w:val="0"/>
        </w:rPr>
        <w:t xml:space="preserve">Docker: Использование Docker позволяет легко упаковывать и развертывать сервис, обеспечивая воспроизводимость среды и упрощая процесс развертывания на различных платформах. Контейнеризация способствует стабильности работы сервиса и упрощает его масштабирование.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212529"/>
          <w:sz w:val="28"/>
          <w:szCs w:val="28"/>
          <w:rtl w:val="0"/>
        </w:rPr>
        <w:t xml:space="preserve">Git: Git используется для управления версиями кода, что позволяет отслеживать изменения, сотрудничать в команде и легко возвращаться к предыдущим версиям кода при необходимости.</w:t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3. Критерии оценивания проекта</w:t>
      </w:r>
      <w:r w:rsidDel="00000000" w:rsidR="00000000" w:rsidRPr="00000000">
        <w:rPr>
          <w:rtl w:val="0"/>
        </w:rPr>
      </w:r>
    </w:p>
    <w:tbl>
      <w:tblPr>
        <w:tblStyle w:val="Table3"/>
        <w:tblW w:w="8630.0" w:type="dxa"/>
        <w:jc w:val="left"/>
        <w:tblBorders>
          <w:top w:color="4bacc6" w:space="0" w:sz="24" w:val="single"/>
          <w:left w:color="f79646" w:space="0" w:sz="4" w:val="single"/>
          <w:bottom w:color="f79646" w:space="0" w:sz="4" w:val="single"/>
          <w:right w:color="f79646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4321"/>
        <w:gridCol w:w="4309"/>
        <w:tblGridChange w:id="0">
          <w:tblGrid>
            <w:gridCol w:w="4321"/>
            <w:gridCol w:w="43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Критерий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Работа с базой данных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Будут использованы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5E">
            <w:pPr>
              <w:ind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Функциональность - Процент выполнения функциональных требований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Выполненные требования в процентах от общего количества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Функциональность - Количество реализованных функций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Абсолютное количество функций, которые работают правильно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Производительность и эффективность - Время отклика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Среднее время ответа программы на запросы пользователя (в секундах)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Производительность и эффективность - Потребление ресурсов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Среднее потребление памяти (в МБ) и процессорного времени (в 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Качество кода - Покрытие кода тестами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Процент строк кода, покрытых тестами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Документация и оформление - Полнота документации (%)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Процент от требуемого объема документации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Тестирование - Количество написанных тестов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Общее количество юнит-тестов, интеграционных тестов и других видов тестов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Тестирование - Процент успешных тестов (%)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Процент успешно пройденных тестов из общего количества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Совместимость и кроссплатформенность - Количество поддерживаемых платформ/ОС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Количество платформ, на которых работает проект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Совместимость и кроссплатформенность - Количество интеграций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Число успешных интеграций с другими системами или сервисами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Соблюдение сроков и плана - Процент выполнения работы в срок (%)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Процент задач, выполненных в срок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Соблюдение сроков и плана - Количество дней отклонения от плана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Общее число дней отклонения от плана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Использование технологического стека - Процент использования функциональности стека (%)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Процент использования функциональности выбранного стека технологий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7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Оценка командной работы - Среднее время коммуникации (в часах)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Среднее время, потраченное на обсуждение задач и решение вопросов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7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Оценка командной работы - Количество завершенных задач на каждого участника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Общее число задач, выполненных каждым членом команды</w:t>
            </w:r>
          </w:p>
        </w:tc>
      </w:tr>
    </w:tbl>
    <w:p w:rsidR="00000000" w:rsidDel="00000000" w:rsidP="00000000" w:rsidRDefault="00000000" w:rsidRPr="00000000" w14:paraId="0000007C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4. Особые пометки</w:t>
      </w:r>
    </w:p>
    <w:p w:rsidR="00000000" w:rsidDel="00000000" w:rsidP="00000000" w:rsidRDefault="00000000" w:rsidRPr="00000000" w14:paraId="00000082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8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212529"/>
          <w:sz w:val="28"/>
          <w:szCs w:val="28"/>
          <w:rtl w:val="0"/>
        </w:rPr>
        <w:t xml:space="preserve">Мониторинг производительности: Необходимо реализовать систему мониторинга производительности сервиса, чтобы отслеживать задержки, количество обрабатываемых запросов и другие ключевые метрики. Это позволит своевременно выявлять и устранять узкие места и обеспечивать стабильную работу сервиса.</w:t>
      </w:r>
    </w:p>
    <w:p w:rsidR="00000000" w:rsidDel="00000000" w:rsidP="00000000" w:rsidRDefault="00000000" w:rsidRPr="00000000" w14:paraId="00000083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212529"/>
          <w:sz w:val="28"/>
          <w:szCs w:val="28"/>
          <w:rtl w:val="0"/>
        </w:rPr>
        <w:t xml:space="preserve">Обработка ошибок: Сервис должен надежно обрабатывать различные типы ошибок, включая ошибки в формате входных JSON-данных, ошибки подключения к базе данных и другие. Необходимо реализовать механизмы логирования ошибок и уведомления администраторов о критических событиях.</w:t>
      </w:r>
    </w:p>
    <w:p w:rsidR="00000000" w:rsidDel="00000000" w:rsidP="00000000" w:rsidRDefault="00000000" w:rsidRPr="00000000" w14:paraId="00000084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212529"/>
          <w:sz w:val="28"/>
          <w:szCs w:val="28"/>
          <w:rtl w:val="0"/>
        </w:rPr>
        <w:t xml:space="preserve">Безопасность: Необходимо обеспечить безопасность сервиса, защитив его от различных угроз, таких как SQL-инъекции (хотя и используется MongoDB, всё равно следует придерживаться безопасной практики), DoS-атаки и другие. Для этого следует использовать проверку входных данных, защиту от переполнения буфера и другие меры безопасности.</w:t>
      </w:r>
    </w:p>
    <w:p w:rsidR="00000000" w:rsidDel="00000000" w:rsidP="00000000" w:rsidRDefault="00000000" w:rsidRPr="00000000" w14:paraId="00000085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212529"/>
          <w:sz w:val="28"/>
          <w:szCs w:val="28"/>
          <w:rtl w:val="0"/>
        </w:rPr>
        <w:t xml:space="preserve">Тестирование: Необходимо провести всестороннее тестирование сервиса, включая юнит-тесты, интеграционные тесты и нагрузочное тестирование. Это позволит выявить и устранить ошибки на ранних этапах разработки и обеспечить высокое качество сервиса.</w:t>
      </w:r>
    </w:p>
    <w:p w:rsidR="00000000" w:rsidDel="00000000" w:rsidP="00000000" w:rsidRDefault="00000000" w:rsidRPr="00000000" w14:paraId="00000086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212529"/>
          <w:sz w:val="28"/>
          <w:szCs w:val="28"/>
          <w:rtl w:val="0"/>
        </w:rPr>
        <w:t xml:space="preserve">Масштабируемость: Хотя выбранный стек технологий (MongoDB, Golang с goroutines) ориентирован на масштабируемость, необходимо заранее продумать стратегию масштабирования сервиса при увеличении нагрузки. Это может включать в себя использование балансировки нагрузки, кэширования и других методов оптимизации.</w:t>
      </w:r>
    </w:p>
    <w:p w:rsidR="00000000" w:rsidDel="00000000" w:rsidP="00000000" w:rsidRDefault="00000000" w:rsidRPr="00000000" w14:paraId="00000087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212529"/>
          <w:sz w:val="28"/>
          <w:szCs w:val="28"/>
          <w:rtl w:val="0"/>
        </w:rPr>
        <w:t xml:space="preserve">Документация: Необходимо вести подробную документацию как по коду, так и по архитектуре сервиса. Это упростит дальнейшее развитие и поддержку проекта.</w:t>
      </w:r>
    </w:p>
    <w:p w:rsidR="00000000" w:rsidDel="00000000" w:rsidP="00000000" w:rsidRDefault="00000000" w:rsidRPr="00000000" w14:paraId="00000088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212529"/>
          <w:sz w:val="28"/>
          <w:szCs w:val="28"/>
          <w:rtl w:val="0"/>
        </w:rPr>
        <w:t xml:space="preserve">Зависимости: Необходимо отслеживать версии используемых библиотек и фреймворков, чтобы избежать проблем с совместимостью в будущем. Регулярное обновление зависимостей — важная часть поддержки проекта.</w:t>
      </w:r>
    </w:p>
    <w:p w:rsidR="00000000" w:rsidDel="00000000" w:rsidP="00000000" w:rsidRDefault="00000000" w:rsidRPr="00000000" w14:paraId="0000008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120" w:hanging="360"/>
      </w:pPr>
      <w:rPr>
        <w:u w:val="none"/>
      </w:rPr>
    </w:lvl>
  </w:abstractNum>
  <w:abstractNum w:abstractNumId="4">
    <w:lvl w:ilvl="0">
      <w:start w:val="2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1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2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12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2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ada" w:val="clear"/>
    </w:tc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ada" w:val="clear"/>
    </w:tcPr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ada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