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CVM/GGP/GPM/ELCALLAO1/0001/0725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03:09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ITRSO/F/ELCALLAO1/0001/0725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GERMAN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132123123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