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Parte 3: Constelação e integração</w:t>
      </w:r>
    </w:p>
    <w:p>
      <w:pPr>
        <w:pStyle w:val="BodyText"/>
        <w:bidi w:val="0"/>
        <w:jc w:val="start"/>
        <w:rPr/>
      </w:pPr>
      <w:r>
        <w:rPr/>
        <w:t>Slides 12 a 17 · cerca de 5 minutos</w:t>
      </w:r>
    </w:p>
    <w:p>
      <w:pPr>
        <w:pStyle w:val="BodyText"/>
        <w:bidi w:val="0"/>
        <w:jc w:val="start"/>
        <w:rPr/>
      </w:pPr>
      <w:r>
        <w:rPr/>
        <w:t>A parte 3 explica como as três estrelas viram um DW só e por que isso permite a pergunta central. É também onde aparecem as decisões técnicas que a professora mais costuma cobrar: dimensões conformes, integração, hierarquias e os aspectos de modelagem.</w:t>
      </w:r>
    </w:p>
    <w:p>
      <w:pPr>
        <w:pStyle w:val="Heading2"/>
        <w:bidi w:val="0"/>
        <w:ind w:hanging="0" w:start="0"/>
        <w:jc w:val="start"/>
        <w:rPr/>
      </w:pPr>
      <w:r>
        <w:rPr/>
        <w:t>Slide 12 · Abertura: constelação e integração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O divisor da parte 3.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Até aqui cada processo foi modelado sozinho. Só que três estrelas isoladas são três bancos separados: não dá para cruzar oferta com internações. Esta parte mostra o que liga as estrelas (as dimensões compartilhadas) e o trabalho necessário para que elas possam ser compartilhadas (a integração dos dados).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Na parte anterior a gente viu três estrelas separadas. Agora eu vou mostrar como elas viram uma coisa só, e o que a gente teve que fazer com os dados pra isso funcionar.”</w:t>
      </w:r>
    </w:p>
    <w:p>
      <w:pPr>
        <w:pStyle w:val="Heading2"/>
        <w:bidi w:val="0"/>
        <w:ind w:hanging="0" w:start="0"/>
        <w:jc w:val="start"/>
        <w:rPr/>
      </w:pPr>
      <w:r>
        <w:rPr/>
        <w:t>Slide 13 · Constelação de fatos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Os três fatos (em azul) ligados às dimensões; as dimensões com borda grossa são compartilhadas. Embaixo, os quatro passos do projeto.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Uma </w:t>
      </w:r>
      <w:r>
        <w:rPr>
          <w:b/>
        </w:rPr>
        <w:t>constelação de fatos</w:t>
      </w:r>
      <w:r>
        <w:rPr/>
        <w:t xml:space="preserve"> (ou esquema galáxia) é um esquema com várias tabelas de fatos que compartilham tabelas de dimensão. Ela foi obtida em quatro passos: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Estrelas separadas</w:t>
      </w:r>
      <w:r>
        <w:rPr/>
        <w:t>: cada processo modelado com seu grão, fatos e dimensões.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Dimensões em comum</w:t>
      </w:r>
      <w:r>
        <w:rPr/>
        <w:t>: comparando as estrelas, aparecem as que se repetem.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Conformar</w:t>
      </w:r>
      <w:r>
        <w:rPr/>
        <w:t>: cada dimensão comum passa a ter uma única definição, com a mesma chave, os mesmos atributos e os mesmos valores em todos os fatos.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Ligar os fatos</w:t>
      </w:r>
      <w:r>
        <w:rPr/>
        <w:t>: os três fatos apontam para as mesmas tabelas de dimensão.</w:t>
      </w:r>
    </w:p>
    <w:p>
      <w:pPr>
        <w:pStyle w:val="BodyText"/>
        <w:bidi w:val="0"/>
        <w:jc w:val="start"/>
        <w:rPr/>
      </w:pPr>
      <w:r>
        <w:rPr/>
        <w:t xml:space="preserve">O passo 3 é o coração: uma </w:t>
      </w:r>
      <w:r>
        <w:rPr>
          <w:b/>
        </w:rPr>
        <w:t>dimensão conforme</w:t>
      </w:r>
      <w:r>
        <w:rPr/>
        <w:t xml:space="preserve"> é aquela que significa exatamente a mesma coisa em todos os fatos. Por exemplo, o tempo usa sempre o mês, e “mês” tem o mesmo significado nas três fontes. Foi por isso que o grão do tempo foi fixado no mês: é o menor nível que as três fontes têm em comum.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As compartilhadas são tempo, estabelecimento, procedimento, perfil do paciente e localidade. O enunciado pede pelo menos uma constelação; é ela que torna possível a consulta 5.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Isso aqui é a constelação de fatos: os três fatos, em azul, apontando pras mesmas dimensões. A gente chegou nela em quatro passos: modelou cada estrela separada, viu quais dimensões se repetiam, conformou essas dimensões e aí ligou tudo. Conformar é a parte importante: quer dizer que, por exemplo, o tempo é exatamente a mesma tabela, com a mesma chave e o mesmo significado, nos três fatos. Por isso a gente fixou o tempo no mês, que é o menor nível que as três fontes têm em comum. As dimensões com borda grossa são as compartilhadas.”</w:t>
      </w:r>
    </w:p>
    <w:p>
      <w:pPr>
        <w:pStyle w:val="Heading2"/>
        <w:bidi w:val="0"/>
        <w:ind w:hanging="0" w:start="0"/>
        <w:jc w:val="start"/>
        <w:rPr/>
      </w:pPr>
      <w:r>
        <w:rPr/>
        <w:t>Slide 14 · Quem usa o quê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Uma matriz com as dimensões nas linhas e os fatos nas colunas; as cinco primeiras linhas (destacadas) são as dimensões conformes.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Essa é a </w:t>
      </w:r>
      <w:r>
        <w:rPr>
          <w:b/>
        </w:rPr>
        <w:t>matriz de barramento</w:t>
      </w:r>
      <w:r>
        <w:rPr/>
        <w:t xml:space="preserve"> (bus matrix) do Kimball: a forma mais rápida de ver a arquitetura de um DW. Cada coluna é um processo; cada linha é uma dimensão; uma marca diz que o fato usa aquela dimensão.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Dimensão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fato_equipe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fato_internacao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fato_producao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tempo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estabelecimento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procedimento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perfil do paciente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localidade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tipo de equipe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diagnóstico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bugiganga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ocupação (CBO)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✓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Lendo pelas linhas: uma dimensão que aparece em mais de um fato precisa ser conforme. Lendo pelas colunas: cada coluna é uma estrela da parte 2.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Só tempo e estabelecimento aparecem nos três fatos. Então são eles o “caminho” por onde os três processos podem ser comparados: a consulta 5 junta os fatos pelo mês e filtra pelo município.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A mesma coisa em forma de matriz, que é a matriz de barramento: nas linhas as dimensões, nas colunas os fatos. As cinco de cima aparecem em mais de um fato, então são as conformes. E repara que só tempo e estabelecimento aparecem nos três. Isso é importante: é por elas que dá pra comparar equipes, atendimentos e internações na mesma análise, que é o que a consulta 5, o drill-across, vai fazer.”</w:t>
      </w:r>
    </w:p>
    <w:p>
      <w:pPr>
        <w:pStyle w:val="Heading2"/>
        <w:bidi w:val="0"/>
        <w:ind w:hanging="0" w:start="0"/>
        <w:jc w:val="start"/>
        <w:rPr/>
      </w:pPr>
      <w:r>
        <w:rPr/>
        <w:t>Slide 15 · Mesmo dado, códigos diferentes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Cinco dados que chegam com representações diferentes de duas fontes, e a representação escolhida no DW.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</w:t>
      </w:r>
      <w:r>
        <w:rPr>
          <w:b/>
        </w:rPr>
        <w:t>Integração</w:t>
      </w:r>
      <w:r>
        <w:rPr/>
        <w:t xml:space="preserve"> é resolver os conflitos quando o mesmo dado chega de fontes diferentes com códigos diferentes. Sem isso, a dimensão não pode ser conforme: “feminino” no SIH e “feminino” no SIA precisam virar o mesmo valor.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Dado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Fonte A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Fonte B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 DW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Sexo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SIH: 1 = masculino, 3 = feminino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SIA: M, F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M, F, I (ignorado)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Idade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SIH: valor + unidade (dias, meses, anos)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SIA: anos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faixa etária e ciclo de vida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Município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DATASUS: 6 dígitos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IBGE: 7 dígitos (com dígito verificador)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 dígitos, nome do IBGE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CNES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às vezes sem os zeros à esquerda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API: número inteiro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texto com 7 dígitos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Competência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SIH: ano e mês separados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SIA e CNES: AAAAMM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ano_mes (AAAAMM)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 exemplo da idade mostra por que não dá para usar o campo direto: no SIH, “7” com unidade “meses” é um bebê de 7 meses, que no SIA aparece como 0 anos. Os dois viram a faixa 00-04 e o ciclo “Criança”.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Ao rodar com dados reais, a integração funcionou: todas as chaves estrangeiras dos três fatos foram resolvidas. Ela também mostrou a qualidade da fonte: cerca de 6% das linhas brutas do SIA chegam sem sexo informado, e vão para o valor “I”. Um ajuste extra: no SIA usamos o mês de processamento (</w:t>
      </w:r>
      <w:r>
        <w:rPr>
          <w:rFonts w:ascii="Liberation Mono" w:hAnsi="Liberation Mono"/>
        </w:rPr>
        <w:t>PA_MVM</w:t>
      </w:r>
      <w:r>
        <w:rPr/>
        <w:t>), que é o mesmo critério de competência do SIH.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Mas pra conformar as dimensões, os dados têm que falar a mesma língua, e eles não falam. O sexo, por exemplo: no SIH é 1 e 3, no SIA é M e F. No DW fica M, F e I de ignorado. A idade é pior: o SIH manda um número mais uma unidade, então 7 meses vem como ‘7 meses’, e o SIA manda 0 anos. Os dois viram a faixa de 0 a 4 anos, criança. Município tem 6 dígitos no DATASUS e 7 no IBGE, o CNES às vezes perde o zero da frente, e a competência vem separada no SIH. E funcionou: com os dados reais, todas as chaves foram resolvidas.”</w:t>
      </w:r>
    </w:p>
    <w:p>
      <w:pPr>
        <w:pStyle w:val="Heading2"/>
        <w:bidi w:val="0"/>
        <w:ind w:hanging="0" w:start="0"/>
        <w:jc w:val="start"/>
        <w:rPr/>
      </w:pPr>
      <w:r>
        <w:rPr/>
        <w:t>Slide 16 · Hierarquias (≤)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Três hierarquias: tempo, diagnóstico (duas) e procedimento (no próprio código SIGTAP).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Uma </w:t>
      </w:r>
      <w:r>
        <w:rPr>
          <w:b/>
        </w:rPr>
        <w:t>hierarquia</w:t>
      </w:r>
      <w:r>
        <w:rPr/>
        <w:t xml:space="preserve"> organiza os atributos de uma dimensão do mais detalhado ao mais agregado. A notação usa o operador de ordem parcial: </w:t>
      </w:r>
      <w:r>
        <w:rPr>
          <w:rFonts w:ascii="Liberation Mono" w:hAnsi="Liberation Mono"/>
        </w:rPr>
        <w:t>A ≤ B</w:t>
      </w:r>
      <w:r>
        <w:rPr/>
        <w:t xml:space="preserve"> quer dizer que A é mais detalhado que B e que cada valor de A pertence a um único valor de B. As hierarquias são o “trilho” das operações de roll-up (subir) e drill-down (descer).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Tempo</w:t>
      </w:r>
      <w:r>
        <w:rPr/>
        <w:t xml:space="preserve">: </w:t>
      </w:r>
      <w:r>
        <w:rPr>
          <w:rFonts w:ascii="Liberation Mono" w:hAnsi="Liberation Mono"/>
        </w:rPr>
        <w:t>ano_mes ≤ trimestre ≤ semestre ≤ ano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Diagnóstico</w:t>
      </w:r>
      <w:r>
        <w:rPr/>
        <w:t xml:space="preserve"> tem duas hierarquias na mesma dimensão. A da CID-10: </w:t>
      </w:r>
      <w:r>
        <w:rPr>
          <w:rFonts w:ascii="Liberation Mono" w:hAnsi="Liberation Mono"/>
        </w:rPr>
        <w:t>J181 ≤ J18 ≤ capítulo X</w:t>
      </w:r>
      <w:r>
        <w:rPr/>
        <w:t xml:space="preserve"> (subcategoria, categoria, capítulo). A das ICSAP: </w:t>
      </w:r>
      <w:r>
        <w:rPr>
          <w:rFonts w:ascii="Liberation Mono" w:hAnsi="Liberation Mono"/>
        </w:rPr>
        <w:t>J181 ≤ pneumonias bacterianas ≤ ICSAP sim</w:t>
      </w:r>
      <w:r>
        <w:rPr/>
        <w:t>. Um mesmo código sobe por dois caminhos diferentes.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Procedimento</w:t>
      </w:r>
      <w:r>
        <w:rPr/>
        <w:t>: o código SIGTAP de 10 dígitos já é hierárquico. Os 2 primeiros dígitos são o grupo, os 4 primeiros o subgrupo, os 6 primeiros a forma de organização, e o código inteiro o procedimento.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Cada consulta anda por uma dessas hierarquias: a consulta 1 sobe no tempo (mês, trimestre, ano) e a consulta 2 desce no procedimento (grupo, subgrupo, procedimento).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As dimensões têm hierarquias, e a gente usa a notação com o menor ou igual: A ≤ B quer dizer que A é mais detalhado e cada A cabe em um único B. No tempo é o óbvio: mês, trimestre, semestre, ano. O diagnóstico é o mais interessante, porque tem duas: a da CID, que vai do código até o capítulo, e a das ICSAP, que vai do código até o grupo e até ‘é ICSAP ou não’. E no procedimento a hierarquia tá dentro do próprio código do SIGTAP: os dois primeiros dígitos são o grupo, os quatro o subgrupo, e assim vai. É por esses trilhos que o roll-up e o drill-down andam.”</w:t>
      </w:r>
    </w:p>
    <w:p>
      <w:pPr>
        <w:pStyle w:val="Heading2"/>
        <w:bidi w:val="0"/>
        <w:ind w:hanging="0" w:start="0"/>
        <w:jc w:val="start"/>
        <w:rPr/>
      </w:pPr>
      <w:r>
        <w:rPr/>
        <w:t>Slide 17 · Decisões de modelagem</w:t>
      </w:r>
    </w:p>
    <w:p>
      <w:pPr>
        <w:pStyle w:val="BodyText"/>
        <w:bidi w:val="0"/>
        <w:jc w:val="start"/>
        <w:rPr/>
      </w:pPr>
      <w:r>
        <w:rPr>
          <w:b/>
        </w:rPr>
        <w:t>O que o slide mostra.</w:t>
      </w:r>
      <w:r>
        <w:rPr/>
        <w:t xml:space="preserve"> Seis cartões com as decisões de modelagem do DW.</w:t>
      </w:r>
    </w:p>
    <w:p>
      <w:pPr>
        <w:pStyle w:val="BodyText"/>
        <w:bidi w:val="0"/>
        <w:jc w:val="start"/>
        <w:rPr/>
      </w:pPr>
      <w:r>
        <w:rPr>
          <w:b/>
        </w:rPr>
        <w:t>A aula.</w:t>
      </w:r>
      <w:r>
        <w:rPr/>
        <w:t xml:space="preserve"> Cada cartão é um conceito clássico de modelagem dimensional: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Chave artificial</w:t>
      </w:r>
      <w:r>
        <w:rPr/>
        <w:t xml:space="preserve"> (</w:t>
      </w:r>
      <w:r>
        <w:rPr>
          <w:rFonts w:ascii="Liberation Mono" w:hAnsi="Liberation Mono"/>
        </w:rPr>
        <w:t>sk_*</w:t>
      </w:r>
      <w:r>
        <w:rPr/>
        <w:t>): toda dimensão tem uma chave própria, sem significado, gerada na carga. Isso isola o DW dos códigos das fontes, que mudam e às vezes vêm com problemas. Toda dimensão tem também um membro 0 “Não informado”: quando a fonte não traz o valor, o fato aponta para o 0 em vez de ser perdido.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Tabela bugiganga</w:t>
      </w:r>
      <w:r>
        <w:rPr/>
        <w:t xml:space="preserve"> (</w:t>
      </w:r>
      <w:r>
        <w:rPr>
          <w:rFonts w:ascii="Liberation Mono" w:hAnsi="Liberation Mono"/>
        </w:rPr>
        <w:t>dim_junk</w:t>
      </w:r>
      <w:r>
        <w:rPr/>
        <w:t>): caráter, óbito e UTI numa dimensão só.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Dimensão degenerada</w:t>
      </w:r>
      <w:r>
        <w:rPr/>
        <w:t xml:space="preserve"> (</w:t>
      </w:r>
      <w:r>
        <w:rPr>
          <w:rFonts w:ascii="Liberation Mono" w:hAnsi="Liberation Mono"/>
        </w:rPr>
        <w:t>n_aih</w:t>
      </w:r>
      <w:r>
        <w:rPr/>
        <w:t xml:space="preserve"> e </w:t>
      </w:r>
      <w:r>
        <w:rPr>
          <w:rFonts w:ascii="Liberation Mono" w:hAnsi="Liberation Mono"/>
        </w:rPr>
        <w:t>id_equipe</w:t>
      </w:r>
      <w:r>
        <w:rPr/>
        <w:t>): identificadores que ficam no fato, sem tabela própria.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Fato sem fato</w:t>
      </w:r>
      <w:r>
        <w:rPr/>
        <w:t xml:space="preserve"> (</w:t>
      </w:r>
      <w:r>
        <w:rPr>
          <w:rFonts w:ascii="Liberation Mono" w:hAnsi="Liberation Mono"/>
        </w:rPr>
        <w:t>COUNT(*)</w:t>
      </w:r>
      <w:r>
        <w:rPr/>
        <w:t xml:space="preserve">): </w:t>
      </w:r>
      <w:r>
        <w:rPr>
          <w:rFonts w:ascii="Liberation Mono" w:hAnsi="Liberation Mono"/>
        </w:rPr>
        <w:t>fato_equipe</w:t>
      </w:r>
      <w:r>
        <w:rPr/>
        <w:t xml:space="preserve"> registra só a existência de uma equipe ativa num mês.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Mini-dimensão</w:t>
      </w:r>
      <w:r>
        <w:rPr/>
        <w:t xml:space="preserve"> (sexo × faixa etária): o paciente do SUS não tem identificação pública, então não existe uma dimensão “paciente”. Os atributos demográficos viram uma dimensão pequena, com uma linha por combinação, compartilhada pelos fatos.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Demanda ≠ oferta</w:t>
      </w:r>
      <w:r>
        <w:rPr/>
        <w:t xml:space="preserve">: as consultas sobre a população filtram pelo município de </w:t>
      </w:r>
      <w:r>
        <w:rPr>
          <w:b/>
        </w:rPr>
        <w:t>residência</w:t>
      </w:r>
      <w:r>
        <w:rPr/>
        <w:t xml:space="preserve">; as sobre a rede instalada filtram pelo município do </w:t>
      </w:r>
      <w:r>
        <w:rPr>
          <w:b/>
        </w:rPr>
        <w:t>estabelecimento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Como se liga ao trabalho.</w:t>
      </w:r>
      <w:r>
        <w:rPr/>
        <w:t xml:space="preserve"> Os quatro primeiros são os aspectos que o enunciado pede; os dois últimos são decisões nossas. A última pesa nos números: nos dados brutos, cerca de 6,8 mil internações em São Carlos são de quem mora em outra cidade, e cerca de 3,3 mil moradores foram internados fora. Por isso a demanda filtra por residência: a pergunta é sobre a população de São Carlos, onde quer que ela tenha sido atendida.</w:t>
      </w:r>
    </w:p>
    <w:p>
      <w:pPr>
        <w:pStyle w:val="BodyText"/>
        <w:bidi w:val="0"/>
        <w:jc w:val="start"/>
        <w:rPr/>
      </w:pPr>
      <w:r>
        <w:rPr>
          <w:b/>
        </w:rPr>
        <w:t>Fala de exemplo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Pra fechar a minha parte, as decisões de modelagem. Toda dimensão tem chave artificial e um membro zero, ‘não informado’, pra nenhum fato se perder quando falta dado. Tem a bugiganga e as dimensões degeneradas que apareceram na parte 2, e o fato sem fato das equipes. A mini-dimensão de perfil existe porque o paciente do SUS não tem identificação pública, então o que a gente tem é sexo e faixa etária. E uma que mexe muito nos números: demanda é diferente de oferta. Uns 6,8 mil internados em São Carlos moram em outra cidade, então quando a pergunta é sobre a população, a gente filtra por onde a pessoa mora. Agora vamos para as consultas.”</w:t>
      </w:r>
    </w:p>
    <w:p>
      <w:pPr>
        <w:pStyle w:val="Heading2"/>
        <w:bidi w:val="0"/>
        <w:ind w:hanging="0" w:start="0"/>
        <w:jc w:val="start"/>
        <w:rPr/>
      </w:pPr>
      <w:r>
        <w:rPr/>
        <w:t>Lembretes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 explicações são para estudar antes: leiam a parte de vocês e também a dos outros, porque a professora pode perguntar qualquer coisa a qualquer um.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 falas têm de 40 segundos a 1 minuto por slide. Não decorem palavra por palavra: guardem a ideia e os números.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Os números citados são os resultados reais do notebook (dados de 2023 e 2024). As mesmas falas, em versão curta, estão nas notas do apresentador (tecla N na apresentação).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