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Parte 4: Consultas OLAP</w:t>
      </w:r>
    </w:p>
    <w:p>
      <w:pPr>
        <w:pStyle w:val="BodyText"/>
        <w:bidi w:val="0"/>
        <w:jc w:val="start"/>
        <w:rPr/>
      </w:pPr>
      <w:r>
        <w:rPr/>
        <w:t>Slides 18 a 24 · cerca de 5 minutos</w:t>
      </w:r>
    </w:p>
    <w:p>
      <w:pPr>
        <w:pStyle w:val="BodyText"/>
        <w:bidi w:val="0"/>
        <w:jc w:val="start"/>
        <w:rPr/>
      </w:pPr>
      <w:r>
        <w:rPr/>
        <w:t>A parte 4 é o DW funcionando: cinco consultas, uma para cada operação OLAP, todas com os dados reais de 2023 e 2024. São 8 slides em 5 minutos, então o ritmo é: nome da operação, o que ela faz, o achado principal, próximo slide.</w:t>
      </w:r>
    </w:p>
    <w:p>
      <w:pPr>
        <w:pStyle w:val="Heading2"/>
        <w:bidi w:val="0"/>
        <w:ind w:hanging="0" w:start="0"/>
        <w:jc w:val="start"/>
        <w:rPr/>
      </w:pPr>
      <w:r>
        <w:rPr/>
        <w:t>Slide 18 · Abertura: cinco consultas OLAP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O divisor da parte 4 e as cinco operações.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OLAP (On-Line Analytical Processing) é a análise interativa dos dados como um cubo multidimensional. As cinco operações pedidas no enunciado são: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Roll-up</w:t>
      </w:r>
      <w:r>
        <w:rPr/>
        <w:t>: sobe numa hierarquia e agrega (mês → ano).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Drill-down</w:t>
      </w:r>
      <w:r>
        <w:rPr/>
        <w:t>: desce numa hierarquia e detalha (grupo → procedimento).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Slice and dice</w:t>
      </w:r>
      <w:r>
        <w:rPr/>
        <w:t>: o slice fixa um valor de uma dimensão (ano = 2024); o dice recorta um subcubo restringindo várias dimensões.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Pivot</w:t>
      </w:r>
      <w:r>
        <w:rPr/>
        <w:t>: gira os eixos da tabela, sem mudar os dados.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Drill-across</w:t>
      </w:r>
      <w:r>
        <w:rPr/>
        <w:t>: combina medidas de fatos diferentes através das dimensões conformes.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Cada consulta usa uma operação e responde uma pergunta de gestão. A última é a pergunta central.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Agora a parte boa: o DW funcionando. São cinco consultas, uma pra cada operação OLAP: roll-up, drill-down, slice and dice, pivot e drill-across. E tudo que eu vou mostrar é dado real de 2023 e 2024.”</w:t>
      </w:r>
    </w:p>
    <w:p>
      <w:pPr>
        <w:pStyle w:val="Heading2"/>
        <w:bidi w:val="0"/>
        <w:ind w:hanging="0" w:start="0"/>
        <w:jc w:val="start"/>
        <w:rPr/>
      </w:pPr>
      <w:r>
        <w:rPr/>
        <w:t>Slide 19 · Consulta 1: roll-up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As ICSAP de residentes em três níveis de tempo: 24 barras mensais, 8 trimestrais e 2 anuais.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O roll-up sobe na hierarquia do tempo (</w:t>
      </w:r>
      <w:r>
        <w:rPr>
          <w:rFonts w:ascii="Liberation Mono" w:hAnsi="Liberation Mono"/>
        </w:rPr>
        <w:t>ano_mes ≤ trimestre ≤ ano</w:t>
      </w:r>
      <w:r>
        <w:rPr/>
        <w:t xml:space="preserve">) e soma as internações em cada nível. Funciona porque </w:t>
      </w:r>
      <w:r>
        <w:rPr>
          <w:rFonts w:ascii="Liberation Mono" w:hAnsi="Liberation Mono"/>
        </w:rPr>
        <w:t>qtd_internacoes</w:t>
      </w:r>
      <w:r>
        <w:rPr/>
        <w:t xml:space="preserve"> é aditiva. No SQL do notebook foi usado o </w:t>
      </w:r>
      <w:r>
        <w:rPr>
          <w:rFonts w:ascii="Liberation Mono" w:hAnsi="Liberation Mono"/>
        </w:rPr>
        <w:t>GROUP BY ROLLUP (ano, trimestre)</w:t>
      </w:r>
      <w:r>
        <w:rPr/>
        <w:t xml:space="preserve">, que devolve de uma vez os trimestres, os subtotais de cada ano e o total geral. Elementos do esquema: </w:t>
      </w:r>
      <w:r>
        <w:rPr>
          <w:rFonts w:ascii="Liberation Mono" w:hAnsi="Liberation Mono"/>
        </w:rPr>
        <w:t>fato_internacao</w:t>
      </w:r>
      <w:r>
        <w:rPr/>
        <w:t>, com filtro ICSAP = sim e residência = São Carlos.</w:t>
      </w:r>
    </w:p>
    <w:p>
      <w:pPr>
        <w:pStyle w:val="BodyText"/>
        <w:bidi w:val="0"/>
        <w:jc w:val="start"/>
        <w:rPr/>
      </w:pPr>
      <w:r>
        <w:rPr>
          <w:b/>
        </w:rPr>
        <w:t>Os resultados.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Foram </w:t>
      </w:r>
      <w:r>
        <w:rPr>
          <w:b/>
        </w:rPr>
        <w:t>5.255</w:t>
      </w:r>
      <w:r>
        <w:rPr/>
        <w:t xml:space="preserve"> ICSAP de residentes em dois anos, </w:t>
      </w:r>
      <w:r>
        <w:rPr>
          <w:b/>
        </w:rPr>
        <w:t>16%</w:t>
      </w:r>
      <w:r>
        <w:rPr/>
        <w:t xml:space="preserve"> das 32.799 internações de residentes.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mês, o maior valor é dezembro de 2023 (</w:t>
      </w:r>
      <w:r>
        <w:rPr>
          <w:b/>
        </w:rPr>
        <w:t>291</w:t>
      </w:r>
      <w:r>
        <w:rPr/>
        <w:t>) e o menor é janeiro de 2024 (</w:t>
      </w:r>
      <w:r>
        <w:rPr>
          <w:b/>
        </w:rPr>
        <w:t>167</w:t>
      </w:r>
      <w:r>
        <w:rPr/>
        <w:t>). O mês é o de processamento da AIH, então parte desse sobe e desce é o ritmo de apresentação dos hospitais.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trimestre a série fica estável, entre </w:t>
      </w:r>
      <w:r>
        <w:rPr>
          <w:b/>
        </w:rPr>
        <w:t>572 e 728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ano: </w:t>
      </w:r>
      <w:r>
        <w:rPr>
          <w:b/>
        </w:rPr>
        <w:t>2.700</w:t>
      </w:r>
      <w:r>
        <w:rPr/>
        <w:t xml:space="preserve"> em 2023 e </w:t>
      </w:r>
      <w:r>
        <w:rPr>
          <w:b/>
        </w:rPr>
        <w:t>2.555</w:t>
      </w:r>
      <w:r>
        <w:rPr/>
        <w:t xml:space="preserve"> em 2024, queda de cerca de </w:t>
      </w:r>
      <w:r>
        <w:rPr>
          <w:b/>
        </w:rPr>
        <w:t>5%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É o indicador de resultado da pergunta central, visto em várias escalas. A lição do roll-up aparece nos dados: a visão mensal é ruidosa, a anual mostra a tendência.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 primeira é um roll-up no tempo. A gente pega as internações evitáveis de quem mora em São Carlos mês a mês e vai subindo: trimestre, depois ano. Foram 5.255 em dois anos, 16% de todas as internações de moradores. No mês oscila bastante, de 167 a 291, até porque o mês aqui é o de processamento da AIH. Mas quando sobe pra trimestre fica bem estável, e no ano dá pra ver uma queda de uns 5%, de 2.700 pra 2.555.”</w:t>
      </w:r>
    </w:p>
    <w:p>
      <w:pPr>
        <w:pStyle w:val="Heading2"/>
        <w:bidi w:val="0"/>
        <w:ind w:hanging="0" w:start="0"/>
        <w:jc w:val="start"/>
        <w:rPr/>
      </w:pPr>
      <w:r>
        <w:rPr/>
        <w:t>Slide 20 · Consulta 2: drill-down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Três colunas de barras: os grupos do SIGTAP, os subgrupos do grupo 02 e os procedimentos do subgrupo 0202. A barra destacada é o caminho escolhido em cada nível.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O drill-down faz o caminho inverso do roll-up: parte de um total agregado e desce na hierarquia do procedimento (</w:t>
      </w:r>
      <w:r>
        <w:rPr>
          <w:rFonts w:ascii="Liberation Mono" w:hAnsi="Liberation Mono"/>
        </w:rPr>
        <w:t>procedimento ≤ subgrupo ≤ grupo</w:t>
      </w:r>
      <w:r>
        <w:rPr/>
        <w:t xml:space="preserve">), sempre abrindo o item de maior volume. Elementos do esquema: </w:t>
      </w:r>
      <w:r>
        <w:rPr>
          <w:rFonts w:ascii="Liberation Mono" w:hAnsi="Liberation Mono"/>
        </w:rPr>
        <w:t>fato_producao_ambulatorial</w:t>
      </w:r>
      <w:r>
        <w:rPr/>
        <w:t xml:space="preserve">, filtrado pelo município do estabelecimento (uma consulta de oferta: o que a rede de São Carlos produz). Medidas: soma de </w:t>
      </w:r>
      <w:r>
        <w:rPr>
          <w:rFonts w:ascii="Liberation Mono" w:hAnsi="Liberation Mono"/>
        </w:rPr>
        <w:t>qtd_aprovada</w:t>
      </w:r>
      <w:r>
        <w:rPr/>
        <w:t xml:space="preserve"> e </w:t>
      </w:r>
      <w:r>
        <w:rPr>
          <w:rFonts w:ascii="Liberation Mono" w:hAnsi="Liberation Mono"/>
        </w:rPr>
        <w:t>valor_aprovado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Os resultados.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grupo </w:t>
      </w:r>
      <w:r>
        <w:rPr>
          <w:b/>
        </w:rPr>
        <w:t>02 (finalidade diagnóstica)</w:t>
      </w:r>
      <w:r>
        <w:rPr/>
        <w:t xml:space="preserve"> lidera em quantidade, com </w:t>
      </w:r>
      <w:r>
        <w:rPr>
          <w:b/>
        </w:rPr>
        <w:t>1,77 milhão</w:t>
      </w:r>
      <w:r>
        <w:rPr/>
        <w:t xml:space="preserve"> de procedimentos aprovados.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grupo </w:t>
      </w:r>
      <w:r>
        <w:rPr>
          <w:b/>
        </w:rPr>
        <w:t>03 (procedimentos clínicos)</w:t>
      </w:r>
      <w:r>
        <w:rPr/>
        <w:t xml:space="preserve"> vem em segundo em quantidade (1,06 milhão), mas tem o </w:t>
      </w:r>
      <w:r>
        <w:rPr>
          <w:b/>
        </w:rPr>
        <w:t>maior valor aprovado: cerca de R$ 31,3 milhões</w:t>
      </w:r>
      <w:r>
        <w:rPr/>
        <w:t>, contra R$ 18 milhões do grupo 02.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grupo 02, o subgrupo </w:t>
      </w:r>
      <w:r>
        <w:rPr>
          <w:b/>
        </w:rPr>
        <w:t>0202 (laboratório clínico)</w:t>
      </w:r>
      <w:r>
        <w:rPr/>
        <w:t xml:space="preserve"> concentra </w:t>
      </w:r>
      <w:r>
        <w:rPr>
          <w:b/>
        </w:rPr>
        <w:t>1,39 milhão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procedimento: </w:t>
      </w:r>
      <w:r>
        <w:rPr>
          <w:b/>
        </w:rPr>
        <w:t>hemograma completo</w:t>
      </w:r>
      <w:r>
        <w:rPr/>
        <w:t xml:space="preserve"> (126.646) e </w:t>
      </w:r>
      <w:r>
        <w:rPr>
          <w:b/>
        </w:rPr>
        <w:t>dosagem de creatinina</w:t>
      </w:r>
      <w:r>
        <w:rPr/>
        <w:t xml:space="preserve"> (101.989). Os nomes vêm da tabela SIGTAP.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Mostra o que a rede ambulatorial mais faz e onde está o gasto, o que apoia o dimensionamento de oferta e de contratos. Vale reparar na diferença entre volume e valor: exame de laboratório é muito e barato, procedimento clínico é menos e caro.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 segunda é um drill-down, o contrário: começa no geral e vai descendo. Aqui é a produção ambulatorial dos estabelecimentos de São Carlos. No nível de grupo, o que mais tem é procedimento diagnóstico, 1,8 milhão. Só que em dinheiro quem ganha é o grupo de procedimentos clínicos, uns 31 milhões de reais. Aí a gente desce no diagnóstico: o subgrupo é laboratório clínico, e no procedimento aparecem hemograma e creatinina, que são aqueles exames de rotina que todo mundo já fez.”</w:t>
      </w:r>
    </w:p>
    <w:p>
      <w:pPr>
        <w:pStyle w:val="Heading2"/>
        <w:bidi w:val="0"/>
        <w:ind w:hanging="0" w:start="0"/>
        <w:jc w:val="start"/>
        <w:rPr/>
      </w:pPr>
      <w:r>
        <w:rPr/>
        <w:t>Slide 21 · Consulta 3: slice and dice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À esquerda, um cubo com a fatia escolhida em destaque; à direita, as ICSAP de idosos em 2024 por causa e sexo, com a média de dias.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Imagine os dados como um cubo com três eixos: tempo, ciclo de vida e diagnóstico. O </w:t>
      </w:r>
      <w:r>
        <w:rPr>
          <w:b/>
        </w:rPr>
        <w:t>slice</w:t>
      </w:r>
      <w:r>
        <w:rPr/>
        <w:t xml:space="preserve"> corta uma fatia fixando um valor de uma dimensão: ano = 2024. O </w:t>
      </w:r>
      <w:r>
        <w:rPr>
          <w:b/>
        </w:rPr>
        <w:t>dice</w:t>
      </w:r>
      <w:r>
        <w:rPr/>
        <w:t xml:space="preserve"> recorta um subcubo restringindo outras dimensões: ciclo de vida = idoso e diagnóstico ICSAP = sim. O que sobra é analisado por causa e sexo. A média de dias é a medida derivada: soma dos dias dividida pelo número de internações.</w:t>
      </w:r>
    </w:p>
    <w:p>
      <w:pPr>
        <w:pStyle w:val="BodyText"/>
        <w:bidi w:val="0"/>
        <w:jc w:val="start"/>
        <w:rPr/>
      </w:pPr>
      <w:r>
        <w:rPr>
          <w:b/>
        </w:rPr>
        <w:t>Os resultados.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Foram </w:t>
      </w:r>
      <w:r>
        <w:rPr>
          <w:b/>
        </w:rPr>
        <w:t>1.358</w:t>
      </w:r>
      <w:r>
        <w:rPr/>
        <w:t xml:space="preserve"> internações evitáveis de idosos residentes em 2024.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Doenças cerebrovasculares</w:t>
      </w:r>
      <w:r>
        <w:rPr/>
        <w:t xml:space="preserve"> lideram: </w:t>
      </w:r>
      <w:r>
        <w:rPr>
          <w:b/>
        </w:rPr>
        <w:t>170 homens e 154 mulheres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Depois vem a </w:t>
      </w:r>
      <w:r>
        <w:rPr>
          <w:b/>
        </w:rPr>
        <w:t>insuficiência cardíaca</w:t>
      </w:r>
      <w:r>
        <w:rPr/>
        <w:t xml:space="preserve">: </w:t>
      </w:r>
      <w:r>
        <w:rPr>
          <w:b/>
        </w:rPr>
        <w:t>128 mulheres e 114 homens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 internações mais longas são de </w:t>
      </w:r>
      <w:r>
        <w:rPr>
          <w:b/>
        </w:rPr>
        <w:t>doenças pulmonares (9,5 dias)</w:t>
      </w:r>
      <w:r>
        <w:rPr/>
        <w:t xml:space="preserve"> e </w:t>
      </w:r>
      <w:r>
        <w:rPr>
          <w:b/>
        </w:rPr>
        <w:t>insuficiência cardíaca (8 dias)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São condições crônicas que a atenção básica acompanha (pressão, coração). Para o gestor, isso aponta onde ações para idosos, como grupos de hipertensos e visitas domiciliares, poderiam evitar internações.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 terceira é o slice and dice. Pensa no cubo: o slice corta uma fatia, só o ano de 2024. O dice recorta um pedaço dessa fatia: só idosos e só internações evitáveis. Deu 1.358 internações. O que mais interna idoso são as doenças cerebrovasculares, tipo AVC, 170 homens e 154 mulheres, e depois insuficiência cardíaca. E a última coluna é a média de dias: doença pulmonar fica 9 dias e meio internada. São justamente coisas que a atenção básica devia segurar.”</w:t>
      </w:r>
    </w:p>
    <w:p>
      <w:pPr>
        <w:pStyle w:val="Heading2"/>
        <w:bidi w:val="0"/>
        <w:ind w:hanging="0" w:start="0"/>
        <w:jc w:val="start"/>
        <w:rPr/>
      </w:pPr>
      <w:r>
        <w:rPr/>
        <w:t>Slide 22 · Consulta 4: pivot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Dois mapas de calor com os mesmos números: à esquerda, causas nas linhas e ciclo de vida nas colunas; à direita, a mesma tabela girada. Quanto mais escura a célula, maior o valor.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O pivot (ou rotação) troca linhas e colunas. Os dados não mudam, só a leitura. Elementos do esquema: </w:t>
      </w:r>
      <w:r>
        <w:rPr>
          <w:rFonts w:ascii="Liberation Mono" w:hAnsi="Liberation Mono"/>
        </w:rPr>
        <w:t>fato_internacao</w:t>
      </w:r>
      <w:r>
        <w:rPr/>
        <w:t xml:space="preserve"> cruzando diagnóstico (grupo ICSAP) e perfil do paciente (ciclo de vida), residentes, 2023 e 2024. O slide mostra as 7 causas mais frequentes.</w:t>
      </w:r>
    </w:p>
    <w:p>
      <w:pPr>
        <w:pStyle w:val="BodyText"/>
        <w:bidi w:val="0"/>
        <w:jc w:val="start"/>
        <w:rPr/>
      </w:pPr>
      <w:r>
        <w:rPr>
          <w:b/>
        </w:rPr>
        <w:t>Os resultados.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Leitura por causa (linhas): as doenças circulatórias são quase só de adultos e idosos. São </w:t>
      </w:r>
      <w:r>
        <w:rPr>
          <w:b/>
        </w:rPr>
        <w:t>621 idosos</w:t>
      </w:r>
      <w:r>
        <w:rPr/>
        <w:t xml:space="preserve"> com doença cerebrovascular e </w:t>
      </w:r>
      <w:r>
        <w:rPr>
          <w:b/>
        </w:rPr>
        <w:t>557</w:t>
      </w:r>
      <w:r>
        <w:rPr/>
        <w:t xml:space="preserve"> com insuficiência cardíaca.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Leitura por fase da vida (girada): nas </w:t>
      </w:r>
      <w:r>
        <w:rPr>
          <w:b/>
        </w:rPr>
        <w:t>crianças</w:t>
      </w:r>
      <w:r>
        <w:rPr/>
        <w:t xml:space="preserve"> dominam as </w:t>
      </w:r>
      <w:r>
        <w:rPr>
          <w:b/>
        </w:rPr>
        <w:t>doenças pulmonares (329), seguidas da asma (159), que fica fora das 7 causas mostradas no slide</w:t>
      </w:r>
      <w:r>
        <w:rPr/>
        <w:t xml:space="preserve">. Nos </w:t>
      </w:r>
      <w:r>
        <w:rPr>
          <w:b/>
        </w:rPr>
        <w:t>adultos</w:t>
      </w:r>
      <w:r>
        <w:rPr/>
        <w:t>, as maiores são doenças cerebrovasculares (229), infecção do rim e trato urinário (204) e infecção de pele (189).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As duas leituras servem a decisões diferentes: “quais causas pesam em cada fase da vida” orienta programas por público (saúde da criança, do idoso); “qual fase sofre mais com cada causa” orienta linhas de cuidado por doença.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 quarta é o pivot. É a mesma tabela, só que girada, e cada jeito responde uma pergunta diferente. Olhando por causa, dá pra ver que doença circulatória é coisa de adulto e idoso: 621 idosos com doença cerebrovascular. Girando e olhando por fase da vida, aparece outra coisa: nas crianças o que domina é doença pulmonar, 329. Então o mesmo dado serve tanto pra um programa de saúde do idoso quanto pra uma linha de cuidado pra asma infantil, por exemplo.”</w:t>
      </w:r>
    </w:p>
    <w:p>
      <w:pPr>
        <w:pStyle w:val="Heading2"/>
        <w:bidi w:val="0"/>
        <w:ind w:hanging="0" w:start="0"/>
        <w:jc w:val="start"/>
        <w:rPr/>
      </w:pPr>
      <w:r>
        <w:rPr/>
        <w:t>Slide 23 · Consulta 5: drill-across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Dois painéis empilhados, com o mesmo eixo de meses: a cobertura estimada (</w:t>
      </w:r>
      <w:r>
        <w:rPr>
          <w:rFonts w:ascii="Liberation Mono" w:hAnsi="Liberation Mono"/>
        </w:rPr>
        <w:t>fato_equipe</w:t>
      </w:r>
      <w:r>
        <w:rPr/>
        <w:t>), em duas linhas, só eSF e eSF + eAP, e a ICSAP por 10 mil habitantes (</w:t>
      </w:r>
      <w:r>
        <w:rPr>
          <w:rFonts w:ascii="Liberation Mono" w:hAnsi="Liberation Mono"/>
        </w:rPr>
        <w:t>fato_internacao</w:t>
      </w:r>
      <w:r>
        <w:rPr/>
        <w:t>). Uma nota embaixo lembra que a produção das UBS não está no SIA.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O drill-across combina medidas de </w:t>
      </w:r>
      <w:r>
        <w:rPr>
          <w:b/>
        </w:rPr>
        <w:t>fatos diferentes</w:t>
      </w:r>
      <w:r>
        <w:rPr/>
        <w:t xml:space="preserve">. A regra é não juntar os fatos linha a linha, porque eles têm grãos diferentes e a junção multiplicaria linhas. Em vez disso, cada fato é agregado sozinho até o grão comum (o mês) e só então os resultados são juntados pela dimensão conforme </w:t>
      </w:r>
      <w:r>
        <w:rPr>
          <w:rFonts w:ascii="Liberation Mono" w:hAnsi="Liberation Mono"/>
        </w:rPr>
        <w:t>ano_mes</w:t>
      </w:r>
      <w:r>
        <w:rPr/>
        <w:t>. Isso só é possível por causa da constelação.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Oferta</w:t>
      </w:r>
      <w:r>
        <w:rPr/>
        <w:t xml:space="preserve"> (</w:t>
      </w:r>
      <w:r>
        <w:rPr>
          <w:rFonts w:ascii="Liberation Mono" w:hAnsi="Liberation Mono"/>
        </w:rPr>
        <w:t>fato_equipe</w:t>
      </w:r>
      <w:r>
        <w:rPr/>
        <w:t xml:space="preserve">): contagem de equipes por mês. Cobertura estimada = equipes × 3.450 ÷ 254.857, sendo 3.450 o parâmetro clássico de pessoas por equipe de Saúde da Família. A linha de baixo conta só as eSF (as 23 USF). A de cima soma as eAP das UBS tradicionais como se cada uma fosse uma equipe inteira; como a eAP é menor, essa linha é um </w:t>
      </w:r>
      <w:r>
        <w:rPr>
          <w:b/>
        </w:rPr>
        <w:t>teto</w:t>
      </w:r>
      <w:r>
        <w:rPr/>
        <w:t>. A cobertura real da atenção básica fica entre as duas.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Uso</w:t>
      </w:r>
      <w:r>
        <w:rPr/>
        <w:t xml:space="preserve"> (</w:t>
      </w:r>
      <w:r>
        <w:rPr>
          <w:rFonts w:ascii="Liberation Mono" w:hAnsi="Liberation Mono"/>
        </w:rPr>
        <w:t>fato_producao_ambulatorial</w:t>
      </w:r>
      <w:r>
        <w:rPr/>
        <w:t>): a consulta do relatório também soma a produção aprovada nos estabelecimentos de atenção primária, mas o resultado é zero (veja abaixo), por isso esse painel saiu do slide.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Resultado</w:t>
      </w:r>
      <w:r>
        <w:rPr/>
        <w:t xml:space="preserve"> (</w:t>
      </w:r>
      <w:r>
        <w:rPr>
          <w:rFonts w:ascii="Liberation Mono" w:hAnsi="Liberation Mono"/>
        </w:rPr>
        <w:t>fato_internacao</w:t>
      </w:r>
      <w:r>
        <w:rPr/>
        <w:t>): ICSAP de residentes. Taxa = ICSAP ÷ 254.857 × 10.000.</w:t>
      </w:r>
    </w:p>
    <w:p>
      <w:pPr>
        <w:pStyle w:val="BodyText"/>
        <w:bidi w:val="0"/>
        <w:jc w:val="start"/>
        <w:rPr/>
      </w:pPr>
      <w:r>
        <w:rPr>
          <w:b/>
        </w:rPr>
        <w:t>Os resultados.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23 equipes</w:t>
      </w:r>
      <w:r>
        <w:rPr/>
        <w:t xml:space="preserve"> de Saúde da Família em todos os 24 meses, ou seja, cobertura estimada constante de </w:t>
      </w:r>
      <w:r>
        <w:rPr>
          <w:b/>
        </w:rPr>
        <w:t>31,1%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 as </w:t>
      </w:r>
      <w:r>
        <w:rPr>
          <w:b/>
        </w:rPr>
        <w:t>11 a 13 eAP</w:t>
      </w:r>
      <w:r>
        <w:rPr/>
        <w:t xml:space="preserve">, o teto oscila entre </w:t>
      </w:r>
      <w:r>
        <w:rPr>
          <w:b/>
        </w:rPr>
        <w:t>46% e 48,7%</w:t>
      </w:r>
      <w:r>
        <w:rPr/>
        <w:t xml:space="preserve"> e termina em 46,0%. É uma variação pequena, de uma ou duas equipes.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produção das UBS no SIA é </w:t>
      </w:r>
      <w:r>
        <w:rPr>
          <w:b/>
        </w:rPr>
        <w:t>zero em todos os meses</w:t>
      </w:r>
      <w:r>
        <w:rPr/>
        <w:t xml:space="preserve">: desde o e-SUS APS, ela é registrada no </w:t>
      </w:r>
      <w:r>
        <w:rPr>
          <w:b/>
        </w:rPr>
        <w:t>SISAB</w:t>
      </w:r>
      <w:r>
        <w:rPr/>
        <w:t>, outro sistema. Por isso o slide mostra só oferta e internações, e a nota embaixo explica.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taxa de ICSAP variou entre </w:t>
      </w:r>
      <w:r>
        <w:rPr>
          <w:b/>
        </w:rPr>
        <w:t>6,55 e 11,42 por 10 mil habitantes</w:t>
      </w:r>
      <w:r>
        <w:rPr/>
        <w:t xml:space="preserve"> e terminou 2024 em </w:t>
      </w:r>
      <w:r>
        <w:rPr>
          <w:b/>
        </w:rPr>
        <w:t>8,40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É a resposta (honesta) à pergunta central. O DW consegue fazer a comparação, mas os dados de 2023–2024 não permitem concluir nada: a oferta não variou, então não há o que relacionar com as internações. Esse é um achado real do trabalho, e vale apresentar como achado, não como falha.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E a quinta é a pergunta central, o drill-across. Aqui a gente pega fatos diferentes, agrega cada um sozinho por mês e junta pelo mês, que é a dimensão conforme. E vieram duas surpresas. Primeiro: São Carlos teve 23 equipes de Saúde da Família todo santo mês, então a cobertura de Saúde da Família ficou parada em 31%. Se a gente somar as UBS tradicionais, contando cada uma como equipe inteira, o máximo chega a uns 46 a 49%; a cobertura real fica entre as duas linhas. Segundo: a produção das UBS no SIA é zero, porque desde o e-SUS ela vai pra outro sistema, o SISAB. Por isso o gráfico mostra só a oferta e as internações. As internações evitáveis ficaram entre 6,5 e 11,4 por 10 mil habitantes. Então o DW faz a pergunta, mas com a oferta parada ainda não dá pra responder.”</w:t>
      </w:r>
    </w:p>
    <w:p>
      <w:pPr>
        <w:pStyle w:val="Heading2"/>
        <w:bidi w:val="0"/>
        <w:ind w:hanging="0" w:start="0"/>
        <w:jc w:val="start"/>
        <w:rPr/>
      </w:pPr>
      <w:r>
        <w:rPr/>
        <w:t>Slide 24 · Obrigado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O encerramento e o convite para perguntas.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O fechamento retoma a frase do início: três processos, uma constelação e uma pergunta de política pública para São Carlos.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Na hora das perguntas, cada um responde sobre a própria parte, mas todos devem saber explicar a pergunta central, a constelação e o achado do SISAB.</w:t>
      </w:r>
    </w:p>
    <w:p>
      <w:pPr>
        <w:pStyle w:val="BodyText"/>
        <w:bidi w:val="0"/>
        <w:jc w:val="start"/>
        <w:rPr/>
      </w:pPr>
      <w:r>
        <w:rPr>
          <w:b/>
        </w:rPr>
        <w:t>Limites, para as perguntas.</w:t>
      </w:r>
      <w:r>
        <w:rPr/>
        <w:t xml:space="preserve"> Não há mais um slide só para eles, mas a banca pode perguntar. Dizê-los com clareza mostra que o grupo entendeu os dados: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SISAB ≠ SIA</w:t>
      </w:r>
      <w:r>
        <w:rPr/>
        <w:t>: a produção das UBS não está no SIA. Os dados reais confirmaram: zero em 2023 e 2024.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Cobertura estimada</w:t>
      </w:r>
      <w:r>
        <w:rPr/>
        <w:t>: usa o parâmetro de 3.450 pessoas por equipe e conta só equipes de Saúde da Família. A metodologia oficial de cobertura mudou ao longo dos anos.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Competência</w:t>
      </w:r>
      <w:r>
        <w:rPr/>
        <w:t>: o mês do DW é o de processamento, não a data da internação. Uma internação de dezembro pode aparecer em janeiro.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Coordenadas</w:t>
      </w:r>
      <w:r>
        <w:rPr/>
        <w:t>: as da API do CNES são imprecisas.</w:t>
      </w:r>
    </w:p>
    <w:p>
      <w:pPr>
        <w:pStyle w:val="BodyText"/>
        <w:bidi w:val="0"/>
        <w:jc w:val="start"/>
        <w:rPr/>
      </w:pPr>
      <w:r>
        <w:rPr/>
        <w:t>O próximo passo sai direto daí: incluir o SISAB como fonte e usar mais anos, para que a oferta tenha variação.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Então é isso: três processos, uma constelação e uma pergunta de política pública pra São Carlos, já rodando com dado real. Obrigado, e a gente fica aberto pra perguntas!”</w:t>
      </w:r>
    </w:p>
    <w:p>
      <w:pPr>
        <w:pStyle w:val="Heading2"/>
        <w:bidi w:val="0"/>
        <w:ind w:hanging="0" w:start="0"/>
        <w:jc w:val="start"/>
        <w:rPr/>
      </w:pPr>
      <w:r>
        <w:rPr/>
        <w:t>Lembretes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 explicações são para estudar antes: leiam a parte de vocês e também a dos outros, porque a professora pode perguntar qualquer coisa a qualquer um.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 falas têm de 40 segundos a 1 minuto por slide. Não decorem palavra por palavra: guardem a ideia e os números.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 números citados são os resultados reais do notebook (dados de 2023 e 2024). As mesmas falas, em versão curta, estão nas notas do apresentador (tecla N na apresentação).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