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40"/>
        <w:jc w:val="left"/>
        <w:rPr/>
      </w:pPr>
      <w:r>
        <w:rPr/>
        <w:t>Parte 4: Consultas OLAP</w:t>
      </w:r>
    </w:p>
    <w:p>
      <w:pPr>
        <w:pStyle w:val="BodyTextsub"/>
        <w:bidi w:val="0"/>
        <w:jc w:val="left"/>
        <w:rPr/>
      </w:pPr>
      <w:r>
        <w:rPr/>
        <w:t>Slides 19 a 26 · cerca de 5 minutos</w:t>
      </w:r>
    </w:p>
    <w:p>
      <w:pPr>
        <w:pStyle w:val="BodyText"/>
        <w:bidi w:val="0"/>
        <w:jc w:val="left"/>
        <w:rPr/>
      </w:pPr>
      <w:r>
        <w:rPr/>
        <w:t>A parte 4 é o DW funcionando: cinco consultas, uma para cada operação OLAP, todas com os dados reais de 2023 e 2024. São 8 slides em 5 minutos, então o ritmo é: nome da operação, o que ela faz, o achado principal, próximo slide.</w:t>
      </w:r>
    </w:p>
    <w:p>
      <w:pPr>
        <w:pStyle w:val="Heading2"/>
        <w:bidi w:val="0"/>
        <w:jc w:val="left"/>
        <w:rPr/>
      </w:pPr>
      <w:r>
        <w:rPr/>
        <w:t>Slide 19 · Abertura: cinco consultas OLAP</w:t>
      </w:r>
    </w:p>
    <w:p>
      <w:pPr>
        <w:pStyle w:val="BodyText"/>
        <w:bidi w:val="0"/>
        <w:jc w:val="left"/>
        <w:rPr/>
      </w:pPr>
      <w:r>
        <w:rPr>
          <w:rStyle w:val="Strong"/>
        </w:rPr>
        <w:t>O que o slide mostra.</w:t>
      </w:r>
      <w:r>
        <w:rPr/>
        <w:t xml:space="preserve"> O divisor da parte 4 e as cinco operações.</w:t>
      </w:r>
    </w:p>
    <w:p>
      <w:pPr>
        <w:pStyle w:val="BodyText"/>
        <w:bidi w:val="0"/>
        <w:jc w:val="left"/>
        <w:rPr/>
      </w:pPr>
      <w:r>
        <w:rPr>
          <w:rStyle w:val="Strong"/>
        </w:rPr>
        <w:t>A aula.</w:t>
      </w:r>
      <w:r>
        <w:rPr/>
        <w:t xml:space="preserve"> OLAP (On-Line Analytical Processing) é a análise interativa dos dados como um cubo multidimensional. As cinco operações pedidas no enunciado são: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Roll-up</w:t>
      </w:r>
      <w:r>
        <w:rPr/>
        <w:t xml:space="preserve">: sobe numa hierarquia e agrega (mês → ano).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Drill-down</w:t>
      </w:r>
      <w:r>
        <w:rPr/>
        <w:t xml:space="preserve">: desce numa hierarquia e detalha (grupo → procedimento).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Slice and dice</w:t>
      </w:r>
      <w:r>
        <w:rPr/>
        <w:t xml:space="preserve">: o slice fixa um valor de uma dimensão (ano = 2024); o dice recorta um subcubo restringindo várias dimensões.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Pivot</w:t>
      </w:r>
      <w:r>
        <w:rPr/>
        <w:t xml:space="preserve">: gira os eixos da tabela, sem mudar os dados.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Drill-across</w:t>
      </w:r>
      <w:r>
        <w:rPr/>
        <w:t xml:space="preserve">: combina medidas de fatos diferentes através das dimensões conformes. </w:t>
      </w:r>
    </w:p>
    <w:p>
      <w:pPr>
        <w:pStyle w:val="BodyText"/>
        <w:bidi w:val="0"/>
        <w:jc w:val="left"/>
        <w:rPr/>
      </w:pPr>
      <w:r>
        <w:rPr>
          <w:rStyle w:val="Strong"/>
        </w:rPr>
        <w:t>Como se liga ao trabalho.</w:t>
      </w:r>
      <w:r>
        <w:rPr/>
        <w:t xml:space="preserve"> Cada consulta usa uma operação e responde uma pergunta de gestão. A última é a pergunta central.</w:t>
      </w:r>
    </w:p>
    <w:p>
      <w:pPr>
        <w:pStyle w:val="BodyText"/>
        <w:bidi w:val="0"/>
        <w:jc w:val="left"/>
        <w:rPr/>
      </w:pPr>
      <w:r>
        <w:rPr>
          <w:rStyle w:val="Strong"/>
        </w:rPr>
        <w:t>Fala de exemplo</w:t>
      </w:r>
    </w:p>
    <w:p>
      <w:pPr>
        <w:pStyle w:val="BlockQuotation"/>
        <w:bidi w:val="0"/>
        <w:jc w:val="left"/>
        <w:rPr/>
      </w:pPr>
      <w:r>
        <w:rPr/>
        <w:t>“</w:t>
      </w:r>
      <w:r>
        <w:rPr/>
        <w:t>Agora a parte boa: o DW funcionando. São cinco consultas, uma pra cada operação OLAP: roll-up, drill-down, slice and dice, pivot e drill-across. E tudo que eu vou mostrar é dado real de 2023 e 2024.”</w:t>
      </w:r>
    </w:p>
    <w:p>
      <w:pPr>
        <w:pStyle w:val="Heading2"/>
        <w:bidi w:val="0"/>
        <w:jc w:val="left"/>
        <w:rPr/>
      </w:pPr>
      <w:r>
        <w:rPr/>
        <w:t>Slide 20 · Consulta 1: roll-up</w:t>
      </w:r>
    </w:p>
    <w:p>
      <w:pPr>
        <w:pStyle w:val="BodyText"/>
        <w:bidi w:val="0"/>
        <w:jc w:val="left"/>
        <w:rPr/>
      </w:pPr>
      <w:r>
        <w:rPr>
          <w:rStyle w:val="Strong"/>
        </w:rPr>
        <w:t>O que o slide mostra.</w:t>
      </w:r>
      <w:r>
        <w:rPr/>
        <w:t xml:space="preserve"> As ICSAP de residentes em três níveis de tempo: 24 barras mensais, 8 trimestrais e 2 anuais.</w:t>
      </w:r>
    </w:p>
    <w:p>
      <w:pPr>
        <w:pStyle w:val="BodyText"/>
        <w:bidi w:val="0"/>
        <w:jc w:val="left"/>
        <w:rPr/>
      </w:pPr>
      <w:r>
        <w:rPr>
          <w:rStyle w:val="Strong"/>
        </w:rPr>
        <w:t>A aula.</w:t>
      </w:r>
      <w:r>
        <w:rPr/>
        <w:t xml:space="preserve"> O roll-up sobe na hierarquia do tempo (</w:t>
      </w:r>
      <w:r>
        <w:rPr>
          <w:rStyle w:val="SourceText"/>
        </w:rPr>
        <w:t>ano_mes ≤ trimestre ≤ ano</w:t>
      </w:r>
      <w:r>
        <w:rPr/>
        <w:t xml:space="preserve">) e soma as internações em cada nível. Funciona porque </w:t>
      </w:r>
      <w:r>
        <w:rPr>
          <w:rStyle w:val="SourceText"/>
        </w:rPr>
        <w:t>qtd_internacoes</w:t>
      </w:r>
      <w:r>
        <w:rPr/>
        <w:t xml:space="preserve"> é aditiva. No SQL do notebook foi usado o </w:t>
      </w:r>
      <w:r>
        <w:rPr>
          <w:rStyle w:val="SourceText"/>
        </w:rPr>
        <w:t>GROUP BY ROLLUP (ano, trimestre)</w:t>
      </w:r>
      <w:r>
        <w:rPr/>
        <w:t xml:space="preserve">, que devolve de uma vez os trimestres, os subtotais de cada ano e o total geral. Elementos do esquema: </w:t>
      </w:r>
      <w:r>
        <w:rPr>
          <w:rStyle w:val="SourceText"/>
        </w:rPr>
        <w:t>fato_internacao</w:t>
      </w:r>
      <w:r>
        <w:rPr/>
        <w:t>, com filtro ICSAP = sim e residência = São Carlos.</w:t>
      </w:r>
    </w:p>
    <w:p>
      <w:pPr>
        <w:pStyle w:val="BodyText"/>
        <w:bidi w:val="0"/>
        <w:jc w:val="left"/>
        <w:rPr/>
      </w:pPr>
      <w:r>
        <w:rPr>
          <w:rStyle w:val="Strong"/>
        </w:rPr>
        <w:t>Os resultados.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Foram </w:t>
      </w:r>
      <w:r>
        <w:rPr>
          <w:rStyle w:val="Strong"/>
        </w:rPr>
        <w:t>5.255</w:t>
      </w:r>
      <w:r>
        <w:rPr/>
        <w:t xml:space="preserve"> ICSAP de residentes em dois anos, </w:t>
      </w:r>
      <w:r>
        <w:rPr>
          <w:rStyle w:val="Strong"/>
        </w:rPr>
        <w:t>16%</w:t>
      </w:r>
      <w:r>
        <w:rPr/>
        <w:t xml:space="preserve"> das 32.799 internações de residentes.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No mês, o maior valor é dezembro de 2023 (</w:t>
      </w:r>
      <w:r>
        <w:rPr>
          <w:rStyle w:val="Strong"/>
        </w:rPr>
        <w:t>291</w:t>
      </w:r>
      <w:r>
        <w:rPr/>
        <w:t>) e o menor é janeiro de 2024 (</w:t>
      </w:r>
      <w:r>
        <w:rPr>
          <w:rStyle w:val="Strong"/>
        </w:rPr>
        <w:t>167</w:t>
      </w:r>
      <w:r>
        <w:rPr/>
        <w:t xml:space="preserve">). O mês é o de processamento da AIH, então parte desse sobe e desce é o ritmo de apresentação dos hospitais.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No trimestre a série fica estável, entre </w:t>
      </w:r>
      <w:r>
        <w:rPr>
          <w:rStyle w:val="Strong"/>
        </w:rPr>
        <w:t>572 e 728</w:t>
      </w:r>
      <w:r>
        <w:rPr/>
        <w:t xml:space="preserve">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No ano: </w:t>
      </w:r>
      <w:r>
        <w:rPr>
          <w:rStyle w:val="Strong"/>
        </w:rPr>
        <w:t>2.700</w:t>
      </w:r>
      <w:r>
        <w:rPr/>
        <w:t xml:space="preserve"> em 2023 e </w:t>
      </w:r>
      <w:r>
        <w:rPr>
          <w:rStyle w:val="Strong"/>
        </w:rPr>
        <w:t>2.555</w:t>
      </w:r>
      <w:r>
        <w:rPr/>
        <w:t xml:space="preserve"> em 2024, queda de cerca de </w:t>
      </w:r>
      <w:r>
        <w:rPr>
          <w:rStyle w:val="Strong"/>
        </w:rPr>
        <w:t>5%</w:t>
      </w:r>
      <w:r>
        <w:rPr/>
        <w:t xml:space="preserve">. </w:t>
      </w:r>
    </w:p>
    <w:p>
      <w:pPr>
        <w:pStyle w:val="BodyText"/>
        <w:bidi w:val="0"/>
        <w:jc w:val="left"/>
        <w:rPr/>
      </w:pPr>
      <w:r>
        <w:rPr>
          <w:rStyle w:val="Strong"/>
        </w:rPr>
        <w:t>Como se liga ao trabalho.</w:t>
      </w:r>
      <w:r>
        <w:rPr/>
        <w:t xml:space="preserve"> É o indicador de resultado da pergunta central, visto em várias escalas. A lição do roll-up aparece nos dados: a visão mensal é ruidosa, a anual mostra a tendência.</w:t>
      </w:r>
    </w:p>
    <w:p>
      <w:pPr>
        <w:pStyle w:val="BodyText"/>
        <w:bidi w:val="0"/>
        <w:jc w:val="left"/>
        <w:rPr/>
      </w:pPr>
      <w:r>
        <w:rPr>
          <w:rStyle w:val="Strong"/>
        </w:rPr>
        <w:t>Fala de exemplo</w:t>
      </w:r>
    </w:p>
    <w:p>
      <w:pPr>
        <w:pStyle w:val="BlockQuotation"/>
        <w:bidi w:val="0"/>
        <w:jc w:val="left"/>
        <w:rPr/>
      </w:pPr>
      <w:r>
        <w:rPr/>
        <w:t>“</w:t>
      </w:r>
      <w:r>
        <w:rPr/>
        <w:t>A primeira é um roll-up no tempo. A gente pega as internações evitáveis de quem mora em São Carlos mês a mês e vai subindo: trimestre, depois ano. Foram 5.255 em dois anos, 16% de todas as internações de moradores. No mês oscila bastante, de 167 a 291, até porque o mês aqui é o de processamento da AIH. Mas quando sobe pra trimestre fica bem estável, e no ano dá pra ver uma queda de uns 5%, de 2.700 pra 2.555.”</w:t>
      </w:r>
    </w:p>
    <w:p>
      <w:pPr>
        <w:pStyle w:val="Heading2"/>
        <w:bidi w:val="0"/>
        <w:jc w:val="left"/>
        <w:rPr/>
      </w:pPr>
      <w:r>
        <w:rPr/>
        <w:t>Slide 21 · Consulta 2: drill-down</w:t>
      </w:r>
    </w:p>
    <w:p>
      <w:pPr>
        <w:pStyle w:val="BodyText"/>
        <w:bidi w:val="0"/>
        <w:jc w:val="left"/>
        <w:rPr/>
      </w:pPr>
      <w:r>
        <w:rPr>
          <w:rStyle w:val="Strong"/>
        </w:rPr>
        <w:t>O que o slide mostra.</w:t>
      </w:r>
      <w:r>
        <w:rPr/>
        <w:t xml:space="preserve"> Três colunas de barras: os grupos do SIGTAP, os subgrupos do grupo 02 e os procedimentos do subgrupo 0202. A barra destacada é o caminho escolhido em cada nível.</w:t>
      </w:r>
    </w:p>
    <w:p>
      <w:pPr>
        <w:pStyle w:val="BodyText"/>
        <w:bidi w:val="0"/>
        <w:jc w:val="left"/>
        <w:rPr/>
      </w:pPr>
      <w:r>
        <w:rPr>
          <w:rStyle w:val="Strong"/>
        </w:rPr>
        <w:t>A aula.</w:t>
      </w:r>
      <w:r>
        <w:rPr/>
        <w:t xml:space="preserve"> O drill-down faz o caminho inverso do roll-up: parte de um total agregado e desce na hierarquia do procedimento (</w:t>
      </w:r>
      <w:r>
        <w:rPr>
          <w:rStyle w:val="SourceText"/>
        </w:rPr>
        <w:t>procedimento ≤ subgrupo ≤ grupo</w:t>
      </w:r>
      <w:r>
        <w:rPr/>
        <w:t xml:space="preserve">), sempre abrindo o item de maior volume. Elementos do esquema: </w:t>
      </w:r>
      <w:r>
        <w:rPr>
          <w:rStyle w:val="SourceText"/>
        </w:rPr>
        <w:t>fato_producao_ambulatorial</w:t>
      </w:r>
      <w:r>
        <w:rPr/>
        <w:t xml:space="preserve">, filtrado pelo município do estabelecimento (uma consulta de oferta: o que a rede de São Carlos produz). Medidas: soma de </w:t>
      </w:r>
      <w:r>
        <w:rPr>
          <w:rStyle w:val="SourceText"/>
        </w:rPr>
        <w:t>qtd_aprovada</w:t>
      </w:r>
      <w:r>
        <w:rPr/>
        <w:t xml:space="preserve"> e </w:t>
      </w:r>
      <w:r>
        <w:rPr>
          <w:rStyle w:val="SourceText"/>
        </w:rPr>
        <w:t>valor_aprovado</w:t>
      </w:r>
      <w:r>
        <w:rPr/>
        <w:t>.</w:t>
      </w:r>
    </w:p>
    <w:p>
      <w:pPr>
        <w:pStyle w:val="BodyText"/>
        <w:bidi w:val="0"/>
        <w:jc w:val="left"/>
        <w:rPr/>
      </w:pPr>
      <w:r>
        <w:rPr>
          <w:rStyle w:val="Strong"/>
        </w:rPr>
        <w:t>Os resultados.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O grupo </w:t>
      </w:r>
      <w:r>
        <w:rPr>
          <w:rStyle w:val="Strong"/>
        </w:rPr>
        <w:t>02 (finalidade diagnóstica)</w:t>
      </w:r>
      <w:r>
        <w:rPr/>
        <w:t xml:space="preserve"> lidera em quantidade, com </w:t>
      </w:r>
      <w:r>
        <w:rPr>
          <w:rStyle w:val="Strong"/>
        </w:rPr>
        <w:t>1,77 milhão</w:t>
      </w:r>
      <w:r>
        <w:rPr/>
        <w:t xml:space="preserve"> de procedimentos aprovados.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O grupo </w:t>
      </w:r>
      <w:r>
        <w:rPr>
          <w:rStyle w:val="Strong"/>
        </w:rPr>
        <w:t>03 (procedimentos clínicos)</w:t>
      </w:r>
      <w:r>
        <w:rPr/>
        <w:t xml:space="preserve"> vem em segundo em quantidade (1,06 milhão), mas tem o </w:t>
      </w:r>
      <w:r>
        <w:rPr>
          <w:rStyle w:val="Strong"/>
        </w:rPr>
        <w:t>maior valor aprovado: cerca de R$ 31,3 milhões</w:t>
      </w:r>
      <w:r>
        <w:rPr/>
        <w:t xml:space="preserve">, contra R$ 18 milhões do grupo 02.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No grupo 02, o subgrupo </w:t>
      </w:r>
      <w:r>
        <w:rPr>
          <w:rStyle w:val="Strong"/>
        </w:rPr>
        <w:t>0202 (laboratório clínico)</w:t>
      </w:r>
      <w:r>
        <w:rPr/>
        <w:t xml:space="preserve"> concentra </w:t>
      </w:r>
      <w:r>
        <w:rPr>
          <w:rStyle w:val="Strong"/>
        </w:rPr>
        <w:t>1,39 milhão</w:t>
      </w:r>
      <w:r>
        <w:rPr/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No procedimento: </w:t>
      </w:r>
      <w:r>
        <w:rPr>
          <w:rStyle w:val="Strong"/>
        </w:rPr>
        <w:t>hemograma completo</w:t>
      </w:r>
      <w:r>
        <w:rPr/>
        <w:t xml:space="preserve"> (126.646) e </w:t>
      </w:r>
      <w:r>
        <w:rPr>
          <w:rStyle w:val="Strong"/>
        </w:rPr>
        <w:t>dosagem de creatinina</w:t>
      </w:r>
      <w:r>
        <w:rPr/>
        <w:t xml:space="preserve"> (101.989). Os nomes vêm da tabela SIGTAP. </w:t>
      </w:r>
    </w:p>
    <w:p>
      <w:pPr>
        <w:pStyle w:val="BodyText"/>
        <w:bidi w:val="0"/>
        <w:jc w:val="left"/>
        <w:rPr/>
      </w:pPr>
      <w:r>
        <w:rPr>
          <w:rStyle w:val="Strong"/>
        </w:rPr>
        <w:t>Como se liga ao trabalho.</w:t>
      </w:r>
      <w:r>
        <w:rPr/>
        <w:t xml:space="preserve"> Mostra o que a rede ambulatorial mais faz e onde está o gasto, o que apoia o dimensionamento de oferta e de contratos. Vale reparar na diferença entre volume e valor: exame de laboratório é muito e barato, procedimento clínico é menos e caro.</w:t>
      </w:r>
    </w:p>
    <w:p>
      <w:pPr>
        <w:pStyle w:val="BodyText"/>
        <w:bidi w:val="0"/>
        <w:jc w:val="left"/>
        <w:rPr/>
      </w:pPr>
      <w:r>
        <w:rPr>
          <w:rStyle w:val="Strong"/>
        </w:rPr>
        <w:t>Fala de exemplo</w:t>
      </w:r>
    </w:p>
    <w:p>
      <w:pPr>
        <w:pStyle w:val="BlockQuotation"/>
        <w:bidi w:val="0"/>
        <w:jc w:val="left"/>
        <w:rPr/>
      </w:pPr>
      <w:r>
        <w:rPr/>
        <w:t>“</w:t>
      </w:r>
      <w:r>
        <w:rPr/>
        <w:t>A segunda é um drill-down, o contrário: começa no geral e vai descendo. Aqui é a produção ambulatorial dos estabelecimentos de São Carlos. No nível de grupo, o que mais tem é procedimento diagnóstico, 1,8 milhão. Só que em dinheiro quem ganha é o grupo de procedimentos clínicos, uns 31 milhões de reais. Aí a gente desce no diagnóstico: o subgrupo é laboratório clínico, e no procedimento aparecem hemograma e creatinina, que são aqueles exames de rotina que todo mundo já fez.”</w:t>
      </w:r>
    </w:p>
    <w:p>
      <w:pPr>
        <w:pStyle w:val="Heading2"/>
        <w:bidi w:val="0"/>
        <w:jc w:val="left"/>
        <w:rPr/>
      </w:pPr>
      <w:r>
        <w:rPr/>
        <w:t>Slide 22 · Consulta 3: slice and dice</w:t>
      </w:r>
    </w:p>
    <w:p>
      <w:pPr>
        <w:pStyle w:val="BodyText"/>
        <w:bidi w:val="0"/>
        <w:jc w:val="left"/>
        <w:rPr/>
      </w:pPr>
      <w:r>
        <w:rPr>
          <w:rStyle w:val="Strong"/>
        </w:rPr>
        <w:t>O que o slide mostra.</w:t>
      </w:r>
      <w:r>
        <w:rPr/>
        <w:t xml:space="preserve"> À esquerda, um cubo com a fatia escolhida em destaque; à direita, as ICSAP de idosos em 2024 por causa e sexo, com a média de dias.</w:t>
      </w:r>
    </w:p>
    <w:p>
      <w:pPr>
        <w:pStyle w:val="BodyText"/>
        <w:bidi w:val="0"/>
        <w:jc w:val="left"/>
        <w:rPr/>
      </w:pPr>
      <w:r>
        <w:rPr>
          <w:rStyle w:val="Strong"/>
        </w:rPr>
        <w:t>A aula.</w:t>
      </w:r>
      <w:r>
        <w:rPr/>
        <w:t xml:space="preserve"> Imagine os dados como um cubo com três eixos: tempo, ciclo de vida e diagnóstico. O </w:t>
      </w:r>
      <w:r>
        <w:rPr>
          <w:rStyle w:val="Strong"/>
        </w:rPr>
        <w:t>slice</w:t>
      </w:r>
      <w:r>
        <w:rPr/>
        <w:t xml:space="preserve"> corta uma fatia fixando um valor de uma dimensão: ano = 2024. O </w:t>
      </w:r>
      <w:r>
        <w:rPr>
          <w:rStyle w:val="Strong"/>
        </w:rPr>
        <w:t>dice</w:t>
      </w:r>
      <w:r>
        <w:rPr/>
        <w:t xml:space="preserve"> recorta um subcubo restringindo outras dimensões: ciclo de vida = idoso e diagnóstico ICSAP = sim. O que sobra é analisado por causa e sexo. A média de dias é a medida derivada: soma dos dias dividida pelo número de internações.</w:t>
      </w:r>
    </w:p>
    <w:p>
      <w:pPr>
        <w:pStyle w:val="BodyText"/>
        <w:bidi w:val="0"/>
        <w:jc w:val="left"/>
        <w:rPr/>
      </w:pPr>
      <w:r>
        <w:rPr>
          <w:rStyle w:val="Strong"/>
        </w:rPr>
        <w:t>Os resultados.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Foram </w:t>
      </w:r>
      <w:r>
        <w:rPr>
          <w:rStyle w:val="Strong"/>
        </w:rPr>
        <w:t>1.358</w:t>
      </w:r>
      <w:r>
        <w:rPr/>
        <w:t xml:space="preserve"> internações evitáveis de idosos residentes em 2024.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Doenças cerebrovasculares</w:t>
      </w:r>
      <w:r>
        <w:rPr/>
        <w:t xml:space="preserve"> lideram: </w:t>
      </w:r>
      <w:r>
        <w:rPr>
          <w:rStyle w:val="Strong"/>
        </w:rPr>
        <w:t>170 homens e 154 mulheres</w:t>
      </w:r>
      <w:r>
        <w:rPr/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Depois vem a </w:t>
      </w:r>
      <w:r>
        <w:rPr>
          <w:rStyle w:val="Strong"/>
        </w:rPr>
        <w:t>insuficiência cardíaca</w:t>
      </w:r>
      <w:r>
        <w:rPr/>
        <w:t xml:space="preserve">: </w:t>
      </w:r>
      <w:r>
        <w:rPr>
          <w:rStyle w:val="Strong"/>
        </w:rPr>
        <w:t>128 mulheres e 114 homens</w:t>
      </w:r>
      <w:r>
        <w:rPr/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As internações mais longas são de </w:t>
      </w:r>
      <w:r>
        <w:rPr>
          <w:rStyle w:val="Strong"/>
        </w:rPr>
        <w:t>doenças pulmonares (9,5 dias)</w:t>
      </w:r>
      <w:r>
        <w:rPr/>
        <w:t xml:space="preserve"> e </w:t>
      </w:r>
      <w:r>
        <w:rPr>
          <w:rStyle w:val="Strong"/>
        </w:rPr>
        <w:t>insuficiência cardíaca (8 dias)</w:t>
      </w:r>
      <w:r>
        <w:rPr/>
        <w:t xml:space="preserve">. </w:t>
      </w:r>
    </w:p>
    <w:p>
      <w:pPr>
        <w:pStyle w:val="BodyText"/>
        <w:bidi w:val="0"/>
        <w:jc w:val="left"/>
        <w:rPr/>
      </w:pPr>
      <w:r>
        <w:rPr>
          <w:rStyle w:val="Strong"/>
        </w:rPr>
        <w:t>Como se liga ao trabalho.</w:t>
      </w:r>
      <w:r>
        <w:rPr/>
        <w:t xml:space="preserve"> São condições crônicas que a atenção básica acompanha (pressão, coração). Para o gestor, isso aponta onde ações para idosos, como grupos de hipertensos e visitas domiciliares, poderiam evitar internações.</w:t>
      </w:r>
    </w:p>
    <w:p>
      <w:pPr>
        <w:pStyle w:val="BodyText"/>
        <w:bidi w:val="0"/>
        <w:jc w:val="left"/>
        <w:rPr/>
      </w:pPr>
      <w:r>
        <w:rPr>
          <w:rStyle w:val="Strong"/>
        </w:rPr>
        <w:t>Fala de exemplo</w:t>
      </w:r>
    </w:p>
    <w:p>
      <w:pPr>
        <w:pStyle w:val="BlockQuotation"/>
        <w:bidi w:val="0"/>
        <w:jc w:val="left"/>
        <w:rPr/>
      </w:pPr>
      <w:r>
        <w:rPr/>
        <w:t>“</w:t>
      </w:r>
      <w:r>
        <w:rPr/>
        <w:t>A terceira é o slice and dice. Pensa no cubo: o slice corta uma fatia, só o ano de 2024. O dice recorta um pedaço dessa fatia: só idosos e só internações evitáveis. Deu 1.358 internações. O que mais interna idoso são as doenças cerebrovasculares, tipo AVC, 170 homens e 154 mulheres, e depois insuficiência cardíaca. E a última coluna é a média de dias: doença pulmonar fica 9 dias e meio internada. São justamente coisas que a atenção básica devia segurar.”</w:t>
      </w:r>
    </w:p>
    <w:p>
      <w:pPr>
        <w:pStyle w:val="Heading2"/>
        <w:bidi w:val="0"/>
        <w:jc w:val="left"/>
        <w:rPr/>
      </w:pPr>
      <w:r>
        <w:rPr/>
        <w:t>Slide 23 · Consulta 4: pivot</w:t>
      </w:r>
    </w:p>
    <w:p>
      <w:pPr>
        <w:pStyle w:val="BodyText"/>
        <w:bidi w:val="0"/>
        <w:jc w:val="left"/>
        <w:rPr/>
      </w:pPr>
      <w:r>
        <w:rPr>
          <w:rStyle w:val="Strong"/>
        </w:rPr>
        <w:t>O que o slide mostra.</w:t>
      </w:r>
      <w:r>
        <w:rPr/>
        <w:t xml:space="preserve"> Dois mapas de calor com os mesmos números: à esquerda, causas nas linhas e ciclo de vida nas colunas; à direita, a mesma tabela girada. Quanto mais escura a célula, maior o valor.</w:t>
      </w:r>
    </w:p>
    <w:p>
      <w:pPr>
        <w:pStyle w:val="BodyText"/>
        <w:bidi w:val="0"/>
        <w:jc w:val="left"/>
        <w:rPr/>
      </w:pPr>
      <w:r>
        <w:rPr>
          <w:rStyle w:val="Strong"/>
        </w:rPr>
        <w:t>A aula.</w:t>
      </w:r>
      <w:r>
        <w:rPr/>
        <w:t xml:space="preserve"> O pivot (ou rotação) troca linhas e colunas. Os dados não mudam, só a leitura. Elementos do esquema: </w:t>
      </w:r>
      <w:r>
        <w:rPr>
          <w:rStyle w:val="SourceText"/>
        </w:rPr>
        <w:t>fato_internacao</w:t>
      </w:r>
      <w:r>
        <w:rPr/>
        <w:t xml:space="preserve"> cruzando diagnóstico (grupo ICSAP) e perfil do paciente (ciclo de vida), residentes, 2023 e 2024. O slide mostra as 7 causas mais frequentes.</w:t>
      </w:r>
    </w:p>
    <w:p>
      <w:pPr>
        <w:pStyle w:val="BodyText"/>
        <w:bidi w:val="0"/>
        <w:jc w:val="left"/>
        <w:rPr/>
      </w:pPr>
      <w:r>
        <w:rPr>
          <w:rStyle w:val="Strong"/>
        </w:rPr>
        <w:t>Os resultados.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Leitura por causa (linhas): as doenças circulatórias são quase só de adultos e idosos. São </w:t>
      </w:r>
      <w:r>
        <w:rPr>
          <w:rStyle w:val="Strong"/>
        </w:rPr>
        <w:t>621 idosos</w:t>
      </w:r>
      <w:r>
        <w:rPr/>
        <w:t xml:space="preserve"> com doença cerebrovascular e </w:t>
      </w:r>
      <w:r>
        <w:rPr>
          <w:rStyle w:val="Strong"/>
        </w:rPr>
        <w:t>557</w:t>
      </w:r>
      <w:r>
        <w:rPr/>
        <w:t xml:space="preserve"> com insuficiência cardíaca.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Leitura por fase da vida (girada): nas </w:t>
      </w:r>
      <w:r>
        <w:rPr>
          <w:rStyle w:val="Strong"/>
        </w:rPr>
        <w:t>crianças</w:t>
      </w:r>
      <w:r>
        <w:rPr/>
        <w:t xml:space="preserve"> dominam as </w:t>
      </w:r>
      <w:r>
        <w:rPr>
          <w:rStyle w:val="Strong"/>
        </w:rPr>
        <w:t>doenças pulmonares (329), seguidas da asma (159), que fica fora das 7 causas mostradas no slide</w:t>
      </w:r>
      <w:r>
        <w:rPr/>
        <w:t xml:space="preserve">. Nos </w:t>
      </w:r>
      <w:r>
        <w:rPr>
          <w:rStyle w:val="Strong"/>
        </w:rPr>
        <w:t>adultos</w:t>
      </w:r>
      <w:r>
        <w:rPr/>
        <w:t xml:space="preserve">, as maiores são doenças cerebrovasculares (229), infecção do rim e trato urinário (204) e infecção de pele (189). </w:t>
      </w:r>
    </w:p>
    <w:p>
      <w:pPr>
        <w:pStyle w:val="BodyText"/>
        <w:bidi w:val="0"/>
        <w:jc w:val="left"/>
        <w:rPr/>
      </w:pPr>
      <w:r>
        <w:rPr>
          <w:rStyle w:val="Strong"/>
        </w:rPr>
        <w:t>Como se liga ao trabalho.</w:t>
      </w:r>
      <w:r>
        <w:rPr/>
        <w:t xml:space="preserve"> As duas leituras servem a decisões diferentes: “quais causas pesam em cada fase da vida” orienta programas por público (saúde da criança, do idoso); “qual fase sofre mais com cada causa” orienta linhas de cuidado por doença.</w:t>
      </w:r>
    </w:p>
    <w:p>
      <w:pPr>
        <w:pStyle w:val="BodyText"/>
        <w:bidi w:val="0"/>
        <w:jc w:val="left"/>
        <w:rPr/>
      </w:pPr>
      <w:r>
        <w:rPr>
          <w:rStyle w:val="Strong"/>
        </w:rPr>
        <w:t>Fala de exemplo</w:t>
      </w:r>
    </w:p>
    <w:p>
      <w:pPr>
        <w:pStyle w:val="BlockQuotation"/>
        <w:bidi w:val="0"/>
        <w:jc w:val="left"/>
        <w:rPr/>
      </w:pPr>
      <w:r>
        <w:rPr/>
        <w:t>“</w:t>
      </w:r>
      <w:r>
        <w:rPr/>
        <w:t>A quarta é o pivot. É a mesma tabela, só que girada, e cada jeito responde uma pergunta diferente. Olhando por causa, dá pra ver que doença circulatória é coisa de adulto e idoso: 621 idosos com doença cerebrovascular. Girando e olhando por fase da vida, aparece outra coisa: nas crianças o que domina é doença pulmonar, 329. Então o mesmo dado serve tanto pra um programa de saúde do idoso quanto pra uma linha de cuidado pra asma infantil, por exemplo.”</w:t>
      </w:r>
    </w:p>
    <w:p>
      <w:pPr>
        <w:pStyle w:val="Heading2"/>
        <w:bidi w:val="0"/>
        <w:jc w:val="left"/>
        <w:rPr/>
      </w:pPr>
      <w:r>
        <w:rPr/>
        <w:t>Slide 24 · Consulta 5: drill-across</w:t>
      </w:r>
    </w:p>
    <w:p>
      <w:pPr>
        <w:pStyle w:val="BodyText"/>
        <w:bidi w:val="0"/>
        <w:jc w:val="left"/>
        <w:rPr/>
      </w:pPr>
      <w:r>
        <w:rPr>
          <w:rStyle w:val="Strong"/>
        </w:rPr>
        <w:t>O que o slide mostra.</w:t>
      </w:r>
      <w:r>
        <w:rPr/>
        <w:t xml:space="preserve"> Três painéis empilhados, um por fato, com o mesmo eixo de meses: cobertura de Saúde da Família, produção APS e ICSAP por 10 mil habitantes.</w:t>
      </w:r>
    </w:p>
    <w:p>
      <w:pPr>
        <w:pStyle w:val="BodyText"/>
        <w:bidi w:val="0"/>
        <w:jc w:val="left"/>
        <w:rPr/>
      </w:pPr>
      <w:r>
        <w:rPr>
          <w:rStyle w:val="Strong"/>
        </w:rPr>
        <w:t>A aula.</w:t>
      </w:r>
      <w:r>
        <w:rPr/>
        <w:t xml:space="preserve"> O drill-across combina medidas de </w:t>
      </w:r>
      <w:r>
        <w:rPr>
          <w:rStyle w:val="Strong"/>
        </w:rPr>
        <w:t>fatos diferentes</w:t>
      </w:r>
      <w:r>
        <w:rPr/>
        <w:t xml:space="preserve">. A regra é não juntar os fatos linha a linha, porque eles têm grãos diferentes e a junção multiplicaria linhas. Em vez disso, cada fato é agregado sozinho até o grão comum (o mês) e só então os três resultados são juntados pela dimensão conforme </w:t>
      </w:r>
      <w:r>
        <w:rPr>
          <w:rStyle w:val="SourceText"/>
        </w:rPr>
        <w:t>ano_mes</w:t>
      </w:r>
      <w:r>
        <w:rPr/>
        <w:t>. Isso só é possível por causa da constelação.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Oferta</w:t>
      </w:r>
      <w:r>
        <w:rPr/>
        <w:t xml:space="preserve"> (</w:t>
      </w:r>
      <w:r>
        <w:rPr>
          <w:rStyle w:val="SourceText"/>
        </w:rPr>
        <w:t>fato_equipe</w:t>
      </w:r>
      <w:r>
        <w:rPr/>
        <w:t xml:space="preserve">): contagem de equipes de Saúde da Família. Cobertura estimada = equipes × 3.450 ÷ 254.857, sendo 3.450 o parâmetro clássico de pessoas por equipe.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Uso</w:t>
      </w:r>
      <w:r>
        <w:rPr/>
        <w:t xml:space="preserve"> (</w:t>
      </w:r>
      <w:r>
        <w:rPr>
          <w:rStyle w:val="SourceText"/>
        </w:rPr>
        <w:t>fato_producao_ambulatorial</w:t>
      </w:r>
      <w:r>
        <w:rPr/>
        <w:t xml:space="preserve">): soma da produção aprovada nos estabelecimentos de atenção primária.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Resultado</w:t>
      </w:r>
      <w:r>
        <w:rPr/>
        <w:t xml:space="preserve"> (</w:t>
      </w:r>
      <w:r>
        <w:rPr>
          <w:rStyle w:val="SourceText"/>
        </w:rPr>
        <w:t>fato_internacao</w:t>
      </w:r>
      <w:r>
        <w:rPr/>
        <w:t xml:space="preserve">): ICSAP de residentes. Taxa = ICSAP ÷ 254.857 × 10.000. </w:t>
      </w:r>
    </w:p>
    <w:p>
      <w:pPr>
        <w:pStyle w:val="BodyText"/>
        <w:bidi w:val="0"/>
        <w:jc w:val="left"/>
        <w:rPr/>
      </w:pPr>
      <w:r>
        <w:rPr>
          <w:rStyle w:val="Strong"/>
        </w:rPr>
        <w:t>Os resultados.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23 equipes</w:t>
      </w:r>
      <w:r>
        <w:rPr/>
        <w:t xml:space="preserve"> de Saúde da Família em todos os 24 meses, ou seja, cobertura estimada constante de </w:t>
      </w:r>
      <w:r>
        <w:rPr>
          <w:rStyle w:val="Strong"/>
        </w:rPr>
        <w:t>31,1%</w:t>
      </w:r>
      <w:r>
        <w:rPr/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A produção das UBS no SIA é </w:t>
      </w:r>
      <w:r>
        <w:rPr>
          <w:rStyle w:val="Strong"/>
        </w:rPr>
        <w:t>zero em todos os meses</w:t>
      </w:r>
      <w:r>
        <w:rPr/>
        <w:t xml:space="preserve">: desde o e-SUS APS, ela é registrada no </w:t>
      </w:r>
      <w:r>
        <w:rPr>
          <w:rStyle w:val="Strong"/>
        </w:rPr>
        <w:t>SISAB</w:t>
      </w:r>
      <w:r>
        <w:rPr/>
        <w:t xml:space="preserve">, outro sistema. O painel mostra o zero em vez de esconder.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A taxa de ICSAP variou entre </w:t>
      </w:r>
      <w:r>
        <w:rPr>
          <w:rStyle w:val="Strong"/>
        </w:rPr>
        <w:t>6,55 e 11,42 por 10 mil habitantes</w:t>
      </w:r>
      <w:r>
        <w:rPr/>
        <w:t xml:space="preserve"> e terminou 2024 em </w:t>
      </w:r>
      <w:r>
        <w:rPr>
          <w:rStyle w:val="Strong"/>
        </w:rPr>
        <w:t>8,40</w:t>
      </w:r>
      <w:r>
        <w:rPr/>
        <w:t xml:space="preserve">. </w:t>
      </w:r>
    </w:p>
    <w:p>
      <w:pPr>
        <w:pStyle w:val="BodyText"/>
        <w:bidi w:val="0"/>
        <w:jc w:val="left"/>
        <w:rPr/>
      </w:pPr>
      <w:r>
        <w:rPr>
          <w:rStyle w:val="Strong"/>
        </w:rPr>
        <w:t>Como se liga ao trabalho.</w:t>
      </w:r>
      <w:r>
        <w:rPr/>
        <w:t xml:space="preserve"> É a resposta (honesta) à pergunta central. O DW consegue fazer a comparação, mas os dados de 2023–2024 não permitem concluir nada: a oferta não variou, então não há o que relacionar com as internações. Esse é um achado real do trabalho, e vale apresentar como achado, não como falha.</w:t>
      </w:r>
    </w:p>
    <w:p>
      <w:pPr>
        <w:pStyle w:val="BodyText"/>
        <w:bidi w:val="0"/>
        <w:jc w:val="left"/>
        <w:rPr/>
      </w:pPr>
      <w:r>
        <w:rPr>
          <w:rStyle w:val="Strong"/>
        </w:rPr>
        <w:t>Fala de exemplo</w:t>
      </w:r>
    </w:p>
    <w:p>
      <w:pPr>
        <w:pStyle w:val="BlockQuotation"/>
        <w:bidi w:val="0"/>
        <w:jc w:val="left"/>
        <w:rPr/>
      </w:pPr>
      <w:r>
        <w:rPr/>
        <w:t>“</w:t>
      </w:r>
      <w:r>
        <w:rPr/>
        <w:t>E a quinta é a pergunta central, o drill-across. Aqui a gente pega os três fatos, agrega cada um sozinho por mês e junta pelo mês, que é a dimensão conforme. E vieram duas surpresas. Primeiro: São Carlos teve 23 equipes de Saúde da Família todo santo mês, então a cobertura ficou parada em 31%. Segundo: a produção das UBS no SIA é zero, porque desde o e-SUS ela vai pra outro sistema, o SISAB. A gente preferiu mostrar o zero do que esconder. As internações evitáveis ficaram entre 6,5 e 11,4 por 10 mil habitantes. Então o DW faz a pergunta, mas com a oferta parada ainda não dá pra responder.”</w:t>
      </w:r>
    </w:p>
    <w:p>
      <w:pPr>
        <w:pStyle w:val="Heading2"/>
        <w:bidi w:val="0"/>
        <w:jc w:val="left"/>
        <w:rPr/>
      </w:pPr>
      <w:r>
        <w:rPr/>
        <w:t>Slide 25 · O que o modelo não resolve</w:t>
      </w:r>
    </w:p>
    <w:p>
      <w:pPr>
        <w:pStyle w:val="BodyText"/>
        <w:bidi w:val="0"/>
        <w:jc w:val="left"/>
        <w:rPr/>
      </w:pPr>
      <w:r>
        <w:rPr>
          <w:rStyle w:val="Strong"/>
        </w:rPr>
        <w:t>O que o slide mostra.</w:t>
      </w:r>
      <w:r>
        <w:rPr/>
        <w:t xml:space="preserve"> Quatro limitações e o próximo passo.</w:t>
      </w:r>
    </w:p>
    <w:p>
      <w:pPr>
        <w:pStyle w:val="BodyText"/>
        <w:bidi w:val="0"/>
        <w:jc w:val="left"/>
        <w:rPr/>
      </w:pPr>
      <w:r>
        <w:rPr>
          <w:rStyle w:val="Strong"/>
        </w:rPr>
        <w:t>A aula.</w:t>
      </w:r>
      <w:r>
        <w:rPr/>
        <w:t xml:space="preserve"> Todo modelo tem limites, e dizê-los antes que perguntem é sinal de que o grupo entendeu os dados.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SISAB ≠ SIA</w:t>
      </w:r>
      <w:r>
        <w:rPr/>
        <w:t xml:space="preserve">: a produção das UBS não está no SIA. Os dados reais confirmaram: zero em 2023 e 2024.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Cobertura estimada</w:t>
      </w:r>
      <w:r>
        <w:rPr/>
        <w:t xml:space="preserve">: usa o parâmetro de 3.450 pessoas por equipe e conta só equipes de Saúde da Família. A metodologia oficial de cobertura mudou ao longo dos anos.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Competência</w:t>
      </w:r>
      <w:r>
        <w:rPr/>
        <w:t xml:space="preserve">: o mês do DW é o de processamento, não a data da internação. Uma internação de dezembro pode aparecer em janeiro.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Coordenadas</w:t>
      </w:r>
      <w:r>
        <w:rPr/>
        <w:t xml:space="preserve">: as da API do CNES são imprecisas. </w:t>
      </w:r>
    </w:p>
    <w:p>
      <w:pPr>
        <w:pStyle w:val="BodyText"/>
        <w:bidi w:val="0"/>
        <w:jc w:val="left"/>
        <w:rPr/>
      </w:pPr>
      <w:r>
        <w:rPr>
          <w:rStyle w:val="Strong"/>
        </w:rPr>
        <w:t>Como se liga ao trabalho.</w:t>
      </w:r>
      <w:r>
        <w:rPr/>
        <w:t xml:space="preserve"> O próximo passo sai direto dos limites: incluir o SISAB como fonte e usar mais anos, para que a oferta tenha variação. Isso combina com a parte 2 da disciplina, a implementação do DW.</w:t>
      </w:r>
    </w:p>
    <w:p>
      <w:pPr>
        <w:pStyle w:val="BodyText"/>
        <w:bidi w:val="0"/>
        <w:jc w:val="left"/>
        <w:rPr/>
      </w:pPr>
      <w:r>
        <w:rPr>
          <w:rStyle w:val="Strong"/>
        </w:rPr>
        <w:t>Fala de exemplo</w:t>
      </w:r>
    </w:p>
    <w:p>
      <w:pPr>
        <w:pStyle w:val="BlockQuotation"/>
        <w:bidi w:val="0"/>
        <w:jc w:val="left"/>
        <w:rPr/>
      </w:pPr>
      <w:r>
        <w:rPr/>
        <w:t>“</w:t>
      </w:r>
      <w:r>
        <w:rPr/>
        <w:t>E o que o nosso modelo não resolve? A principal é essa do SISAB: a produção das UBS não tá no SIA. A cobertura é uma estimativa por parâmetro e, nesses dois anos, não mudou. O mês que a gente usa é o de processamento, não o dia da internação. E as coordenadas da API são ruins. O próximo passo natural é colocar o SISAB e mais anos de dados.”</w:t>
      </w:r>
    </w:p>
    <w:p>
      <w:pPr>
        <w:pStyle w:val="Heading2"/>
        <w:bidi w:val="0"/>
        <w:jc w:val="left"/>
        <w:rPr/>
      </w:pPr>
      <w:r>
        <w:rPr/>
        <w:t>Slide 26 · Obrigado</w:t>
      </w:r>
    </w:p>
    <w:p>
      <w:pPr>
        <w:pStyle w:val="BodyText"/>
        <w:bidi w:val="0"/>
        <w:jc w:val="left"/>
        <w:rPr/>
      </w:pPr>
      <w:r>
        <w:rPr>
          <w:rStyle w:val="Strong"/>
        </w:rPr>
        <w:t>O que o slide mostra.</w:t>
      </w:r>
      <w:r>
        <w:rPr/>
        <w:t xml:space="preserve"> O encerramento e o convite para perguntas.</w:t>
      </w:r>
    </w:p>
    <w:p>
      <w:pPr>
        <w:pStyle w:val="BodyText"/>
        <w:bidi w:val="0"/>
        <w:jc w:val="left"/>
        <w:rPr/>
      </w:pPr>
      <w:r>
        <w:rPr>
          <w:rStyle w:val="Strong"/>
        </w:rPr>
        <w:t>A aula.</w:t>
      </w:r>
      <w:r>
        <w:rPr/>
        <w:t xml:space="preserve"> O fechamento retoma a frase do início: três processos, uma constelação e uma pergunta de política pública para São Carlos.</w:t>
      </w:r>
    </w:p>
    <w:p>
      <w:pPr>
        <w:pStyle w:val="BodyText"/>
        <w:bidi w:val="0"/>
        <w:jc w:val="left"/>
        <w:rPr/>
      </w:pPr>
      <w:r>
        <w:rPr>
          <w:rStyle w:val="Strong"/>
        </w:rPr>
        <w:t>Como se liga ao trabalho.</w:t>
      </w:r>
      <w:r>
        <w:rPr/>
        <w:t xml:space="preserve"> Na hora das perguntas, cada um responde sobre a própria parte, mas todos devem saber explicar a pergunta central, a constelação e o achado do SISAB.</w:t>
      </w:r>
    </w:p>
    <w:p>
      <w:pPr>
        <w:pStyle w:val="BodyText"/>
        <w:bidi w:val="0"/>
        <w:jc w:val="left"/>
        <w:rPr/>
      </w:pPr>
      <w:r>
        <w:rPr>
          <w:rStyle w:val="Strong"/>
        </w:rPr>
        <w:t>Fala de exemplo</w:t>
      </w:r>
    </w:p>
    <w:p>
      <w:pPr>
        <w:pStyle w:val="BlockQuotation"/>
        <w:bidi w:val="0"/>
        <w:jc w:val="left"/>
        <w:rPr/>
      </w:pPr>
      <w:r>
        <w:rPr/>
        <w:t>“</w:t>
      </w:r>
      <w:r>
        <w:rPr/>
        <w:t>Então é isso: três processos, uma constelação e uma pergunta de política pública pra São Carlos, já rodando com dado real. Obrigado, e a gente fica aberto pra perguntas!”</w:t>
      </w:r>
    </w:p>
    <w:p>
      <w:pPr>
        <w:pStyle w:val="Heading2"/>
        <w:bidi w:val="0"/>
        <w:jc w:val="left"/>
        <w:rPr/>
      </w:pPr>
      <w:r>
        <w:rPr/>
        <w:t>Lembretes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As explicações são para estudar antes: leiam a parte de vocês e também a dos outros, porque a professora pode perguntar qualquer coisa a qualquer um.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As falas têm de 40 segundos a 1 minuto por slide. Não decorem palavra por palavra: guardem a ideia e os números.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283"/>
        <w:ind w:hanging="283" w:left="709"/>
        <w:jc w:val="left"/>
        <w:rPr/>
      </w:pPr>
      <w:r>
        <w:rPr/>
        <w:t xml:space="preserve">Os números citados são os resultados reais do notebook (dados de 2023 e 2024). As mesmas falas, em versão curta, estão nas notas do apresentador (tecla N na apresentação). 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altName w:val="serif"/>
    <w:charset w:val="01"/>
    <w:family w:val="auto"/>
    <w:pitch w:val="default"/>
  </w:font>
  <w:font w:name="Courier New">
    <w:altName w:val="monospace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iberation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24"/>
    </w:pPr>
    <w:rPr>
      <w:rFonts w:ascii="Times New Roman;serif" w:hAnsi="Times New Roman;serif" w:eastAsia="Times New Roman;serif" w:cs="Times New Roman;serif"/>
      <w:color w:val="auto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40"/>
    </w:pPr>
    <w:rPr>
      <w:b/>
      <w:bCs/>
      <w:color w:val="1F3864"/>
      <w:sz w:val="40"/>
      <w:szCs w:val="40"/>
    </w:rPr>
  </w:style>
  <w:style w:type="paragraph" w:styleId="Heading2">
    <w:name w:val="heading 2"/>
    <w:basedOn w:val="Heading"/>
    <w:next w:val="BodyText"/>
    <w:qFormat/>
    <w:pPr>
      <w:spacing w:before="360" w:after="120"/>
      <w:outlineLvl w:val="1"/>
    </w:pPr>
    <w:rPr>
      <w:rFonts w:ascii="Liberation Serif" w:hAnsi="Liberation Serif" w:eastAsia="Noto Serif CJK SC" w:cs="Liberation Sans"/>
      <w:b/>
      <w:bCs/>
      <w:color w:val="1F3864"/>
      <w:sz w:val="28"/>
      <w:szCs w:val="28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Liberation Sans"/>
      <w:b/>
      <w:bCs/>
      <w:color w:val="1F3864"/>
      <w:sz w:val="24"/>
      <w:szCs w:val="24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urier New;monospace" w:hAnsi="Courier New;monospace" w:eastAsia="Courier New;monospace" w:cs="Courier New;monospace"/>
      <w:sz w:val="21"/>
      <w:szCs w:val="21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21"/>
      <w:szCs w:val="21"/>
    </w:rPr>
  </w:style>
  <w:style w:type="paragraph" w:styleId="Index">
    <w:name w:val="Index"/>
    <w:basedOn w:val="Normal"/>
    <w:qFormat/>
    <w:pPr>
      <w:suppressLineNumbers/>
    </w:pPr>
    <w:rPr>
      <w:rFonts w:cs="Liberation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iberation Sans"/>
      <w:i/>
      <w:iCs/>
      <w:sz w:val="24"/>
      <w:szCs w:val="24"/>
    </w:rPr>
  </w:style>
  <w:style w:type="paragraph" w:styleId="List">
    <w:name w:val="List"/>
    <w:basedOn w:val="BodyText"/>
    <w:pPr/>
    <w:rPr>
      <w:rFonts w:cs="Liberation Sans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BodyTextsub">
    <w:name w:val="Body Text.sub"/>
    <w:basedOn w:val="BodyText"/>
    <w:qFormat/>
    <w:pPr/>
    <w:rPr>
      <w:i/>
      <w:iCs/>
      <w:color w:val="555555"/>
    </w:rPr>
  </w:style>
  <w:style w:type="paragraph" w:styleId="BlockQuotation">
    <w:name w:val="Block Quotation"/>
    <w:basedOn w:val="Normal"/>
    <w:qFormat/>
    <w:pPr>
      <w:pBdr>
        <w:left w:val="single" w:sz="18" w:space="10" w:color="1F3864"/>
      </w:pBdr>
      <w:shd w:fill="F2F5FA" w:val="clear"/>
      <w:spacing w:before="80" w:after="200"/>
      <w:ind w:hanging="0" w:left="360" w:right="80"/>
    </w:pPr>
    <w:rPr>
      <w:i/>
      <w:iCs/>
    </w:rPr>
  </w:style>
  <w:style w:type="paragraph" w:styleId="TableHeading">
    <w:name w:val="Table Heading"/>
    <w:basedOn w:val="TableContents"/>
    <w:qFormat/>
    <w:pPr>
      <w:suppressLineNumbers/>
      <w:shd w:fill="1F3864" w:val="clear"/>
      <w:jc w:val="center"/>
    </w:pPr>
    <w:rPr>
      <w:b/>
      <w:bCs/>
      <w:color w:val="FFFFFF"/>
      <w:sz w:val="21"/>
      <w:szCs w:val="21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LibreOffice/26.2.4.2$Linux_X86_64 LibreOffice_project/620$Build-2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Parte 4 - Consultas OLAP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