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4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Departamento de Ciências de Computação – SCC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Instituto de Ciências Matemáticas e de Computação – ICMC</w:t>
      </w:r>
    </w:p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Universidade de São Paulo – USP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Disciplina SCC0245 – Processamento Analítico de Dados</w:t>
      </w:r>
    </w:p>
    <w:p>
      <w:pPr>
        <w:pStyle w:val="Normal"/>
        <w:spacing w:before="0" w:after="1400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Docente Responsável: Profa. Cristina Dutra de Aguiar</w:t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Trabalho Prático 1</w:t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color w:val="1F3864"/>
          <w:sz w:val="36"/>
          <w:szCs w:val="36"/>
        </w:rPr>
        <w:t>Data Warehouse para Análise da Cobertura da Atenção Primária a Saúde em São Carlos</w:t>
      </w:r>
    </w:p>
    <w:p>
      <w:pPr>
        <w:pStyle w:val="Normal"/>
        <w:spacing w:before="0" w:after="1400"/>
        <w:jc w:val="center"/>
        <w:rPr/>
      </w:pPr>
      <w:r>
        <w:rPr>
          <w:rFonts w:eastAsia="Times New Roman" w:cs="Times New Roman"/>
          <w:i/>
          <w:iCs/>
          <w:sz w:val="24"/>
          <w:szCs w:val="24"/>
        </w:rPr>
        <w:t>Unidades e equipes de saúde, demanda ambulatorial e internações evitáveis</w:t>
      </w:r>
    </w:p>
    <w:tbl>
      <w:tblPr>
        <w:tblW w:w="8506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200"/>
        <w:gridCol w:w="2306"/>
      </w:tblGrid>
      <w:tr>
        <w:trPr/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Integrante</w:t>
            </w:r>
          </w:p>
        </w:tc>
        <w:tc>
          <w:tcPr>
            <w:tcW w:w="23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E8ED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Nº USP</w:t>
            </w:r>
          </w:p>
        </w:tc>
      </w:tr>
      <w:tr>
        <w:trPr/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[Nome]</w:t>
            </w:r>
          </w:p>
        </w:tc>
        <w:tc>
          <w:tcPr>
            <w:tcW w:w="23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[Nº USP]</w:t>
            </w:r>
          </w:p>
        </w:tc>
      </w:tr>
      <w:tr>
        <w:trPr/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[Nome]</w:t>
            </w:r>
          </w:p>
        </w:tc>
        <w:tc>
          <w:tcPr>
            <w:tcW w:w="23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[Nº USP]</w:t>
            </w:r>
          </w:p>
        </w:tc>
      </w:tr>
      <w:tr>
        <w:trPr/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[Nome]</w:t>
            </w:r>
          </w:p>
        </w:tc>
        <w:tc>
          <w:tcPr>
            <w:tcW w:w="23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[Nº USP]</w:t>
            </w:r>
          </w:p>
        </w:tc>
      </w:tr>
      <w:tr>
        <w:trPr/>
        <w:tc>
          <w:tcPr>
            <w:tcW w:w="6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[Nome]</w:t>
            </w:r>
          </w:p>
        </w:tc>
        <w:tc>
          <w:tcPr>
            <w:tcW w:w="23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[Nº USP]</w:t>
            </w:r>
          </w:p>
        </w:tc>
      </w:tr>
    </w:tbl>
    <w:p>
      <w:pPr>
        <w:pStyle w:val="Normal"/>
        <w:spacing w:before="1400" w:after="40"/>
        <w:jc w:val="center"/>
        <w:rPr/>
      </w:pPr>
      <w:r>
        <w:rPr>
          <w:rFonts w:eastAsia="Times New Roman" w:cs="Times New Roman"/>
          <w:sz w:val="24"/>
          <w:szCs w:val="24"/>
        </w:rPr>
        <w:t>São Carlos, 29 de Outubro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dondice"/>
        <w:spacing w:before="0" w:after="240"/>
        <w:rPr/>
      </w:pPr>
      <w:r>
        <w:rPr/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60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722_3790495778" w:tooltip="1. Descrição do Problema">
            <w:r>
              <w:rPr>
                <w:rStyle w:val="IndexLink"/>
              </w:rPr>
              <w:t>1. Descrição do Problema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24_3790495778" w:tooltip="1.1 Tema geral do trabalho">
            <w:r>
              <w:rPr>
                <w:rStyle w:val="IndexLink"/>
              </w:rPr>
              <w:t>1.1 Tema geral do trabalho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26_3790495778" w:tooltip="1.2 Fontes de dados">
            <w:r>
              <w:rPr>
                <w:rStyle w:val="IndexLink"/>
              </w:rPr>
              <w:t>1.2 Fontes de dados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28_3790495778" w:tooltip="1.3 Processos de negócio">
            <w:r>
              <w:rPr>
                <w:rStyle w:val="IndexLink"/>
              </w:rPr>
              <w:t>1.3 Processos de negócio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30_3790495778" w:tooltip="1.4 Dimensões e seus atributos">
            <w:r>
              <w:rPr>
                <w:rStyle w:val="IndexLink"/>
              </w:rPr>
              <w:t>1.4 Dimensões e seus atributos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32_3790495778" w:tooltip="1.5 Povoamento e integração dos dados">
            <w:r>
              <w:rPr>
                <w:rStyle w:val="IndexLink"/>
              </w:rPr>
              <w:t>1.5 Povoamento e integração dos dados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34_3790495778" w:tooltip="1.6 Particularidades do problema">
            <w:r>
              <w:rPr>
                <w:rStyle w:val="IndexLink"/>
              </w:rPr>
              <w:t>1.6 Particularidades do problema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8605" w:leader="dot"/>
            </w:tabs>
            <w:rPr/>
          </w:pPr>
          <w:hyperlink w:anchor="__RefHeading___Toc1736_3790495778" w:tooltip="2. Esquemas">
            <w:r>
              <w:rPr>
                <w:rStyle w:val="IndexLink"/>
              </w:rPr>
              <w:t>2. Esquemas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38_3790495778" w:tooltip="2.1 Esquema estrela 1 – Oferta de equipes (fato sem fato)">
            <w:r>
              <w:rPr>
                <w:rStyle w:val="IndexLink"/>
              </w:rPr>
              <w:t>2.1 Esquema estrela 1 – Oferta de equipes (fato sem fato)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40_3790495778" w:tooltip="2.2 Esquema estrela 2 – Internações hospitalares">
            <w:r>
              <w:rPr>
                <w:rStyle w:val="IndexLink"/>
              </w:rPr>
              <w:t>2.2 Esquema estrela 2 – Internações hospitalares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42_3790495778" w:tooltip="2.3 Esquema estrela 3 – Produção ambulatorial">
            <w:r>
              <w:rPr>
                <w:rStyle w:val="IndexLink"/>
              </w:rPr>
              <w:t>2.3 Esquema estrela 3 – Produção ambulatorial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44_3790495778" w:tooltip="2.4 Aspectos adicionais de modelagem">
            <w:r>
              <w:rPr>
                <w:rStyle w:val="IndexLink"/>
              </w:rPr>
              <w:t>2.4 Aspectos adicionais de modelagem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46_3790495778" w:tooltip="2.5 Constelação de fatos">
            <w:r>
              <w:rPr>
                <w:rStyle w:val="IndexLink"/>
              </w:rPr>
              <w:t>2.5 Constelação de fatos</w:t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8605" w:leader="dot"/>
            </w:tabs>
            <w:rPr/>
          </w:pPr>
          <w:hyperlink w:anchor="__RefHeading___Toc1748_3790495778" w:tooltip="3. Consultas">
            <w:r>
              <w:rPr>
                <w:rStyle w:val="IndexLink"/>
              </w:rPr>
              <w:t>3. Consultas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50_3790495778" w:tooltip="Consulta 1 – Roll-up">
            <w:r>
              <w:rPr>
                <w:rStyle w:val="IndexLink"/>
              </w:rPr>
              <w:t>Consulta 1 – Roll-up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52_3790495778" w:tooltip="Consulta 2 – Drill-down">
            <w:r>
              <w:rPr>
                <w:rStyle w:val="IndexLink"/>
              </w:rPr>
              <w:t>Consulta 2 – Drill-down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54_3790495778" w:tooltip="Consulta 3 – Slice and dice">
            <w:r>
              <w:rPr>
                <w:rStyle w:val="IndexLink"/>
              </w:rPr>
              <w:t>Consulta 3 – Slice and dice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56_3790495778" w:tooltip="Consulta 4 – Pivot">
            <w:r>
              <w:rPr>
                <w:rStyle w:val="IndexLink"/>
              </w:rPr>
              <w:t>Consulta 4 – Pivot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58_3790495778" w:tooltip="Consulta 5 – Drill-across">
            <w:r>
              <w:rPr>
                <w:rStyle w:val="IndexLink"/>
              </w:rPr>
              <w:t>Consulta 5 – Drill-across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8605" w:leader="dot"/>
            </w:tabs>
            <w:rPr/>
          </w:pPr>
          <w:hyperlink w:anchor="__RefHeading___Toc1760_3790495778" w:tooltip="Resumo das consultas">
            <w:r>
              <w:rPr>
                <w:rStyle w:val="IndexLink"/>
              </w:rPr>
              <w:t>Resumo das consultas</w:t>
              <w:tab/>
              <w:t>29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0" w:name="__RefHeading___Toc1722_3790495778"/>
      <w:bookmarkStart w:id="1" w:name="_Toc1"/>
      <w:bookmarkEnd w:id="0"/>
      <w:r>
        <w:rPr>
          <w:rFonts w:eastAsia="Times New Roman" w:cs="Times New Roman"/>
        </w:rPr>
        <w:t>1. Descrição do Problema</w:t>
      </w:r>
      <w:bookmarkEnd w:id="1"/>
    </w:p>
    <w:p>
      <w:pPr>
        <w:pStyle w:val="Heading2"/>
        <w:rPr/>
      </w:pPr>
      <w:bookmarkStart w:id="2" w:name="__RefHeading___Toc1724_3790495778"/>
      <w:bookmarkStart w:id="3" w:name="_Toc2"/>
      <w:bookmarkEnd w:id="2"/>
      <w:r>
        <w:rPr>
          <w:rFonts w:eastAsia="Times New Roman" w:cs="Times New Roman"/>
        </w:rPr>
        <w:t>1.1 Tema geral do trabalho</w:t>
      </w:r>
      <w:bookmarkEnd w:id="3"/>
    </w:p>
    <w:p>
      <w:pPr>
        <w:pStyle w:val="Corpodotexto"/>
        <w:rPr/>
      </w:pPr>
      <w:r>
        <w:rPr>
          <w:rFonts w:eastAsia="Times New Roman" w:cs="Times New Roman"/>
        </w:rPr>
        <w:t xml:space="preserve">O tema do trabalho é a </w:t>
      </w:r>
      <w:r>
        <w:rPr>
          <w:rFonts w:eastAsia="Times New Roman" w:cs="Times New Roman"/>
          <w:b/>
          <w:bCs/>
        </w:rPr>
        <w:t>cobertura da atenção básica (Atenção Primária à Saúde – APS) no município de São Carlos (SP)</w:t>
      </w:r>
      <w:r>
        <w:rPr>
          <w:rFonts w:eastAsia="Times New Roman" w:cs="Times New Roman"/>
        </w:rPr>
        <w:t xml:space="preserve">, analisada a partir de três ângulos complementares: a </w:t>
      </w:r>
      <w:r>
        <w:rPr>
          <w:rFonts w:eastAsia="Times New Roman" w:cs="Times New Roman"/>
          <w:b/>
          <w:bCs/>
        </w:rPr>
        <w:t>oferta</w:t>
      </w:r>
      <w:r>
        <w:rPr>
          <w:rFonts w:eastAsia="Times New Roman" w:cs="Times New Roman"/>
        </w:rPr>
        <w:t xml:space="preserve"> de equipes de saúde, a </w:t>
      </w:r>
      <w:r>
        <w:rPr>
          <w:rFonts w:eastAsia="Times New Roman" w:cs="Times New Roman"/>
          <w:b/>
          <w:bCs/>
        </w:rPr>
        <w:t>demanda</w:t>
      </w:r>
      <w:r>
        <w:rPr>
          <w:rFonts w:eastAsia="Times New Roman" w:cs="Times New Roman"/>
        </w:rPr>
        <w:t xml:space="preserve"> por atendimentos ambulatoriais e as </w:t>
      </w:r>
      <w:r>
        <w:rPr>
          <w:rFonts w:eastAsia="Times New Roman" w:cs="Times New Roman"/>
          <w:b/>
          <w:bCs/>
        </w:rPr>
        <w:t>internações hospitalares evitáveis</w:t>
      </w:r>
      <w:r>
        <w:rPr>
          <w:rFonts w:eastAsia="Times New Roman" w:cs="Times New Roman"/>
        </w:rPr>
        <w:t>. O trabalho se insere na temática da disciplina de apoio à formulação de políticas públicas municipais e utiliza exclusivamente dados reais e oficiais do Sistema Único de Saúde (SUS) e do IBGE.</w:t>
      </w:r>
    </w:p>
    <w:p>
      <w:pPr>
        <w:pStyle w:val="Corpodotexto"/>
        <w:rPr/>
      </w:pPr>
      <w:r>
        <w:rPr>
          <w:rFonts w:eastAsia="Times New Roman" w:cs="Times New Roman"/>
        </w:rPr>
        <w:t xml:space="preserve">A atenção básica é a porta de entrada do SUS: são as Unidades Básicas de Saúde (UBS) e as Unidades de Saúde da Família (USF), com suas equipes de Saúde da Família (eSF) e de Atenção Primária (eAP), que acompanham a população de um território. Quando esse acompanhamento funciona, problemas como hipertensão, diabetes, asma ou infecções urinárias são controlados no posto de saúde. Quando falha, eles evoluem e acabam em internações hospitalares, que são mais caras para o município e piores para o paciente. Essas internações são chamadas de </w:t>
      </w:r>
      <w:r>
        <w:rPr>
          <w:rFonts w:eastAsia="Times New Roman" w:cs="Times New Roman"/>
          <w:b/>
          <w:bCs/>
        </w:rPr>
        <w:t>Internações por Condições Sensíveis à Atenção Primária (ICSAP)</w:t>
      </w:r>
      <w:r>
        <w:rPr>
          <w:rFonts w:eastAsia="Times New Roman" w:cs="Times New Roman"/>
        </w:rPr>
        <w:t xml:space="preserve"> e têm uma lista oficial definida pela Portaria SAS/MS nº 221/2008. A taxa de ICSAP é um dos indicadores mais usados para avaliar a efetividade da atenção básica.</w:t>
      </w:r>
    </w:p>
    <w:p>
      <w:pPr>
        <w:pStyle w:val="Corpodotexto"/>
        <w:rPr/>
      </w:pPr>
      <w:r>
        <w:rPr>
          <w:rFonts w:eastAsia="Times New Roman" w:cs="Times New Roman"/>
        </w:rPr>
        <w:t xml:space="preserve">A </w:t>
      </w:r>
      <w:r>
        <w:rPr>
          <w:rFonts w:eastAsia="Times New Roman" w:cs="Times New Roman"/>
          <w:b/>
          <w:bCs/>
        </w:rPr>
        <w:t>importância</w:t>
      </w:r>
      <w:r>
        <w:rPr>
          <w:rFonts w:eastAsia="Times New Roman" w:cs="Times New Roman"/>
        </w:rPr>
        <w:t xml:space="preserve"> do tema para a gestão municipal está em responder perguntas concretas: quantas equipes de atenção básica o município mantém ao longo do tempo e onde elas estão; que tipo de atendimento ambulatorial a rede realiza; quais internações da população são evitáveis, em que grupos da população e por quais causas; e se variações na oferta de equipes acompanham variações nas internações evitáveis. As respostas apoiam decisões como abrir ou reforçar equipes, priorizar linhas de cuidado (por exemplo, hipertensão e diabetes em idosos) e acompanhar o efeito dessas políticas.</w:t>
      </w:r>
    </w:p>
    <w:p>
      <w:pPr>
        <w:pStyle w:val="Heading2"/>
        <w:rPr/>
      </w:pPr>
      <w:bookmarkStart w:id="4" w:name="__RefHeading___Toc1726_3790495778"/>
      <w:bookmarkStart w:id="5" w:name="_Toc3"/>
      <w:bookmarkEnd w:id="4"/>
      <w:r>
        <w:rPr>
          <w:rFonts w:eastAsia="Times New Roman" w:cs="Times New Roman"/>
        </w:rPr>
        <w:t>1.2 Fontes de dados</w:t>
      </w:r>
      <w:bookmarkEnd w:id="5"/>
    </w:p>
    <w:p>
      <w:pPr>
        <w:pStyle w:val="Corpodotexto"/>
        <w:rPr/>
      </w:pPr>
      <w:r>
        <w:rPr>
          <w:rFonts w:eastAsia="Times New Roman" w:cs="Times New Roman"/>
        </w:rPr>
        <w:t>O data warehouse é povoado por cinco fontes, todas públicas e oficiais. As três primeiras são as principais e vêm do DATASUS (Departamento de Informática do SUS), obtidas com a biblioteca PySUS; as duas últimas são fontes auxiliares usadas para enriquecer e integrar as dimensões.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270"/>
        <w:gridCol w:w="3589"/>
        <w:gridCol w:w="2747"/>
      </w:tblGrid>
      <w:tr>
        <w:trPr>
          <w:tblHeader w:val="true"/>
          <w:cantSplit/>
        </w:trPr>
        <w:tc>
          <w:tcPr>
            <w:tcW w:w="22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Fonte</w:t>
            </w:r>
          </w:p>
        </w:tc>
        <w:tc>
          <w:tcPr>
            <w:tcW w:w="358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  <w:tc>
          <w:tcPr>
            <w:tcW w:w="27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Uso no DW</w:t>
            </w:r>
          </w:p>
        </w:tc>
      </w:tr>
      <w:tr>
        <w:trPr>
          <w:cantSplit/>
        </w:trPr>
        <w:tc>
          <w:tcPr>
            <w:tcW w:w="22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 – Cadastro Nacional de Estabelecimentos de Saúde, arquivos EP (equipes) e ST (estabelecimentos)</w:t>
            </w:r>
          </w:p>
        </w:tc>
        <w:tc>
          <w:tcPr>
            <w:tcW w:w="358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Equipes de saúde cadastradas em cada estabelecimento, com tipo e datas de ativação e desativação; características dos estabelecimentos (tipo de unidade, gestão, município)</w:t>
            </w:r>
          </w:p>
        </w:tc>
        <w:tc>
          <w:tcPr>
            <w:tcW w:w="27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Fato de equipes; dimensões de estabelecimento e tipo de equipe</w:t>
            </w:r>
          </w:p>
        </w:tc>
      </w:tr>
      <w:tr>
        <w:trPr>
          <w:cantSplit/>
        </w:trPr>
        <w:tc>
          <w:tcPr>
            <w:tcW w:w="22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SIH-SUS – Sistema de Informações Hospitalares, arquivo RD (AIH reduzida)</w:t>
            </w:r>
          </w:p>
        </w:tc>
        <w:tc>
          <w:tcPr>
            <w:tcW w:w="358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Uma linha por Autorização de Internação Hospitalar: paciente (sexo, idade, município de residência), hospital, diagnóstico, procedimento, dias de permanência, valor</w:t>
            </w:r>
          </w:p>
        </w:tc>
        <w:tc>
          <w:tcPr>
            <w:tcW w:w="27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Fato de internações; dimensões de diagnóstico, procedimento, perfil do paciente, localidade e bugiganga</w:t>
            </w:r>
          </w:p>
        </w:tc>
      </w:tr>
      <w:tr>
        <w:trPr>
          <w:cantSplit/>
        </w:trPr>
        <w:tc>
          <w:tcPr>
            <w:tcW w:w="22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SIA-SUS – Sistema de Informações Ambulatoriais, arquivo PA (produção ambulatorial)</w:t>
            </w:r>
          </w:p>
        </w:tc>
        <w:tc>
          <w:tcPr>
            <w:tcW w:w="358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Produção ambulatorial por estabelecimento, procedimento, competência, ocupação do profissional (CBO) e perfil do paciente; quantidades e valores apresentados e aprovados</w:t>
            </w:r>
          </w:p>
        </w:tc>
        <w:tc>
          <w:tcPr>
            <w:tcW w:w="27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Fato de produção ambulatorial; dimensões de procedimento, perfil, localidade e CBO</w:t>
            </w:r>
          </w:p>
        </w:tc>
      </w:tr>
      <w:tr>
        <w:trPr>
          <w:cantSplit/>
        </w:trPr>
        <w:tc>
          <w:tcPr>
            <w:tcW w:w="22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IBGE – API de Localidades</w:t>
            </w:r>
          </w:p>
        </w:tc>
        <w:tc>
          <w:tcPr>
            <w:tcW w:w="358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Municípios de SP com código de 7 dígitos, nome, região imediata e região intermediária</w:t>
            </w:r>
          </w:p>
        </w:tc>
        <w:tc>
          <w:tcPr>
            <w:tcW w:w="27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Nomes e hierarquia geográfica das dimensões de localidade e estabelecimento</w:t>
            </w:r>
          </w:p>
        </w:tc>
      </w:tr>
      <w:tr>
        <w:trPr>
          <w:cantSplit/>
        </w:trPr>
        <w:tc>
          <w:tcPr>
            <w:tcW w:w="22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Ministério da Saúde – API de Dados Abertos (CNES)</w:t>
            </w:r>
          </w:p>
        </w:tc>
        <w:tc>
          <w:tcPr>
            <w:tcW w:w="358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Nome fantasia, bairro e coordenadas de cada estabelecimento</w:t>
            </w:r>
          </w:p>
        </w:tc>
        <w:tc>
          <w:tcPr>
            <w:tcW w:w="27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Atributos descritivos da dimensão de estabelecimento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Recorte.</w:t>
      </w:r>
      <w:r>
        <w:rPr>
          <w:rFonts w:eastAsia="Times New Roman" w:cs="Times New Roman"/>
        </w:rPr>
        <w:t xml:space="preserve"> O período analisado vai de janeiro de 2023 a dezembro de 2024 (24 competências mensais). Os arquivos do DATASUS são estaduais; do estado de São Paulo são mantidos apenas os registros ligados a São Carlos: equipes sediadas no município, e internações e atendimentos de pacientes </w:t>
      </w:r>
      <w:r>
        <w:rPr>
          <w:rFonts w:eastAsia="Times New Roman" w:cs="Times New Roman"/>
          <w:b/>
          <w:bCs/>
        </w:rPr>
        <w:t>residentes</w:t>
      </w:r>
      <w:r>
        <w:rPr>
          <w:rFonts w:eastAsia="Times New Roman" w:cs="Times New Roman"/>
        </w:rPr>
        <w:t xml:space="preserve"> em São Carlos ou </w:t>
      </w:r>
      <w:r>
        <w:rPr>
          <w:rFonts w:eastAsia="Times New Roman" w:cs="Times New Roman"/>
          <w:b/>
          <w:bCs/>
        </w:rPr>
        <w:t>atendidos</w:t>
      </w:r>
      <w:r>
        <w:rPr>
          <w:rFonts w:eastAsia="Times New Roman" w:cs="Times New Roman"/>
        </w:rPr>
        <w:t xml:space="preserve"> em São Carlos. Manter os dois critérios permite analisar tanto a população do município (que às vezes é internada em outras cidades) quanto a rede instalada no município (que também atende moradores da região).</w:t>
      </w:r>
    </w:p>
    <w:p>
      <w:pPr>
        <w:pStyle w:val="Heading2"/>
        <w:rPr/>
      </w:pPr>
      <w:bookmarkStart w:id="6" w:name="__RefHeading___Toc1728_3790495778"/>
      <w:bookmarkStart w:id="7" w:name="_Toc4"/>
      <w:bookmarkEnd w:id="6"/>
      <w:r>
        <w:rPr>
          <w:rFonts w:eastAsia="Times New Roman" w:cs="Times New Roman"/>
        </w:rPr>
        <w:t>1.3 Processos de negócio</w:t>
      </w:r>
      <w:bookmarkEnd w:id="7"/>
    </w:p>
    <w:p>
      <w:pPr>
        <w:pStyle w:val="Corpodotexto"/>
        <w:rPr/>
      </w:pPr>
      <w:r>
        <w:rPr>
          <w:rFonts w:eastAsia="Times New Roman" w:cs="Times New Roman"/>
        </w:rPr>
        <w:t>Foram modelados três processos de negócio (assuntos de interesse), cada um dando origem a uma tabela de fatos.</w:t>
      </w:r>
    </w:p>
    <w:p>
      <w:pPr>
        <w:pStyle w:val="Heading3"/>
        <w:rPr/>
      </w:pPr>
      <w:r>
        <w:rPr>
          <w:rFonts w:eastAsia="Times New Roman" w:cs="Times New Roman"/>
        </w:rPr>
        <w:t>Processo 1 – Oferta de equipes da atenção básica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Descrição e justificativa.</w:t>
      </w:r>
      <w:r>
        <w:rPr>
          <w:rFonts w:eastAsia="Times New Roman" w:cs="Times New Roman"/>
        </w:rPr>
        <w:t xml:space="preserve"> Mede a capacidade instalada da atenção básica: quantas equipes estão ativas, de que tipo e em quais estabelecimentos. É a variável de política pública mais diretamente controlada pelo gestor municipal.</w:t>
      </w:r>
    </w:p>
    <w:p>
      <w:pPr>
        <w:pStyle w:val="Corpodotexto"/>
        <w:numPr>
          <w:ilvl w:val="0"/>
          <w:numId w:val="3"/>
        </w:numPr>
        <w:rPr/>
      </w:pPr>
      <w:r>
        <w:rPr>
          <w:rFonts w:eastAsia="Times New Roman" w:cs="Times New Roman"/>
          <w:b/>
          <w:bCs/>
        </w:rPr>
        <w:t>Grão:</w:t>
      </w:r>
      <w:r>
        <w:rPr>
          <w:rFonts w:eastAsia="Times New Roman" w:cs="Times New Roman"/>
        </w:rPr>
        <w:t xml:space="preserve"> uma equipe ativa em um estabelecimento em um mês (fotografia mensal, ou </w:t>
      </w:r>
      <w:r>
        <w:rPr>
          <w:rFonts w:eastAsia="Times New Roman" w:cs="Times New Roman"/>
          <w:i/>
          <w:iCs/>
        </w:rPr>
        <w:t>snapshot</w:t>
      </w:r>
      <w:r>
        <w:rPr>
          <w:rFonts w:eastAsia="Times New Roman" w:cs="Times New Roman"/>
        </w:rPr>
        <w:t xml:space="preserve"> periódico).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Dimensões:</w:t>
      </w:r>
      <w:r>
        <w:rPr>
          <w:rFonts w:eastAsia="Times New Roman" w:cs="Times New Roman"/>
        </w:rPr>
        <w:t xml:space="preserve"> tempo (mês), estabelecimento, tipo de equipe. O identificador da equipe é guardado como dimensão degenerada.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Fatos:</w:t>
      </w:r>
      <w:r>
        <w:rPr>
          <w:rFonts w:eastAsia="Times New Roman" w:cs="Times New Roman"/>
        </w:rPr>
        <w:t xml:space="preserve"> não há medida numérica armazenada; trata-se de uma </w:t>
      </w:r>
      <w:r>
        <w:rPr>
          <w:rFonts w:eastAsia="Times New Roman" w:cs="Times New Roman"/>
          <w:b/>
          <w:bCs/>
        </w:rPr>
        <w:t>tabela de fatos sem fato</w:t>
      </w:r>
      <w:r>
        <w:rPr>
          <w:rFonts w:eastAsia="Times New Roman" w:cs="Times New Roman"/>
        </w:rPr>
        <w:t xml:space="preserve">. O número de equipes é obtido contando as linhas. Essa contagem é </w:t>
      </w:r>
      <w:r>
        <w:rPr>
          <w:rFonts w:eastAsia="Times New Roman" w:cs="Times New Roman"/>
          <w:b/>
          <w:bCs/>
        </w:rPr>
        <w:t>semiaditiva</w:t>
      </w:r>
      <w:r>
        <w:rPr>
          <w:rFonts w:eastAsia="Times New Roman" w:cs="Times New Roman"/>
        </w:rPr>
        <w:t>: pode ser somada entre estabelecimentos e tipos de equipe, mas não ao longo do tempo (somar as equipes de janeiro e de fevereiro contaria a mesma equipe duas vezes). Ao agregar vários meses, usa-se a média mensal ou o valor do último mês.</w:t>
      </w:r>
    </w:p>
    <w:p>
      <w:pPr>
        <w:pStyle w:val="Heading3"/>
        <w:rPr/>
      </w:pPr>
      <w:r>
        <w:rPr>
          <w:rFonts w:eastAsia="Times New Roman" w:cs="Times New Roman"/>
        </w:rPr>
        <w:t>Processo 2 – Internações hospitalares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Descrição e justificativa.</w:t>
      </w:r>
      <w:r>
        <w:rPr>
          <w:rFonts w:eastAsia="Times New Roman" w:cs="Times New Roman"/>
        </w:rPr>
        <w:t xml:space="preserve"> Registra cada internação paga pelo SUS. Permite identificar as internações sensíveis à atenção primária, que funcionam como sinal de falha da rede básica, e caracterizá-las por causa, faixa etária, sexo e hospital.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Grão:</w:t>
      </w:r>
      <w:r>
        <w:rPr>
          <w:rFonts w:eastAsia="Times New Roman" w:cs="Times New Roman"/>
        </w:rPr>
        <w:t xml:space="preserve"> uma internação (uma AIH).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Dimensões:</w:t>
      </w:r>
      <w:r>
        <w:rPr>
          <w:rFonts w:eastAsia="Times New Roman" w:cs="Times New Roman"/>
        </w:rPr>
        <w:t xml:space="preserve"> tempo, estabelecimento (hospital), procedimento realizado, diagnóstico principal, perfil do paciente, localidade de residência do paciente e tabela bugiganga (caráter do atendimento, óbito, uso de UTI). O número da AIH é dimensão degenerada.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Fatos:</w:t>
      </w:r>
      <w:r>
        <w:rPr>
          <w:rFonts w:eastAsia="Times New Roman" w:cs="Times New Roman"/>
        </w:rPr>
        <w:t xml:space="preserve"> quantidade de internações (sempre 1 por linha, </w:t>
      </w:r>
      <w:r>
        <w:rPr>
          <w:rFonts w:eastAsia="Times New Roman" w:cs="Times New Roman"/>
          <w:b/>
          <w:bCs/>
        </w:rPr>
        <w:t>aditivo</w:t>
      </w:r>
      <w:r>
        <w:rPr>
          <w:rFonts w:eastAsia="Times New Roman" w:cs="Times New Roman"/>
        </w:rPr>
        <w:t>), dias de permanência (</w:t>
      </w:r>
      <w:r>
        <w:rPr>
          <w:rFonts w:eastAsia="Times New Roman" w:cs="Times New Roman"/>
          <w:b/>
          <w:bCs/>
        </w:rPr>
        <w:t>aditivo</w:t>
      </w:r>
      <w:r>
        <w:rPr>
          <w:rFonts w:eastAsia="Times New Roman" w:cs="Times New Roman"/>
        </w:rPr>
        <w:t>) e valor total pago em reais (</w:t>
      </w:r>
      <w:r>
        <w:rPr>
          <w:rFonts w:eastAsia="Times New Roman" w:cs="Times New Roman"/>
          <w:b/>
          <w:bCs/>
        </w:rPr>
        <w:t>aditivo</w:t>
      </w:r>
      <w:r>
        <w:rPr>
          <w:rFonts w:eastAsia="Times New Roman" w:cs="Times New Roman"/>
        </w:rPr>
        <w:t xml:space="preserve">). A média de permanência é um fato </w:t>
      </w:r>
      <w:r>
        <w:rPr>
          <w:rFonts w:eastAsia="Times New Roman" w:cs="Times New Roman"/>
          <w:b/>
          <w:bCs/>
        </w:rPr>
        <w:t>derivado e não aditivo</w:t>
      </w:r>
      <w:r>
        <w:rPr>
          <w:rFonts w:eastAsia="Times New Roman" w:cs="Times New Roman"/>
        </w:rPr>
        <w:t>, obtido pela soma dos dias dividida pela quantidade de internações.</w:t>
      </w:r>
    </w:p>
    <w:p>
      <w:pPr>
        <w:pStyle w:val="Heading3"/>
        <w:rPr/>
      </w:pPr>
      <w:r>
        <w:rPr>
          <w:rFonts w:eastAsia="Times New Roman" w:cs="Times New Roman"/>
        </w:rPr>
        <w:t>Processo 3 – Produção ambulatorial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Descrição e justificativa.</w:t>
      </w:r>
      <w:r>
        <w:rPr>
          <w:rFonts w:eastAsia="Times New Roman" w:cs="Times New Roman"/>
        </w:rPr>
        <w:t xml:space="preserve"> Mede a demanda atendida nos ambulatórios do SUS: consultas, exames, procedimentos e ações de prevenção. Mostra o volume e o tipo de atendimento que a rede realiza e o perfil de quem é atendido.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Grão:</w:t>
      </w:r>
      <w:r>
        <w:rPr>
          <w:rFonts w:eastAsia="Times New Roman" w:cs="Times New Roman"/>
        </w:rPr>
        <w:t xml:space="preserve"> estabelecimento × procedimento × mês × perfil do paciente (sexo e faixa etária) × município de residência × ocupação do profissional. É o menor nível de detalhe disponível no arquivo público do SIA, que já vem parcialmente agregado.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Dimensões:</w:t>
      </w:r>
      <w:r>
        <w:rPr>
          <w:rFonts w:eastAsia="Times New Roman" w:cs="Times New Roman"/>
        </w:rPr>
        <w:t xml:space="preserve"> tempo, estabelecimento, procedimento, perfil do paciente, localidade de residência, ocupação (CBO).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Fatos:</w:t>
      </w:r>
      <w:r>
        <w:rPr>
          <w:rFonts w:eastAsia="Times New Roman" w:cs="Times New Roman"/>
        </w:rPr>
        <w:t xml:space="preserve"> quantidade apresentada, quantidade aprovada, valor apresentado e valor aprovado, todos </w:t>
      </w:r>
      <w:r>
        <w:rPr>
          <w:rFonts w:eastAsia="Times New Roman" w:cs="Times New Roman"/>
          <w:b/>
          <w:bCs/>
        </w:rPr>
        <w:t>aditivos</w:t>
      </w:r>
      <w:r>
        <w:rPr>
          <w:rFonts w:eastAsia="Times New Roman" w:cs="Times New Roman"/>
        </w:rPr>
        <w:t xml:space="preserve">. A taxa de aprovação é um fato </w:t>
      </w:r>
      <w:r>
        <w:rPr>
          <w:rFonts w:eastAsia="Times New Roman" w:cs="Times New Roman"/>
          <w:b/>
          <w:bCs/>
        </w:rPr>
        <w:t>derivado e não aditivo</w:t>
      </w:r>
      <w:r>
        <w:rPr>
          <w:rFonts w:eastAsia="Times New Roman" w:cs="Times New Roman"/>
        </w:rPr>
        <w:t>: quantidade aprovada dividida pela quantidade apresentada, calculada sempre sobre as somas e nunca somando taxas.</w:t>
      </w:r>
    </w:p>
    <w:p>
      <w:pPr>
        <w:pStyle w:val="Heading3"/>
        <w:rPr/>
      </w:pPr>
      <w:r>
        <w:rPr>
          <w:rFonts w:eastAsia="Times New Roman" w:cs="Times New Roman"/>
        </w:rPr>
        <w:t>Medidas derivadas entre processos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Cobertura estimada de Saúde da Família (%)</w:t>
      </w:r>
      <w:r>
        <w:rPr>
          <w:rFonts w:eastAsia="Times New Roman" w:cs="Times New Roman"/>
        </w:rPr>
        <w:t xml:space="preserve"> = número de equipes eSF × 3.450 pessoas ÷ população do município × 100, limitada a 100%. O parâmetro de 3.450 pessoas por equipe é o usado historicamente pelo Ministério da Saúde. Não aditiva.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Taxa de ICSAP por 10 mil habitantes</w:t>
      </w:r>
      <w:r>
        <w:rPr>
          <w:rFonts w:eastAsia="Times New Roman" w:cs="Times New Roman"/>
        </w:rPr>
        <w:t xml:space="preserve"> = internações ICSAP de residentes ÷ população × 10.000. Não aditiva.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</w:rPr>
        <w:t>A população usada é a do Censo 2022 do IBGE para São Carlos (254.857 habitantes).</w:t>
      </w:r>
    </w:p>
    <w:p>
      <w:pPr>
        <w:pStyle w:val="Heading2"/>
        <w:rPr/>
      </w:pPr>
      <w:bookmarkStart w:id="8" w:name="__RefHeading___Toc1730_3790495778"/>
      <w:bookmarkStart w:id="9" w:name="_Toc5"/>
      <w:bookmarkEnd w:id="8"/>
      <w:r>
        <w:rPr>
          <w:rFonts w:eastAsia="Times New Roman" w:cs="Times New Roman"/>
        </w:rPr>
        <w:t>1.4 Dimensões e seus atributos</w:t>
      </w:r>
      <w:bookmarkEnd w:id="9"/>
    </w:p>
    <w:p>
      <w:pPr>
        <w:pStyle w:val="Corpodotexto"/>
        <w:rPr/>
      </w:pPr>
      <w:r>
        <w:rPr>
          <w:rFonts w:eastAsia="Times New Roman" w:cs="Times New Roman"/>
        </w:rPr>
        <w:t xml:space="preserve">Todas as dimensões usam uma </w:t>
      </w:r>
      <w:r>
        <w:rPr>
          <w:rFonts w:eastAsia="Times New Roman" w:cs="Times New Roman"/>
          <w:b/>
          <w:bCs/>
        </w:rPr>
        <w:t>chave artificial</w:t>
      </w:r>
      <w:r>
        <w:rPr>
          <w:rFonts w:eastAsia="Times New Roman" w:cs="Times New Roman"/>
        </w:rPr>
        <w:t xml:space="preserve"> (</w:t>
      </w:r>
      <w:r>
        <w:rPr>
          <w:rFonts w:eastAsia="Times New Roman" w:cs="Times New Roman"/>
          <w:i/>
          <w:iCs/>
        </w:rPr>
        <w:t>surrogate key</w:t>
      </w:r>
      <w:r>
        <w:rPr>
          <w:rFonts w:eastAsia="Times New Roman" w:cs="Times New Roman"/>
        </w:rPr>
        <w:t xml:space="preserve">, prefixo </w:t>
      </w:r>
      <w:r>
        <w:rPr>
          <w:rFonts w:eastAsia="Courier New" w:cs="Courier New" w:ascii="Courier New" w:hAnsi="Courier New"/>
          <w:sz w:val="21"/>
          <w:szCs w:val="21"/>
        </w:rPr>
        <w:t>sk_</w:t>
      </w:r>
      <w:r>
        <w:rPr>
          <w:rFonts w:eastAsia="Times New Roman" w:cs="Times New Roman"/>
        </w:rPr>
        <w:t>) como chave primária, independente dos códigos das fontes. Cada dimensão também tem um membro de chave 0, “Não informado”, que recebe os fatos cujo código não é encontrado, para que nenhum registro seja perdido na carga. Nas tabelas abaixo, a coluna “Relação” indica se o atributo participa de uma hierarquia ou é apenas descritivo.</w:t>
      </w:r>
    </w:p>
    <w:p>
      <w:pPr>
        <w:pStyle w:val="Heading3"/>
        <w:rPr/>
      </w:pPr>
      <w:r>
        <w:rPr>
          <w:rFonts w:eastAsia="Times New Roman" w:cs="Times New Roman"/>
        </w:rPr>
        <w:t>dim_tempo</w:t>
      </w:r>
    </w:p>
    <w:p>
      <w:pPr>
        <w:pStyle w:val="Corpodotexto"/>
        <w:rPr/>
      </w:pPr>
      <w:r>
        <w:rPr>
          <w:rFonts w:eastAsia="Times New Roman" w:cs="Times New Roman"/>
        </w:rPr>
        <w:t>Mês de competência, isto é, o mês a que o registro se refere no sistema do Ministério da Saúde. Todas as fontes são mensais, então o mês é o menor nível de detalhe comum.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2638"/>
        <w:gridCol w:w="1690"/>
        <w:gridCol w:w="237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Relação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Povoamento (fonte)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sk_tempo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Chave artificial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Gerada na carga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ano_mes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Competência no formato AAAAMM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baixo)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SIH: ANO_CMPT + MES_CMPT; SIA: PA_MVM; CNES: COMPETEN (integração)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mes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Número do mês (1 a 12)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de ano_mes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nome_mes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Nome abreviado do mês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de ano_mes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trimestre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Trimestre do ano (ex.: 2024-T1)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de ano_mes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semestre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Semestre do ano (ex.: 2024-S1)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de ano_mes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ano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Ano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alto)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de ano_mes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>
          <w:rFonts w:eastAsia="Times New Roman" w:cs="Times New Roman"/>
        </w:rPr>
        <w:t>dim_estabelecimento</w:t>
      </w:r>
    </w:p>
    <w:p>
      <w:pPr>
        <w:pStyle w:val="Corpodotexto"/>
        <w:rPr/>
      </w:pPr>
      <w:r>
        <w:rPr>
          <w:rFonts w:eastAsia="Times New Roman" w:cs="Times New Roman"/>
        </w:rPr>
        <w:t>Estabelecimento de saúde (UBS, USF, hospital, clínica, pronto atendimento etc.), identificado pelo código CNES. É compartilhada pelos três processos.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2638"/>
        <w:gridCol w:w="1690"/>
        <w:gridCol w:w="237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Relação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Povoamento (fonte)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sk_estabelecimento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Chave artificial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Gerada na carga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Código nacional do estabelecimento, 7 dígitos (chave natural)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baixo)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CNES, SIH (CNES) e SIA (PA_CODUNI), padronizado com zeros à esquerda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nome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Nome fantasia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API de Dados Abertos (nome_fantasia)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tipo_unidade_cod / tipo_unidade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Tipo do estabelecimento (ex.: 02 – Centro de saúde / Unidade básica)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CNES-ST (TP_UNID); na falta, API (codigo_tipo_unidade)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nivel_atencao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Atenção Primária, Especializada, Hospitalar, Urgência ou Outros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do tipo de unidade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gestao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Gestão municipal, estadual ou dupla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CNES-ST (TPGESTAO)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bairro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Bairro do estabelecimento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API de Dados Abertos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latitude / longitude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Coordenadas geográficas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Descritivos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API de Dados Abertos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cod_municipio / municipio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Município do estabelecimento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CNES-ST (CODUFMUN) + nome do IBGE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regiao_imediata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Região geográfica imediata do IBGE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IBGE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uf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Unidade da federação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alto)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IBGE / prefixo do código do município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>
          <w:rFonts w:eastAsia="Times New Roman" w:cs="Times New Roman"/>
        </w:rPr>
        <w:t>dim_localidade</w:t>
      </w:r>
    </w:p>
    <w:p>
      <w:pPr>
        <w:pStyle w:val="Corpodotexto"/>
        <w:rPr/>
      </w:pPr>
      <w:r>
        <w:rPr>
          <w:rFonts w:eastAsia="Times New Roman" w:cs="Times New Roman"/>
        </w:rPr>
        <w:t>Município de residência do paciente. Permite separar a população de São Carlos dos pacientes de outras cidades atendidos no município.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2638"/>
        <w:gridCol w:w="1690"/>
        <w:gridCol w:w="237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Relação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Povoamento (fonte)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sk_localidade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Chave artificial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Gerada na carga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cod_municipio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Código do município, 6 dígitos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baixo)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 (MUNIC_RES), SIA (PA_MUNPCN), IBGE (7 dígitos convertidos)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municipio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Nome do município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 do nível município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IBGE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regiao_imediata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Região imediata do IBGE (ex.: São Carlos)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IBGE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regiao_intermediaria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Região intermediária do IBGE (ex.: Araraquara)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IBGE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uf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Unidade da federação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alto)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IBGE / prefixo do código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>
          <w:rFonts w:eastAsia="Times New Roman" w:cs="Times New Roman"/>
        </w:rPr>
        <w:t>dim_tipo_equipe</w:t>
      </w:r>
    </w:p>
    <w:p>
      <w:pPr>
        <w:pStyle w:val="Corpodotexto"/>
        <w:rPr/>
      </w:pPr>
      <w:r>
        <w:rPr>
          <w:rFonts w:eastAsia="Times New Roman" w:cs="Times New Roman"/>
        </w:rPr>
        <w:t>Tipo da equipe de saúde, conforme a classificação do CNES.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2638"/>
        <w:gridCol w:w="1690"/>
        <w:gridCol w:w="237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Relação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Povoamento (fonte)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sk_tipo_equipe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Chave artificial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Gerada na carga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tipo_equipe_cod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Código do tipo (ex.: 70)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baixo)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CNES-EP (TIPO_EQP)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tipo_equipe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Descrição (ex.: eSF – Equipe de Saúde da Família)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 do código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Tabela de tipos de equipe do CNES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categoria_equipe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Saúde da Família, Atenção Primária, Saúde Bucal, Multiprofissional ou Outras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alto)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Classificação definida pelo grupo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>
          <w:rFonts w:eastAsia="Times New Roman" w:cs="Times New Roman"/>
        </w:rPr>
        <w:t>dim_procedimento</w:t>
      </w:r>
    </w:p>
    <w:p>
      <w:pPr>
        <w:pStyle w:val="Corpodotexto"/>
        <w:rPr/>
      </w:pPr>
      <w:r>
        <w:rPr>
          <w:rFonts w:eastAsia="Times New Roman" w:cs="Times New Roman"/>
        </w:rPr>
        <w:t>Procedimento da Tabela de Procedimentos do SUS (SIGTAP), usada tanto pelo SIA quanto pelo SIH. O próprio código de 10 dígitos é hierárquico.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2638"/>
        <w:gridCol w:w="1690"/>
        <w:gridCol w:w="237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Relação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Povoamento (fonte)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sk_procedimento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Chave artificial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Gerada na carga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cod_procedimento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Código de 10 dígitos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baixo)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SIA (PA_PROC_ID), SIH (PROC_REA)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forma_organizacao_cod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6 primeiros dígitos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do código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subgrupo_cod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4 primeiros dígitos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do código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grupo_cod / grupo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2 primeiros dígitos e nome do grupo (ex.: 03 – Procedimentos clínicos)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alto)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do código + SIGTAP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>
          <w:rFonts w:eastAsia="Times New Roman" w:cs="Times New Roman"/>
        </w:rPr>
        <w:t>dim_diagnostico</w:t>
      </w:r>
    </w:p>
    <w:p>
      <w:pPr>
        <w:pStyle w:val="Corpodotexto"/>
        <w:rPr/>
      </w:pPr>
      <w:r>
        <w:rPr>
          <w:rFonts w:eastAsia="Times New Roman" w:cs="Times New Roman"/>
        </w:rPr>
        <w:t>Diagnóstico principal da internação segundo a CID-10, com a classificação de condição sensível à atenção primária.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2638"/>
        <w:gridCol w:w="1690"/>
        <w:gridCol w:w="237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Relação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Povoamento (fonte)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sk_diagnostico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Chave artificial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Gerada na carga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cid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Código CID-10 com 4 caracteres (ex.: J181)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baixo)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 (DIAG_PRINC)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cid_categoria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3 primeiros caracteres (ex.: J18)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do código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capitulo_num / capitulo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Capítulo da CID-10 (ex.: X – Aparelho respiratório)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Tabela da CID-10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grupo_icsap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Um dos 19 grupos de ICSAP ou “Não ICSAP”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Portaria SAS/MS nº 221/2008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icsap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Sim / Não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alto)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de grupo_icsap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>
          <w:rFonts w:eastAsia="Times New Roman" w:cs="Times New Roman"/>
        </w:rPr>
        <w:t>dim_perfil_paciente</w:t>
      </w:r>
    </w:p>
    <w:p>
      <w:pPr>
        <w:pStyle w:val="Corpodotexto"/>
        <w:rPr/>
      </w:pPr>
      <w:r>
        <w:rPr>
          <w:rFonts w:eastAsia="Times New Roman" w:cs="Times New Roman"/>
        </w:rPr>
        <w:t>Perfil demográfico do paciente. É uma mini-dimensão com todas as combinações de sexo e faixa etária, compartilhada pelos processos 2 e 3.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2638"/>
        <w:gridCol w:w="1690"/>
        <w:gridCol w:w="237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Relação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Povoamento (fonte)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sk_perfil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Chave artificial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Gerada na carga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sexo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M, F ou I (ignorado)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 (independente da faixa)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 (SEXO) e SIA (PA_SEXO), com integração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sexo_desc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Masculino, Feminino ou Ignorado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de sexo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faixa_etaria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00-04, 05-09, 10-14, 15-19, 20-39, 40-59, 60-69, 70-79, 80+ ou Ignorada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baixo)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 (IDADE + COD_IDADE) e SIA (PA_IDADE), com integração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ciclo_vida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Criança, Adolescente, Adulto ou Idoso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alto)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da faixa etária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>
          <w:rFonts w:eastAsia="Times New Roman" w:cs="Times New Roman"/>
        </w:rPr>
        <w:t>dim_cbo</w:t>
      </w:r>
    </w:p>
    <w:p>
      <w:pPr>
        <w:pStyle w:val="Corpodotexto"/>
        <w:rPr/>
      </w:pPr>
      <w:r>
        <w:rPr>
          <w:rFonts w:eastAsia="Times New Roman" w:cs="Times New Roman"/>
        </w:rPr>
        <w:t>Ocupação do profissional que realizou o atendimento ambulatorial, segundo a Classificação Brasileira de Ocupações.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2638"/>
        <w:gridCol w:w="1690"/>
        <w:gridCol w:w="237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Relação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Povoamento (fonte)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sk_cbo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Chave artificial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Gerada na carga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cbo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Código de 6 dígitos (ex.: 225142 – médico da estratégia de Saúde da Família)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baixo)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SIA (PA_CBOCOD)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familia_cbo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4 primeiros dígitos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Derivado do código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categoria_profissional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Médico, Enfermeiro, Técnico/auxiliar de enfermagem, Cirurgião-dentista, Agente comunitário ou Outros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Hierarquia (nível mais alto)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Classificação definida pelo grupo a partir da família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r>
        <w:rPr>
          <w:rFonts w:eastAsia="Times New Roman" w:cs="Times New Roman"/>
        </w:rPr>
        <w:t>dim_junk_internacao</w:t>
      </w:r>
    </w:p>
    <w:p>
      <w:pPr>
        <w:pStyle w:val="Corpodotexto"/>
        <w:rPr/>
      </w:pPr>
      <w:r>
        <w:rPr>
          <w:rFonts w:eastAsia="Times New Roman" w:cs="Times New Roman"/>
        </w:rPr>
        <w:t>Tabela bugiganga (</w:t>
      </w:r>
      <w:r>
        <w:rPr>
          <w:rFonts w:eastAsia="Times New Roman" w:cs="Times New Roman"/>
          <w:i/>
          <w:iCs/>
        </w:rPr>
        <w:t>junk dimension</w:t>
      </w:r>
      <w:r>
        <w:rPr>
          <w:rFonts w:eastAsia="Times New Roman" w:cs="Times New Roman"/>
        </w:rPr>
        <w:t>) que reúne indicadores de baixa cardinalidade da internação. Isolados, cada um viraria uma dimensão com dois a seis valores; juntos, formam uma única dimensão com apenas as combinações que ocorrem nos dados.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00"/>
        <w:gridCol w:w="2638"/>
        <w:gridCol w:w="1690"/>
        <w:gridCol w:w="2378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Relação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Povoamento (fonte)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sk_junk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Chave artificial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Gerada na carga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carater_atendimento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Eletivo, Urgência ou tipos de acidente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 (CAR_INT)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obito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Sim / Não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 (MORTE)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uti</w:t>
            </w:r>
          </w:p>
        </w:tc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Sim / Não (houve diárias de UTI)</w:t>
            </w:r>
          </w:p>
        </w:tc>
        <w:tc>
          <w:tcPr>
            <w:tcW w:w="169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Descritivo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 (UTI_MES_TO &gt; 0)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0" w:name="__RefHeading___Toc1732_3790495778"/>
      <w:bookmarkStart w:id="11" w:name="_Toc6"/>
      <w:bookmarkEnd w:id="10"/>
      <w:r>
        <w:rPr>
          <w:rFonts w:eastAsia="Times New Roman" w:cs="Times New Roman"/>
        </w:rPr>
        <w:t>1.5 Povoamento e integração dos dados</w:t>
      </w:r>
      <w:bookmarkEnd w:id="11"/>
    </w:p>
    <w:p>
      <w:pPr>
        <w:pStyle w:val="Corpodotexto"/>
        <w:rPr/>
      </w:pPr>
      <w:r>
        <w:rPr>
          <w:rFonts w:eastAsia="Times New Roman" w:cs="Times New Roman"/>
        </w:rPr>
        <w:t>O povoamento segue um processo de extração, transformação e carga. Cada arquivo mensal do estado de São Paulo é lido em lotes, apenas com as colunas necessárias, e só os registros ligados a São Carlos são mantidos. Em seguida, os códigos são padronizados, as dimensões são montadas com chaves artificiais e as tabelas de fatos recebem essas chaves.</w:t>
      </w:r>
    </w:p>
    <w:p>
      <w:pPr>
        <w:pStyle w:val="Corpodotexto"/>
        <w:rPr/>
      </w:pPr>
      <w:r>
        <w:rPr>
          <w:rFonts w:eastAsia="Times New Roman" w:cs="Times New Roman"/>
        </w:rPr>
        <w:t xml:space="preserve">A </w:t>
      </w:r>
      <w:r>
        <w:rPr>
          <w:rFonts w:eastAsia="Times New Roman" w:cs="Times New Roman"/>
          <w:b/>
          <w:bCs/>
        </w:rPr>
        <w:t>integração</w:t>
      </w:r>
      <w:r>
        <w:rPr>
          <w:rFonts w:eastAsia="Times New Roman" w:cs="Times New Roman"/>
        </w:rPr>
        <w:t xml:space="preserve"> é necessária sempre que o mesmo dado chega de mais de uma fonte com representações diferentes. Os casos encontrados e a representação escolhida para o data warehouse são: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477"/>
        <w:gridCol w:w="2324"/>
        <w:gridCol w:w="2323"/>
        <w:gridCol w:w="2482"/>
      </w:tblGrid>
      <w:tr>
        <w:trPr>
          <w:tblHeader w:val="true"/>
          <w:cantSplit/>
        </w:trPr>
        <w:tc>
          <w:tcPr>
            <w:tcW w:w="14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Dado</w:t>
            </w:r>
          </w:p>
        </w:tc>
        <w:tc>
          <w:tcPr>
            <w:tcW w:w="23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Fonte A</w:t>
            </w:r>
          </w:p>
        </w:tc>
        <w:tc>
          <w:tcPr>
            <w:tcW w:w="23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Fonte B</w:t>
            </w:r>
          </w:p>
        </w:tc>
        <w:tc>
          <w:tcPr>
            <w:tcW w:w="2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Representação no DW</w:t>
            </w:r>
          </w:p>
        </w:tc>
      </w:tr>
      <w:tr>
        <w:trPr>
          <w:cantSplit/>
        </w:trPr>
        <w:tc>
          <w:tcPr>
            <w:tcW w:w="14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Sexo</w:t>
            </w:r>
          </w:p>
        </w:tc>
        <w:tc>
          <w:tcPr>
            <w:tcW w:w="23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SIH: 1 = masculino; 3 (ou 2) = feminino; demais = ignorado</w:t>
            </w:r>
          </w:p>
        </w:tc>
        <w:tc>
          <w:tcPr>
            <w:tcW w:w="23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SIA: M, F; demais = ignorado</w:t>
            </w:r>
          </w:p>
        </w:tc>
        <w:tc>
          <w:tcPr>
            <w:tcW w:w="2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M, F, I</w:t>
            </w:r>
          </w:p>
        </w:tc>
      </w:tr>
      <w:tr>
        <w:trPr>
          <w:cantSplit/>
        </w:trPr>
        <w:tc>
          <w:tcPr>
            <w:tcW w:w="14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Idade</w:t>
            </w:r>
          </w:p>
        </w:tc>
        <w:tc>
          <w:tcPr>
            <w:tcW w:w="23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SIH: valor + unidade (COD_IDADE: dias, meses, anos ou centenas de anos)</w:t>
            </w:r>
          </w:p>
        </w:tc>
        <w:tc>
          <w:tcPr>
            <w:tcW w:w="23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SIA: idade em anos</w:t>
            </w:r>
          </w:p>
        </w:tc>
        <w:tc>
          <w:tcPr>
            <w:tcW w:w="2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Idade em anos convertida para faixa etária; menores de 1 ano entram em 00-04</w:t>
            </w:r>
          </w:p>
        </w:tc>
      </w:tr>
      <w:tr>
        <w:trPr>
          <w:cantSplit/>
        </w:trPr>
        <w:tc>
          <w:tcPr>
            <w:tcW w:w="14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Município</w:t>
            </w:r>
          </w:p>
        </w:tc>
        <w:tc>
          <w:tcPr>
            <w:tcW w:w="23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DATASUS: código de 6 dígitos</w:t>
            </w:r>
          </w:p>
        </w:tc>
        <w:tc>
          <w:tcPr>
            <w:tcW w:w="23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IBGE: código de 7 dígitos (com dígito verificador)</w:t>
            </w:r>
          </w:p>
        </w:tc>
        <w:tc>
          <w:tcPr>
            <w:tcW w:w="2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6 dígitos, com o nome vindo do IBGE</w:t>
            </w:r>
          </w:p>
        </w:tc>
      </w:tr>
      <w:tr>
        <w:trPr>
          <w:cantSplit/>
        </w:trPr>
        <w:tc>
          <w:tcPr>
            <w:tcW w:w="14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Competência</w:t>
            </w:r>
          </w:p>
        </w:tc>
        <w:tc>
          <w:tcPr>
            <w:tcW w:w="23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SIH: ano e mês em colunas separadas</w:t>
            </w:r>
          </w:p>
        </w:tc>
        <w:tc>
          <w:tcPr>
            <w:tcW w:w="23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SIA e CNES: AAAAMM</w:t>
            </w:r>
          </w:p>
        </w:tc>
        <w:tc>
          <w:tcPr>
            <w:tcW w:w="2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ano_mes no formato AAAAMM</w:t>
            </w:r>
          </w:p>
        </w:tc>
      </w:tr>
      <w:tr>
        <w:trPr>
          <w:cantSplit/>
        </w:trPr>
        <w:tc>
          <w:tcPr>
            <w:tcW w:w="14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Tipo de unidade</w:t>
            </w:r>
          </w:p>
        </w:tc>
        <w:tc>
          <w:tcPr>
            <w:tcW w:w="23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CNES-ST: texto com dois dígitos ("02")</w:t>
            </w:r>
          </w:p>
        </w:tc>
        <w:tc>
          <w:tcPr>
            <w:tcW w:w="23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API de Dados Abertos: inteiro (2)</w:t>
            </w:r>
          </w:p>
        </w:tc>
        <w:tc>
          <w:tcPr>
            <w:tcW w:w="2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Texto com dois dígitos; o CNES-ST tem prioridade e a API completa o que faltar</w:t>
            </w:r>
          </w:p>
        </w:tc>
      </w:tr>
      <w:tr>
        <w:trPr>
          <w:cantSplit/>
        </w:trPr>
        <w:tc>
          <w:tcPr>
            <w:tcW w:w="14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Código CNES</w:t>
            </w:r>
          </w:p>
        </w:tc>
        <w:tc>
          <w:tcPr>
            <w:tcW w:w="23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SIH, SIA e CNES, às vezes sem zeros à esquerda</w:t>
            </w:r>
          </w:p>
        </w:tc>
        <w:tc>
          <w:tcPr>
            <w:tcW w:w="23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API: inteiro</w:t>
            </w:r>
          </w:p>
        </w:tc>
        <w:tc>
          <w:tcPr>
            <w:tcW w:w="2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Texto com 7 dígitos</w:t>
            </w:r>
          </w:p>
        </w:tc>
      </w:tr>
      <w:tr>
        <w:trPr>
          <w:cantSplit/>
        </w:trPr>
        <w:tc>
          <w:tcPr>
            <w:tcW w:w="14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Município do estabelecimento</w:t>
            </w:r>
          </w:p>
        </w:tc>
        <w:tc>
          <w:tcPr>
            <w:tcW w:w="23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CNES-ST (CODUFMUN)</w:t>
            </w:r>
          </w:p>
        </w:tc>
        <w:tc>
          <w:tcPr>
            <w:tcW w:w="23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API de Dados Abertos (codigo_municipio)</w:t>
            </w:r>
          </w:p>
        </w:tc>
        <w:tc>
          <w:tcPr>
            <w:tcW w:w="2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CNES-ST com prioridade; API como alternativa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Corpodotexto"/>
        <w:rPr/>
      </w:pPr>
      <w:r>
        <w:rPr>
          <w:rFonts w:eastAsia="Times New Roman" w:cs="Times New Roman"/>
        </w:rPr>
        <w:t xml:space="preserve">O processo foi executado com os dados reais de janeiro de 2023 a dezembro de 2024 (notebook </w:t>
      </w:r>
      <w:r>
        <w:rPr>
          <w:rFonts w:eastAsia="Courier New" w:cs="Courier New" w:ascii="Courier New" w:hAnsi="Courier New"/>
          <w:sz w:val="21"/>
          <w:szCs w:val="21"/>
        </w:rPr>
        <w:t>dw_aps_sao_carlos.ipynb</w:t>
      </w:r>
      <w:r>
        <w:rPr>
          <w:rFonts w:eastAsia="Times New Roman" w:cs="Times New Roman"/>
        </w:rPr>
        <w:t>, banco DuckDB). A carga resultou em 1.686 linhas em fato_equipe, 39.609 em fato_internacao e 193.723 em fato_producao_ambulatorial, com todas as chaves estrangeiras resolvidas. Para validar a extração, o número de AIHs de residentes foi comparado com o TabNet do DATASUS: em janeiro de 2024 o TabNet mostra 1.287 e o DW 1.285, diferença que corresponde exatamente às AIHs de continuação descartadas de propósito; em abril de 2023 e dezembro de 2024 a diferença é de uma AIH em cerca de 1.400.</w:t>
      </w:r>
    </w:p>
    <w:p>
      <w:pPr>
        <w:pStyle w:val="Heading2"/>
        <w:rPr/>
      </w:pPr>
      <w:bookmarkStart w:id="12" w:name="__RefHeading___Toc1734_3790495778"/>
      <w:bookmarkStart w:id="13" w:name="_Toc7"/>
      <w:bookmarkEnd w:id="12"/>
      <w:r>
        <w:rPr>
          <w:rFonts w:eastAsia="Times New Roman" w:cs="Times New Roman"/>
        </w:rPr>
        <w:t>1.6 Particularidades do problema</w:t>
      </w:r>
      <w:bookmarkEnd w:id="13"/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Competência versus data do evento.</w:t>
      </w:r>
      <w:r>
        <w:rPr>
          <w:rFonts w:eastAsia="Times New Roman" w:cs="Times New Roman"/>
        </w:rPr>
        <w:t xml:space="preserve"> Os sistemas do SUS organizam os dados pelo mês de apresentação (competência). Uma internação iniciada em dezembro pode ser apresentada em janeiro. O DW usa a competência em todos os processos, o que mantém os três fatos comparáveis e coincide com a forma como o próprio Ministério da Saúde tabula os dados. No SIA isso significa usar o mês de processamento (</w:t>
      </w:r>
      <w:r>
        <w:rPr>
          <w:rFonts w:eastAsia="Courier New" w:cs="Courier New" w:ascii="Courier New" w:hAnsi="Courier New"/>
          <w:sz w:val="21"/>
          <w:szCs w:val="21"/>
        </w:rPr>
        <w:t>PA_MVM</w:t>
      </w:r>
      <w:r>
        <w:rPr>
          <w:rFonts w:eastAsia="Times New Roman" w:cs="Times New Roman"/>
        </w:rPr>
        <w:t>), e não o mês do atendimento (</w:t>
      </w:r>
      <w:r>
        <w:rPr>
          <w:rFonts w:eastAsia="Courier New" w:cs="Courier New" w:ascii="Courier New" w:hAnsi="Courier New"/>
          <w:sz w:val="21"/>
          <w:szCs w:val="21"/>
        </w:rPr>
        <w:t>PA_CMP</w:t>
      </w:r>
      <w:r>
        <w:rPr>
          <w:rFonts w:eastAsia="Times New Roman" w:cs="Times New Roman"/>
        </w:rPr>
        <w:t>): produção apresentada com atraso cairia em meses fora do período carregado.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AIH de longa permanência.</w:t>
      </w:r>
      <w:r>
        <w:rPr>
          <w:rFonts w:eastAsia="Times New Roman" w:cs="Times New Roman"/>
        </w:rPr>
        <w:t xml:space="preserve"> Internações muito longas geram AIHs de continuação (identificação tipo 5) em meses seguintes. Essas linhas são descartadas para que cada internação seja contada uma única vez.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Equipes ativas.</w:t>
      </w:r>
      <w:r>
        <w:rPr>
          <w:rFonts w:eastAsia="Times New Roman" w:cs="Times New Roman"/>
        </w:rPr>
        <w:t xml:space="preserve"> O arquivo de equipes do CNES pode listar equipes já desativadas. Só entram no fato as equipes sem data de desativação ou com desativação posterior ao mês. O campo </w:t>
      </w:r>
      <w:r>
        <w:rPr>
          <w:rFonts w:eastAsia="Courier New" w:cs="Courier New" w:ascii="Courier New" w:hAnsi="Courier New"/>
          <w:sz w:val="21"/>
          <w:szCs w:val="21"/>
        </w:rPr>
        <w:t>DT_DESAT</w:t>
      </w:r>
      <w:r>
        <w:rPr>
          <w:rFonts w:eastAsia="Times New Roman" w:cs="Times New Roman"/>
        </w:rPr>
        <w:t xml:space="preserve"> vem como AAAAMM, e o valor 900001 indica equipe nunca desativada.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Residência versus local de atendimento.</w:t>
      </w:r>
      <w:r>
        <w:rPr>
          <w:rFonts w:eastAsia="Times New Roman" w:cs="Times New Roman"/>
        </w:rPr>
        <w:t xml:space="preserve"> A pergunta de política pública é sobre a população de São Carlos, por isso as consultas de demanda filtram pelo município de residência. As consultas sobre a rede instalada filtram pelo município do estabelecimento.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Limitação do SIA para a atenção básica.</w:t>
      </w:r>
      <w:r>
        <w:rPr>
          <w:rFonts w:eastAsia="Times New Roman" w:cs="Times New Roman"/>
        </w:rPr>
        <w:t xml:space="preserve"> Desde a implantação do e-SUS APS, a produção das UBS é registrada no SISAB e não no SIA. Os dados reais confirmaram isso de forma extrema: as unidades de atenção primária de São Carlos não têm nenhum procedimento no SIA em 2023 e 2024. A produção ambulatorial do SIA representa, portanto, a atenção especializada, diagnóstica e de urgência.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Cobertura estimada.</w:t>
      </w:r>
      <w:r>
        <w:rPr>
          <w:rFonts w:eastAsia="Times New Roman" w:cs="Times New Roman"/>
        </w:rPr>
        <w:t xml:space="preserve"> O indicador de cobertura calculado no DW é uma aproximação baseada no parâmetro de pessoas por equipe; a metodologia oficial de cobertura do Ministério mudou ao longo dos anos.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4" w:name="__RefHeading___Toc1736_3790495778"/>
      <w:bookmarkStart w:id="15" w:name="_Toc8"/>
      <w:bookmarkEnd w:id="14"/>
      <w:r>
        <w:rPr>
          <w:rFonts w:eastAsia="Times New Roman" w:cs="Times New Roman"/>
        </w:rPr>
        <w:t>2. Esquemas</w:t>
      </w:r>
      <w:bookmarkEnd w:id="15"/>
    </w:p>
    <w:p>
      <w:pPr>
        <w:pStyle w:val="Corpodotexto"/>
        <w:rPr/>
      </w:pPr>
      <w:r>
        <w:rPr>
          <w:rFonts w:eastAsia="Times New Roman" w:cs="Times New Roman"/>
        </w:rPr>
        <w:t xml:space="preserve">Legenda dos diagramas: </w:t>
      </w:r>
      <w:r>
        <w:rPr>
          <w:rFonts w:eastAsia="Times New Roman" w:cs="Times New Roman"/>
          <w:b/>
          <w:bCs/>
        </w:rPr>
        <w:t>PK</w:t>
      </w:r>
      <w:r>
        <w:rPr>
          <w:rFonts w:eastAsia="Times New Roman" w:cs="Times New Roman"/>
        </w:rPr>
        <w:t xml:space="preserve"> – chave primária artificial; </w:t>
      </w:r>
      <w:r>
        <w:rPr>
          <w:rFonts w:eastAsia="Times New Roman" w:cs="Times New Roman"/>
          <w:b/>
          <w:bCs/>
        </w:rPr>
        <w:t>FK</w:t>
      </w:r>
      <w:r>
        <w:rPr>
          <w:rFonts w:eastAsia="Times New Roman" w:cs="Times New Roman"/>
        </w:rPr>
        <w:t xml:space="preserve"> – chave estrangeira para uma dimensão; </w:t>
      </w:r>
      <w:r>
        <w:rPr>
          <w:rFonts w:eastAsia="Times New Roman" w:cs="Times New Roman"/>
          <w:b/>
          <w:bCs/>
        </w:rPr>
        <w:t>DD</w:t>
      </w:r>
      <w:r>
        <w:rPr>
          <w:rFonts w:eastAsia="Times New Roman" w:cs="Times New Roman"/>
        </w:rPr>
        <w:t xml:space="preserve"> – dimensão degenerada; </w:t>
      </w:r>
      <w:r>
        <w:rPr>
          <w:rFonts w:eastAsia="Times New Roman" w:cs="Times New Roman"/>
          <w:b/>
          <w:bCs/>
        </w:rPr>
        <w:t>M</w:t>
      </w:r>
      <w:r>
        <w:rPr>
          <w:rFonts w:eastAsia="Times New Roman" w:cs="Times New Roman"/>
        </w:rPr>
        <w:t xml:space="preserve"> – medida. As hierarquias usam o operador de ordenação parcial ≤: </w:t>
      </w:r>
      <w:r>
        <w:rPr>
          <w:rFonts w:eastAsia="Courier New" w:cs="Courier New" w:ascii="Courier New" w:hAnsi="Courier New"/>
          <w:sz w:val="21"/>
          <w:szCs w:val="21"/>
        </w:rPr>
        <w:t>A ≤ B</w:t>
      </w:r>
      <w:r>
        <w:rPr>
          <w:rFonts w:eastAsia="Times New Roman" w:cs="Times New Roman"/>
        </w:rPr>
        <w:t xml:space="preserve"> significa que A é um nível mais detalhado que B, e cada valor de A pertence a um único valor de B.</w:t>
      </w:r>
    </w:p>
    <w:p>
      <w:pPr>
        <w:pStyle w:val="Heading2"/>
        <w:rPr/>
      </w:pPr>
      <w:bookmarkStart w:id="16" w:name="__RefHeading___Toc1738_3790495778"/>
      <w:bookmarkStart w:id="17" w:name="_Toc9"/>
      <w:bookmarkEnd w:id="16"/>
      <w:r>
        <w:rPr>
          <w:rFonts w:eastAsia="Times New Roman" w:cs="Times New Roman"/>
        </w:rPr>
        <w:t>2.1 Esquema estrela 1 – Oferta de equipes (fato sem fato)</w:t>
      </w:r>
      <w:bookmarkEnd w:id="17"/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5467350" cy="59531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95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1 – Esquema estrela da oferta de equipes da atenção básica.</w:t>
      </w:r>
    </w:p>
    <w:p>
      <w:pPr>
        <w:pStyle w:val="Heading3"/>
        <w:rPr/>
      </w:pPr>
      <w:r>
        <w:rPr>
          <w:rFonts w:eastAsia="Times New Roman" w:cs="Times New Roman"/>
        </w:rPr>
        <w:t>Hierarquias das dimensões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dim_tempo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ano_mes ≤ trimestre ≤ semestre ≤ ano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dim_estabelecimento</w:t>
      </w:r>
    </w:p>
    <w:p>
      <w:pPr>
        <w:pStyle w:val="Normal"/>
        <w:keepNext w:val="tru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cnes ≤ tipo_unidade ≤ nivel_atencao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cnes ≤ bairro ≤ municipio ≤ regiao_imediata ≤ uf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dim_tipo_equipe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tipo_equipe_cod ≤ categoria_equipe</w:t>
      </w:r>
    </w:p>
    <w:p>
      <w:pPr>
        <w:pStyle w:val="Heading3"/>
        <w:rPr/>
      </w:pPr>
      <w:r>
        <w:rPr>
          <w:rFonts w:eastAsia="Times New Roman" w:cs="Times New Roman"/>
        </w:rPr>
        <w:t>Funções de agregação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427"/>
        <w:gridCol w:w="1900"/>
        <w:gridCol w:w="4279"/>
      </w:tblGrid>
      <w:tr>
        <w:trPr>
          <w:tblHeader w:val="true"/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Fato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Função de agregação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número de equipes (contagem de linhas)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Semiaditivo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CONTAGEM no mesmo mês; entre meses, MÉDIA das contagens mensais ou valor do ÚLTIMO mês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8" w:name="__RefHeading___Toc1740_3790495778"/>
      <w:bookmarkStart w:id="19" w:name="_Toc10"/>
      <w:bookmarkEnd w:id="18"/>
      <w:r>
        <w:rPr>
          <w:rFonts w:eastAsia="Times New Roman" w:cs="Times New Roman"/>
        </w:rPr>
        <w:t>2.2 Esquema estrela 2 – Internações hospitalares</w:t>
      </w:r>
      <w:bookmarkEnd w:id="19"/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5467350" cy="62198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21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2 – Esquema estrela das internações hospitalares.</w:t>
      </w:r>
    </w:p>
    <w:p>
      <w:pPr>
        <w:pStyle w:val="Heading3"/>
        <w:rPr/>
      </w:pPr>
      <w:r>
        <w:rPr>
          <w:rFonts w:eastAsia="Times New Roman" w:cs="Times New Roman"/>
        </w:rPr>
        <w:t>Hierarquias das dimensões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dim_tempo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ano_mes ≤ trimestre ≤ semestre ≤ ano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dim_estabelecimento</w:t>
      </w:r>
    </w:p>
    <w:p>
      <w:pPr>
        <w:pStyle w:val="Normal"/>
        <w:keepNext w:val="tru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cnes ≤ tipo_unidade ≤ nivel_atencao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cnes ≤ bairro ≤ municipio ≤ regiao_imediata ≤ uf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dim_procedimento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cod_procedimento ≤ forma_organizacao_cod ≤ subgrupo_cod ≤ grupo_cod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dim_diagnostico</w:t>
      </w:r>
    </w:p>
    <w:p>
      <w:pPr>
        <w:pStyle w:val="Normal"/>
        <w:keepNext w:val="tru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cid ≤ cid_categoria ≤ capitulo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cid ≤ grupo_icsap ≤ icsap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dim_perfil_paciente</w:t>
      </w:r>
    </w:p>
    <w:p>
      <w:pPr>
        <w:pStyle w:val="Normal"/>
        <w:keepNext w:val="tru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faixa_etaria ≤ ciclo_vida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(sexo é descritivo, sem hierarquia)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dim_localidade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municipio ≤ regiao_imediata ≤ regiao_intermediaria ≤ uf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dim_junk_internacao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(sem hierarquia; atributos descritivos)</w:t>
      </w:r>
    </w:p>
    <w:p>
      <w:pPr>
        <w:pStyle w:val="Heading3"/>
        <w:rPr/>
      </w:pPr>
      <w:r>
        <w:rPr>
          <w:rFonts w:eastAsia="Times New Roman" w:cs="Times New Roman"/>
        </w:rPr>
        <w:t>Funções de agregação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427"/>
        <w:gridCol w:w="1900"/>
        <w:gridCol w:w="4279"/>
      </w:tblGrid>
      <w:tr>
        <w:trPr>
          <w:tblHeader w:val="true"/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Fato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Função de agregação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qtd_internacoes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dias_permanencia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valor_total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média de permanência (derivado)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Não 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SOMA(dias_permanencia) ÷ SOMA(qtd_internacoes)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taxa de ICSAP (derivado)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Não 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SOMA(qtd_internacoes ICSAP) ÷ população × 10.000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0" w:name="__RefHeading___Toc1742_3790495778"/>
      <w:bookmarkStart w:id="21" w:name="_Toc11"/>
      <w:bookmarkEnd w:id="20"/>
      <w:r>
        <w:rPr>
          <w:rFonts w:eastAsia="Times New Roman" w:cs="Times New Roman"/>
        </w:rPr>
        <w:t>2.3 Esquema estrela 3 – Produção ambulatorial</w:t>
      </w:r>
      <w:bookmarkEnd w:id="21"/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5467350" cy="66008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60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3 – Esquema estrela da produção ambulatorial.</w:t>
      </w:r>
    </w:p>
    <w:p>
      <w:pPr>
        <w:pStyle w:val="Heading3"/>
        <w:rPr/>
      </w:pPr>
      <w:r>
        <w:rPr>
          <w:rFonts w:eastAsia="Times New Roman" w:cs="Times New Roman"/>
        </w:rPr>
        <w:t>Hierarquias das dimensões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dim_tempo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ano_mes ≤ trimestre ≤ semestre ≤ ano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dim_estabelecimento</w:t>
      </w:r>
    </w:p>
    <w:p>
      <w:pPr>
        <w:pStyle w:val="Normal"/>
        <w:keepNext w:val="tru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cnes ≤ tipo_unidade ≤ nivel_atencao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cnes ≤ bairro ≤ municipio ≤ regiao_imediata ≤ uf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dim_procedimento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cod_procedimento ≤ forma_organizacao_cod ≤ subgrupo_cod ≤ grupo_cod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dim_perfil_paciente</w:t>
      </w:r>
    </w:p>
    <w:p>
      <w:pPr>
        <w:pStyle w:val="Normal"/>
        <w:keepNext w:val="tru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faixa_etaria ≤ ciclo_vida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(sexo é descritivo, sem hierarquia)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dim_localidade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municipio ≤ regiao_imediata ≤ regiao_intermediaria ≤ uf</w:t>
      </w:r>
    </w:p>
    <w:p>
      <w:pPr>
        <w:pStyle w:val="Corpodotexto"/>
        <w:keepNext w:val="true"/>
        <w:spacing w:before="0" w:after="20"/>
        <w:rPr/>
      </w:pPr>
      <w:r>
        <w:rPr>
          <w:rFonts w:eastAsia="Times New Roman" w:cs="Times New Roman"/>
          <w:b/>
          <w:bCs/>
        </w:rPr>
        <w:t>dim_cbo</w:t>
      </w:r>
    </w:p>
    <w:p>
      <w:pPr>
        <w:pStyle w:val="Normal"/>
        <w:keepNext w:val="false"/>
        <w:spacing w:before="0" w:after="20"/>
        <w:ind w:left="400"/>
        <w:rPr/>
      </w:pPr>
      <w:r>
        <w:rPr>
          <w:rFonts w:eastAsia="Courier New" w:cs="Courier New" w:ascii="Courier New" w:hAnsi="Courier New"/>
          <w:sz w:val="19"/>
          <w:szCs w:val="19"/>
        </w:rPr>
        <w:t>cbo ≤ familia_cbo ≤ categoria_profissional</w:t>
      </w:r>
    </w:p>
    <w:p>
      <w:pPr>
        <w:pStyle w:val="Heading3"/>
        <w:rPr/>
      </w:pPr>
      <w:r>
        <w:rPr>
          <w:rFonts w:eastAsia="Times New Roman" w:cs="Times New Roman"/>
        </w:rPr>
        <w:t>Funções de agregação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427"/>
        <w:gridCol w:w="1900"/>
        <w:gridCol w:w="4279"/>
      </w:tblGrid>
      <w:tr>
        <w:trPr>
          <w:tblHeader w:val="true"/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Fato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Função de agregação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qtd_apresentada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qtd_aprovada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valor_apresentado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valor_aprovado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</w:t>
            </w:r>
          </w:p>
        </w:tc>
      </w:tr>
      <w:tr>
        <w:trPr>
          <w:cantSplit/>
        </w:trPr>
        <w:tc>
          <w:tcPr>
            <w:tcW w:w="24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taxa de aprovação (derivado)</w:t>
            </w:r>
          </w:p>
        </w:tc>
        <w:tc>
          <w:tcPr>
            <w:tcW w:w="19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Não aditivo</w:t>
            </w:r>
          </w:p>
        </w:tc>
        <w:tc>
          <w:tcPr>
            <w:tcW w:w="42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SOMA(qtd_aprovada) ÷ SOMA(qtd_apresentada)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2" w:name="__RefHeading___Toc1744_3790495778"/>
      <w:bookmarkStart w:id="23" w:name="_Toc12"/>
      <w:bookmarkEnd w:id="22"/>
      <w:r>
        <w:rPr>
          <w:rFonts w:eastAsia="Times New Roman" w:cs="Times New Roman"/>
        </w:rPr>
        <w:t>2.4 Aspectos adicionais de modelagem</w:t>
      </w:r>
      <w:bookmarkEnd w:id="23"/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Chaves artificiais:</w:t>
      </w:r>
      <w:r>
        <w:rPr>
          <w:rFonts w:eastAsia="Times New Roman" w:cs="Times New Roman"/>
        </w:rPr>
        <w:t xml:space="preserve"> todas as dimensões têm chave primária artificial, o que isola o DW de mudanças nos códigos das fontes, permite o membro “Não informado” (chave 0) e reduz o tamanho das tabelas de fatos.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Tabela bugiganga:</w:t>
      </w:r>
      <w:r>
        <w:rPr>
          <w:rFonts w:eastAsia="Times New Roman" w:cs="Times New Roman"/>
        </w:rPr>
        <w:t xml:space="preserve"> </w:t>
      </w:r>
      <w:r>
        <w:rPr>
          <w:rFonts w:eastAsia="Courier New" w:cs="Courier New" w:ascii="Courier New" w:hAnsi="Courier New"/>
          <w:sz w:val="21"/>
          <w:szCs w:val="21"/>
        </w:rPr>
        <w:t>dim_junk_internacao</w:t>
      </w:r>
      <w:r>
        <w:rPr>
          <w:rFonts w:eastAsia="Times New Roman" w:cs="Times New Roman"/>
        </w:rPr>
        <w:t xml:space="preserve"> reúne caráter do atendimento, óbito e uso de UTI.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Dimensões degeneradas:</w:t>
      </w:r>
      <w:r>
        <w:rPr>
          <w:rFonts w:eastAsia="Times New Roman" w:cs="Times New Roman"/>
        </w:rPr>
        <w:t xml:space="preserve"> </w:t>
      </w:r>
      <w:r>
        <w:rPr>
          <w:rFonts w:eastAsia="Courier New" w:cs="Courier New" w:ascii="Courier New" w:hAnsi="Courier New"/>
          <w:sz w:val="21"/>
          <w:szCs w:val="21"/>
        </w:rPr>
        <w:t>n_aih</w:t>
      </w:r>
      <w:r>
        <w:rPr>
          <w:rFonts w:eastAsia="Times New Roman" w:cs="Times New Roman"/>
        </w:rPr>
        <w:t xml:space="preserve"> em fato_internacao e </w:t>
      </w:r>
      <w:r>
        <w:rPr>
          <w:rFonts w:eastAsia="Courier New" w:cs="Courier New" w:ascii="Courier New" w:hAnsi="Courier New"/>
          <w:sz w:val="21"/>
          <w:szCs w:val="21"/>
        </w:rPr>
        <w:t>id_equipe</w:t>
      </w:r>
      <w:r>
        <w:rPr>
          <w:rFonts w:eastAsia="Times New Roman" w:cs="Times New Roman"/>
        </w:rPr>
        <w:t xml:space="preserve"> em fato_equipe. São identificadores sem outros atributos, úteis para contar itens distintos e rastrear o registro na fonte.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Tabela de fatos sem fato:</w:t>
      </w:r>
      <w:r>
        <w:rPr>
          <w:rFonts w:eastAsia="Times New Roman" w:cs="Times New Roman"/>
        </w:rPr>
        <w:t xml:space="preserve"> </w:t>
      </w:r>
      <w:r>
        <w:rPr>
          <w:rFonts w:eastAsia="Courier New" w:cs="Courier New" w:ascii="Courier New" w:hAnsi="Courier New"/>
          <w:sz w:val="21"/>
          <w:szCs w:val="21"/>
        </w:rPr>
        <w:t>fato_equipe</w:t>
      </w:r>
      <w:r>
        <w:rPr>
          <w:rFonts w:eastAsia="Times New Roman" w:cs="Times New Roman"/>
        </w:rPr>
        <w:t xml:space="preserve"> registra apenas a existência de uma equipe ativa em um estabelecimento em um mês; a análise é feita por contagem.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Mini-dimensão:</w:t>
      </w:r>
      <w:r>
        <w:rPr>
          <w:rFonts w:eastAsia="Times New Roman" w:cs="Times New Roman"/>
        </w:rPr>
        <w:t xml:space="preserve"> </w:t>
      </w:r>
      <w:r>
        <w:rPr>
          <w:rFonts w:eastAsia="Courier New" w:cs="Courier New" w:ascii="Courier New" w:hAnsi="Courier New"/>
          <w:sz w:val="21"/>
          <w:szCs w:val="21"/>
        </w:rPr>
        <w:t>dim_perfil_paciente</w:t>
      </w:r>
      <w:r>
        <w:rPr>
          <w:rFonts w:eastAsia="Times New Roman" w:cs="Times New Roman"/>
        </w:rPr>
        <w:t xml:space="preserve"> separa os atributos demográficos do paciente, que no SUS não tem identificação pública, em uma dimensão pequena e compartilhada.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4" w:name="__RefHeading___Toc1746_3790495778"/>
      <w:bookmarkStart w:id="25" w:name="_Toc13"/>
      <w:bookmarkEnd w:id="24"/>
      <w:r>
        <w:rPr>
          <w:rFonts w:eastAsia="Times New Roman" w:cs="Times New Roman"/>
        </w:rPr>
        <w:t>2.5 Constelação de fatos</w:t>
      </w:r>
      <w:bookmarkEnd w:id="25"/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5467350" cy="72675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26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4 – Constelação de fatos (imagem girada). Dimensões compartilhadas com borda grossa.</w:t>
      </w:r>
    </w:p>
    <w:p>
      <w:pPr>
        <w:pStyle w:val="Heading3"/>
        <w:rPr/>
      </w:pPr>
      <w:r>
        <w:rPr>
          <w:rFonts w:eastAsia="Times New Roman" w:cs="Times New Roman"/>
        </w:rPr>
        <w:t>Processo de projeto da constelação</w:t>
      </w:r>
    </w:p>
    <w:p>
      <w:pPr>
        <w:pStyle w:val="Corpodotexto"/>
        <w:rPr/>
      </w:pPr>
      <w:r>
        <w:rPr>
          <w:rFonts w:eastAsia="Times New Roman" w:cs="Times New Roman"/>
        </w:rPr>
        <w:t>A constelação foi obtida em quatro passos: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1. Modelagem independente.</w:t>
      </w:r>
      <w:r>
        <w:rPr>
          <w:rFonts w:eastAsia="Times New Roman" w:cs="Times New Roman"/>
        </w:rPr>
        <w:t xml:space="preserve"> Cada processo de negócio foi modelado como uma estrela própria, com seu grão, suas dimensões e seus fatos (Figuras 1 a 3).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2. Identificação das dimensões em comum.</w:t>
      </w:r>
      <w:r>
        <w:rPr>
          <w:rFonts w:eastAsia="Times New Roman" w:cs="Times New Roman"/>
        </w:rPr>
        <w:t xml:space="preserve"> Comparando as estrelas, identificaram-se as dimensões que aparecem em mais de uma: tempo, estabelecimento, procedimento, perfil do paciente e localidade.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3. Conformação das dimensões.</w:t>
      </w:r>
      <w:r>
        <w:rPr>
          <w:rFonts w:eastAsia="Times New Roman" w:cs="Times New Roman"/>
        </w:rPr>
        <w:t xml:space="preserve"> Cada dimensão comum passou a ter uma única definição, com a mesma chave, os mesmos atributos e os mesmos valores em todas as estrelas. Por exemplo, o tempo usa sempre o mês de competência, o sexo usa sempre M/F/I e o estabelecimento usa sempre o CNES com 7 dígitos, qualquer que seja a fonte. Foi para isso que o grão do tempo foi fixado no mês, o menor nível comum às três fontes.</w:t>
      </w:r>
    </w:p>
    <w:p>
      <w:pPr>
        <w:pStyle w:val="Corpodotexto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</w:rPr>
        <w:t>4. Junção.</w:t>
      </w:r>
      <w:r>
        <w:rPr>
          <w:rFonts w:eastAsia="Times New Roman" w:cs="Times New Roman"/>
        </w:rPr>
        <w:t xml:space="preserve"> As três tabelas de fatos passam a apontar para as mesmas tabelas de dimensão, formando a constelação. Isso permite comparar os três processos na mesma análise por meio da operação drill-across (Consulta 5).</w:t>
      </w:r>
    </w:p>
    <w:p>
      <w:pPr>
        <w:pStyle w:val="Corpodotexto"/>
        <w:rPr/>
      </w:pPr>
      <w:r>
        <w:rPr>
          <w:rFonts w:eastAsia="Times New Roman" w:cs="Times New Roman"/>
        </w:rPr>
        <w:t>A matriz abaixo resume quais dimensões são usadas por cada tabela de fatos.</w:t>
      </w:r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38"/>
        <w:gridCol w:w="1743"/>
        <w:gridCol w:w="1847"/>
        <w:gridCol w:w="2378"/>
      </w:tblGrid>
      <w:tr>
        <w:trPr>
          <w:tblHeader w:val="true"/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Dimensão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fato_equipe</w:t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fato_internacao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fato_producao_ambulatorial</w:t>
            </w:r>
          </w:p>
        </w:tc>
      </w:tr>
      <w:tr>
        <w:trPr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dim_tempo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</w:tr>
      <w:tr>
        <w:trPr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dim_estabelecimento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</w:tr>
      <w:tr>
        <w:trPr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dim_procedimento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</w:tr>
      <w:tr>
        <w:trPr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dim_perfil_paciente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</w:tr>
      <w:tr>
        <w:trPr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dim_localidade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</w:tr>
      <w:tr>
        <w:trPr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dim_tipo_equipe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dim_diagnostico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dim_junk_internacao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3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dim_cbo</w:t>
            </w:r>
          </w:p>
        </w:tc>
        <w:tc>
          <w:tcPr>
            <w:tcW w:w="174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7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✓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6" w:name="__RefHeading___Toc1748_3790495778"/>
      <w:bookmarkStart w:id="27" w:name="_Toc14"/>
      <w:bookmarkEnd w:id="26"/>
      <w:r>
        <w:rPr>
          <w:rFonts w:eastAsia="Times New Roman" w:cs="Times New Roman"/>
        </w:rPr>
        <w:t>3. Consultas</w:t>
      </w:r>
      <w:bookmarkEnd w:id="27"/>
    </w:p>
    <w:p>
      <w:pPr>
        <w:pStyle w:val="Corpodotexto"/>
        <w:rPr/>
      </w:pPr>
      <w:r>
        <w:rPr>
          <w:rFonts w:eastAsia="Times New Roman" w:cs="Times New Roman"/>
        </w:rPr>
        <w:t>As consultas abaixo são as principais perguntas que o data warehouse deve responder. Todas usam como filtro o município de São Carlos, pela residência do paciente (demanda) ou pela localização do estabelecimento (oferta).</w:t>
      </w:r>
    </w:p>
    <w:p>
      <w:pPr>
        <w:pStyle w:val="Corpodotexto"/>
        <w:rPr/>
      </w:pPr>
      <w:r>
        <w:rPr>
          <w:rFonts w:eastAsia="Times New Roman" w:cs="Times New Roman"/>
        </w:rPr>
        <w:t>Todas foram executadas no DW povoado com os dados reais de 2023 e 2024. Para cada uma, o relatório mostra o resultado obtido e uma captura da célula do notebook com o código SQL e a saída. Tabelas longas aparecem com início e fim, separados por “…”.</w:t>
      </w:r>
    </w:p>
    <w:p>
      <w:pPr>
        <w:pStyle w:val="Heading2"/>
        <w:rPr/>
      </w:pPr>
      <w:bookmarkStart w:id="28" w:name="__RefHeading___Toc1750_3790495778"/>
      <w:bookmarkStart w:id="29" w:name="_Toc15"/>
      <w:bookmarkEnd w:id="28"/>
      <w:r>
        <w:rPr>
          <w:rFonts w:eastAsia="Times New Roman" w:cs="Times New Roman"/>
        </w:rPr>
        <w:t>Consulta 1 – Roll-up</w:t>
      </w:r>
      <w:bookmarkEnd w:id="29"/>
    </w:p>
    <w:p>
      <w:pPr>
        <w:pStyle w:val="Corpodotexto"/>
        <w:rPr/>
      </w:pPr>
      <w:r>
        <w:rPr>
          <w:rFonts w:eastAsia="Times New Roman" w:cs="Times New Roman"/>
          <w:b/>
          <w:bCs/>
        </w:rPr>
        <w:t>Operação OLAP:</w:t>
      </w:r>
      <w:r>
        <w:rPr>
          <w:rFonts w:eastAsia="Times New Roman" w:cs="Times New Roman"/>
        </w:rPr>
        <w:t xml:space="preserve"> Roll-up na dimensão tempo (ano_mes → trimestre → ano).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Consulta:</w:t>
      </w:r>
      <w:r>
        <w:rPr>
          <w:rFonts w:eastAsia="Times New Roman" w:cs="Times New Roman"/>
        </w:rPr>
        <w:t xml:space="preserve"> Qual o número de internações por condições sensíveis à atenção primária de residentes em São Carlos em cada mês? Em seguida, agregar o resultado por trimestre e por ano.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Elementos do esquema:</w:t>
      </w:r>
      <w:r>
        <w:rPr>
          <w:rFonts w:eastAsia="Times New Roman" w:cs="Times New Roman"/>
        </w:rPr>
        <w:t xml:space="preserve"> Tabela de fatos: fato_internacao. Dimensões: tempo (ano_mes, trimestre, ano), diagnóstico (icsap = Sim), localidade (município de residência = São Carlos). Medida: SOMA de qtd_internacoes.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Importância e justificativa:</w:t>
      </w:r>
      <w:r>
        <w:rPr>
          <w:rFonts w:eastAsia="Times New Roman" w:cs="Times New Roman"/>
        </w:rPr>
        <w:t xml:space="preserve"> É o indicador central de efetividade da atenção básica. A visão mensal mostra sazonalidade (por exemplo, doenças respiratórias no inverno) e a visão anual mostra a tendência que interessa ao planejamento plurianual do município.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Resultado com os dados reais:</w:t>
      </w:r>
      <w:r>
        <w:rPr>
          <w:rFonts w:eastAsia="Times New Roman" w:cs="Times New Roman"/>
        </w:rPr>
        <w:t xml:space="preserve"> Foram 5.255 internações por condições sensíveis à atenção primária de residentes nos dois anos, 16% das 32.799 internações de residentes. No nível mês, o maior valor é dezembro de 2023 (291) e o menor, janeiro de 2024 (167); como o mês é o de processamento da AIH, parte dessa oscilação reflete o ritmo de apresentação dos hospitais. Subindo para trimestre, a série fica entre 572 e 728, e no ano passa de 2.700 (2023) para 2.555 (2024), queda de cerca de 5%.</w:t>
      </w:r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5467350" cy="719137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19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5 – Consulta 1 no notebook: ICSAP por mês e roll-up para trimestre e ano (linhas com NULL são os subtotais).</w:t>
      </w:r>
    </w:p>
    <w:p>
      <w:pPr>
        <w:pStyle w:val="Heading2"/>
        <w:rPr/>
      </w:pPr>
      <w:bookmarkStart w:id="30" w:name="__RefHeading___Toc1752_3790495778"/>
      <w:bookmarkStart w:id="31" w:name="_Toc16"/>
      <w:bookmarkEnd w:id="30"/>
      <w:r>
        <w:rPr>
          <w:rFonts w:eastAsia="Times New Roman" w:cs="Times New Roman"/>
        </w:rPr>
        <w:t>Consulta 2 – Drill-down</w:t>
      </w:r>
      <w:bookmarkEnd w:id="31"/>
    </w:p>
    <w:p>
      <w:pPr>
        <w:pStyle w:val="Corpodotexto"/>
        <w:rPr/>
      </w:pPr>
      <w:r>
        <w:rPr>
          <w:rFonts w:eastAsia="Times New Roman" w:cs="Times New Roman"/>
          <w:b/>
          <w:bCs/>
        </w:rPr>
        <w:t>Operação OLAP:</w:t>
      </w:r>
      <w:r>
        <w:rPr>
          <w:rFonts w:eastAsia="Times New Roman" w:cs="Times New Roman"/>
        </w:rPr>
        <w:t xml:space="preserve"> Drill-down na dimensão procedimento (grupo → subgrupo → procedimento).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Consulta:</w:t>
      </w:r>
      <w:r>
        <w:rPr>
          <w:rFonts w:eastAsia="Times New Roman" w:cs="Times New Roman"/>
        </w:rPr>
        <w:t xml:space="preserve"> Qual a quantidade aprovada de procedimentos ambulatoriais realizados em estabelecimentos de São Carlos por grupo de procedimento? Para o grupo com maior volume, detalhar por subgrupo e, para o subgrupo principal, por procedimento.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Elementos do esquema:</w:t>
      </w:r>
      <w:r>
        <w:rPr>
          <w:rFonts w:eastAsia="Times New Roman" w:cs="Times New Roman"/>
        </w:rPr>
        <w:t xml:space="preserve"> Tabela de fatos: fato_producao_ambulatorial. Dimensões: procedimento (grupo_cod, subgrupo_cod, cod_procedimento), estabelecimento (município = São Carlos). Medidas: SOMA de qtd_aprovada e de valor_aprovado.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Importância e justificativa:</w:t>
      </w:r>
      <w:r>
        <w:rPr>
          <w:rFonts w:eastAsia="Times New Roman" w:cs="Times New Roman"/>
        </w:rPr>
        <w:t xml:space="preserve"> Mostra que tipo de atendimento a rede ambulatorial mais realiza e permite descer até os procedimentos específicos que concentram o volume e o gasto, apoiando o dimensionamento de oferta e de contratos.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Resultado com os dados reais:</w:t>
      </w:r>
      <w:r>
        <w:rPr>
          <w:rFonts w:eastAsia="Times New Roman" w:cs="Times New Roman"/>
        </w:rPr>
        <w:t xml:space="preserve"> O grupo 02 (procedimentos com finalidade diagnóstica) lidera em quantidade, com 1,77 milhão de procedimentos aprovados; o grupo 03 (procedimentos clínicos) vem em segundo em quantidade, mas tem o maior valor aprovado, cerca de R$ 31,3 milhões. Descendo no grupo 02, o subgrupo 0202 (diagnóstico em laboratório clínico) concentra 1,39 milhão, e no nível de procedimento os maiores volumes são o hemograma completo (0202020380, 126.646) e a dosagem de creatinina (0202010317, 101.989).</w:t>
      </w:r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4467225" cy="774382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774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6 – Consulta 2 no notebook: produção aprovada por grupo e drill-down até o procedimento.</w:t>
      </w:r>
    </w:p>
    <w:p>
      <w:pPr>
        <w:pStyle w:val="Heading2"/>
        <w:rPr/>
      </w:pPr>
      <w:bookmarkStart w:id="32" w:name="__RefHeading___Toc1754_3790495778"/>
      <w:bookmarkStart w:id="33" w:name="_Toc17"/>
      <w:bookmarkEnd w:id="32"/>
      <w:r>
        <w:rPr>
          <w:rFonts w:eastAsia="Times New Roman" w:cs="Times New Roman"/>
        </w:rPr>
        <w:t>Consulta 3 – Slice and dice</w:t>
      </w:r>
      <w:bookmarkEnd w:id="33"/>
    </w:p>
    <w:p>
      <w:pPr>
        <w:pStyle w:val="Corpodotexto"/>
        <w:rPr/>
      </w:pPr>
      <w:r>
        <w:rPr>
          <w:rFonts w:eastAsia="Times New Roman" w:cs="Times New Roman"/>
          <w:b/>
          <w:bCs/>
        </w:rPr>
        <w:t>Operação OLAP:</w:t>
      </w:r>
      <w:r>
        <w:rPr>
          <w:rFonts w:eastAsia="Times New Roman" w:cs="Times New Roman"/>
        </w:rPr>
        <w:t xml:space="preserve"> Slice na dimensão tempo (ano = 2024) e dice nas dimensões perfil do paciente (ciclo de vida = Idoso) e diagnóstico (icsap = Sim).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Consulta:</w:t>
      </w:r>
      <w:r>
        <w:rPr>
          <w:rFonts w:eastAsia="Times New Roman" w:cs="Times New Roman"/>
        </w:rPr>
        <w:t xml:space="preserve"> Quantas internações por condições sensíveis à atenção primária de idosos residentes em São Carlos ocorreram em 2024, e qual a média de dias de permanência, por grupo de causa e por sexo?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Elementos do esquema:</w:t>
      </w:r>
      <w:r>
        <w:rPr>
          <w:rFonts w:eastAsia="Times New Roman" w:cs="Times New Roman"/>
        </w:rPr>
        <w:t xml:space="preserve"> Tabela de fatos: fato_internacao. Dimensões: tempo (ano), perfil do paciente (ciclo_vida, sexo), diagnóstico (icsap, grupo_icsap), localidade. Medidas: SOMA de qtd_internacoes; média de permanência (derivada).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Importância e justificativa:</w:t>
      </w:r>
      <w:r>
        <w:rPr>
          <w:rFonts w:eastAsia="Times New Roman" w:cs="Times New Roman"/>
        </w:rPr>
        <w:t xml:space="preserve"> Os idosos concentram as condições crônicas acompanhadas pela atenção básica, como doenças cerebrovasculares e insuficiência cardíaca. Identificar as causas que mais internam esse grupo orienta ações como grupos de hipertensos e diabéticos e visitas domiciliares.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Resultado com os dados reais:</w:t>
      </w:r>
      <w:r>
        <w:rPr>
          <w:rFonts w:eastAsia="Times New Roman" w:cs="Times New Roman"/>
        </w:rPr>
        <w:t xml:space="preserve"> Foram 1.358 internações evitáveis de idosos residentes em 2024. As doenças cerebrovasculares lideram (170 homens e 154 mulheres), seguidas da insuficiência cardíaca (128 mulheres e 114 homens) e da angina (89 homens). Entre as causas mais frequentes, as doenças pulmonares e a insuficiência cardíaca têm as maiores médias de permanência.</w:t>
      </w:r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5467350" cy="420052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7 – Consulta 3 no notebook: ICSAP de idosos residentes em 2024 por grupo de causa e sexo.</w:t>
      </w:r>
    </w:p>
    <w:p>
      <w:pPr>
        <w:pStyle w:val="Heading2"/>
        <w:rPr/>
      </w:pPr>
      <w:bookmarkStart w:id="34" w:name="__RefHeading___Toc1756_3790495778"/>
      <w:bookmarkStart w:id="35" w:name="_Toc18"/>
      <w:bookmarkEnd w:id="34"/>
      <w:r>
        <w:rPr>
          <w:rFonts w:eastAsia="Times New Roman" w:cs="Times New Roman"/>
        </w:rPr>
        <w:t>Consulta 4 – Pivot</w:t>
      </w:r>
      <w:bookmarkEnd w:id="35"/>
    </w:p>
    <w:p>
      <w:pPr>
        <w:pStyle w:val="Corpodotexto"/>
        <w:rPr/>
      </w:pPr>
      <w:r>
        <w:rPr>
          <w:rFonts w:eastAsia="Times New Roman" w:cs="Times New Roman"/>
          <w:b/>
          <w:bCs/>
        </w:rPr>
        <w:t>Operação OLAP:</w:t>
      </w:r>
      <w:r>
        <w:rPr>
          <w:rFonts w:eastAsia="Times New Roman" w:cs="Times New Roman"/>
        </w:rPr>
        <w:t xml:space="preserve"> Pivot (rotação) entre as dimensões diagnóstico e perfil do paciente.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Consulta:</w:t>
      </w:r>
      <w:r>
        <w:rPr>
          <w:rFonts w:eastAsia="Times New Roman" w:cs="Times New Roman"/>
        </w:rPr>
        <w:t xml:space="preserve"> Qual o número de internações por condições sensíveis à atenção primária de residentes em São Carlos por grupo de causa (linhas) e ciclo de vida (colunas)? Em seguida, rotacionar a visão, com ciclo de vida nas linhas e grupo de causa nas colunas.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Elementos do esquema:</w:t>
      </w:r>
      <w:r>
        <w:rPr>
          <w:rFonts w:eastAsia="Times New Roman" w:cs="Times New Roman"/>
        </w:rPr>
        <w:t xml:space="preserve"> Tabela de fatos: fato_internacao. Dimensões: diagnóstico (grupo_icsap), perfil do paciente (ciclo_vida), localidade. Medida: SOMA de qtd_internacoes.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Importância e justificativa:</w:t>
      </w:r>
      <w:r>
        <w:rPr>
          <w:rFonts w:eastAsia="Times New Roman" w:cs="Times New Roman"/>
        </w:rPr>
        <w:t xml:space="preserve"> As duas orientações respondem perguntas diferentes do gestor: “quais causas pesam em cada fase da vida?” (útil para programas por público, como saúde da criança e do idoso) e “qual fase da vida mais sofre com cada causa?” (útil para linhas de cuidado por doença).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Resultado com os dados reais:</w:t>
      </w:r>
      <w:r>
        <w:rPr>
          <w:rFonts w:eastAsia="Times New Roman" w:cs="Times New Roman"/>
        </w:rPr>
        <w:t xml:space="preserve"> Na primeira orientação, cada causa mostra em que fase da vida pesa: as doenças circulatórias são quase exclusivas de adultos e idosos (621 idosos com doença cerebrovascular nos dois anos). Na orientação rotacionada, cada fase da vida mostra suas causas: nas crianças predominam as doenças pulmonares (329) e as gastroenterites (79); nos adultos, as doenças cerebrovasculares (229), a infecção do rim e trato urinário (204) e a de pele e subcutâneo (189).</w:t>
      </w:r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5467350" cy="501967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01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8 – Consulta 4 no notebook: ICSAP por causa × ciclo de vida e a mesma tabela rotacionada.</w:t>
      </w:r>
    </w:p>
    <w:p>
      <w:pPr>
        <w:pStyle w:val="Heading2"/>
        <w:rPr/>
      </w:pPr>
      <w:bookmarkStart w:id="36" w:name="__RefHeading___Toc1758_3790495778"/>
      <w:bookmarkStart w:id="37" w:name="_Toc19"/>
      <w:bookmarkEnd w:id="36"/>
      <w:r>
        <w:rPr>
          <w:rFonts w:eastAsia="Times New Roman" w:cs="Times New Roman"/>
        </w:rPr>
        <w:t>Consulta 5 – Drill-across</w:t>
      </w:r>
      <w:bookmarkEnd w:id="37"/>
    </w:p>
    <w:p>
      <w:pPr>
        <w:pStyle w:val="Corpodotexto"/>
        <w:rPr/>
      </w:pPr>
      <w:r>
        <w:rPr>
          <w:rFonts w:eastAsia="Times New Roman" w:cs="Times New Roman"/>
          <w:b/>
          <w:bCs/>
        </w:rPr>
        <w:t>Operação OLAP:</w:t>
      </w:r>
      <w:r>
        <w:rPr>
          <w:rFonts w:eastAsia="Times New Roman" w:cs="Times New Roman"/>
        </w:rPr>
        <w:t xml:space="preserve"> Drill-across entre fato_equipe, fato_producao_ambulatorial e fato_internacao, pela dimensão conforme tempo (e pelo município).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Consulta:</w:t>
      </w:r>
      <w:r>
        <w:rPr>
          <w:rFonts w:eastAsia="Times New Roman" w:cs="Times New Roman"/>
        </w:rPr>
        <w:t xml:space="preserve"> Em cada mês, quantas equipes de Saúde da Família estavam ativas em São Carlos, qual a cobertura estimada correspondente, quantos procedimentos ambulatoriais foram aprovados nos estabelecimentos de atenção primária do município e quantas internações por condições sensíveis à atenção primária de residentes ocorreram (em número absoluto e por 10 mil habitantes)?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Elementos do esquema:</w:t>
      </w:r>
      <w:r>
        <w:rPr>
          <w:rFonts w:eastAsia="Times New Roman" w:cs="Times New Roman"/>
        </w:rPr>
        <w:t xml:space="preserve"> Cada tabela de fatos é agregada separadamente por ano_mes e os três resultados são combinados pelo mês. fato_equipe: CONTAGEM de equipes com categoria_equipe = Saúde da Família. fato_producao_ambulatorial: SOMA de qtd_aprovada com nivel_atencao = Atenção Primária. fato_internacao: SOMA de qtd_internacoes com icsap = Sim e residência = São Carlos. Medidas derivadas: cobertura estimada e taxa de ICSAP.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Importância e justificativa:</w:t>
      </w:r>
      <w:r>
        <w:rPr>
          <w:rFonts w:eastAsia="Times New Roman" w:cs="Times New Roman"/>
        </w:rPr>
        <w:t xml:space="preserve"> Responde a pergunta central do trabalho: variações na oferta de atenção básica acompanham variações nas internações evitáveis? Só é possível porque as três estrelas compartilham dimensões conformes, e o resultado subsidia a decisão de expandir ou manter equipes.</w:t>
      </w:r>
    </w:p>
    <w:p>
      <w:pPr>
        <w:pStyle w:val="Corpodotexto"/>
        <w:rPr/>
      </w:pPr>
      <w:r>
        <w:rPr>
          <w:rFonts w:eastAsia="Times New Roman" w:cs="Times New Roman"/>
          <w:b/>
          <w:bCs/>
        </w:rPr>
        <w:t>Resultado com os dados reais:</w:t>
      </w:r>
      <w:r>
        <w:rPr>
          <w:rFonts w:eastAsia="Times New Roman" w:cs="Times New Roman"/>
        </w:rPr>
        <w:t xml:space="preserve"> O drill-across funcionou como projetado e expôs dois fatos sobre as fontes. Primeiro, São Carlos manteve 23 equipes de Saúde da Família ativas em todos os 24 meses, o que dá cobertura estimada constante de 31,1%. Segundo, a produção APS no SIA é zero em todos os meses, porque a produção das UBS vai para o SISAB (Seção 1.6). A taxa de ICSAP variou entre 6,55 e 11,42 por 10 mil habitantes, terminando 2024 em 8,40. Com a oferta constante no período, ainda não é possível relacionar variações de cobertura e de internações evitáveis: isso exige uma série mais longa e a inclusão do SISAB como fonte.</w:t>
      </w:r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5467350" cy="703897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03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9 – Consulta 5 no notebook: as três tabelas de fatos agregadas por mês e combinadas por ano_mes.</w:t>
      </w:r>
    </w:p>
    <w:p>
      <w:pPr>
        <w:pStyle w:val="Normal"/>
        <w:keepNext w:val="true"/>
        <w:spacing w:before="60" w:after="0"/>
        <w:jc w:val="center"/>
        <w:rPr/>
      </w:pPr>
      <w:r>
        <w:rPr/>
        <w:drawing>
          <wp:inline distT="0" distB="0" distL="0" distR="0">
            <wp:extent cx="5467350" cy="383857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egendadafigura"/>
        <w:rPr/>
      </w:pPr>
      <w:r>
        <w:rPr>
          <w:rFonts w:eastAsia="Times New Roman" w:cs="Times New Roman"/>
          <w:i/>
          <w:iCs/>
        </w:rPr>
        <w:t>Figura 10 – Consulta 5: resultado mês a mês, um painel por tabela de fatos com o mesmo eixo de tempo.</w:t>
      </w:r>
    </w:p>
    <w:p>
      <w:pPr>
        <w:pStyle w:val="Heading2"/>
        <w:rPr/>
      </w:pPr>
      <w:bookmarkStart w:id="38" w:name="__RefHeading___Toc1760_3790495778"/>
      <w:bookmarkStart w:id="39" w:name="_Toc20"/>
      <w:bookmarkEnd w:id="38"/>
      <w:r>
        <w:rPr>
          <w:rFonts w:eastAsia="Times New Roman" w:cs="Times New Roman"/>
        </w:rPr>
        <w:t>Resumo das consultas</w:t>
      </w:r>
      <w:bookmarkEnd w:id="39"/>
    </w:p>
    <w:tbl>
      <w:tblPr>
        <w:tblW w:w="8606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19"/>
        <w:gridCol w:w="2111"/>
        <w:gridCol w:w="5176"/>
      </w:tblGrid>
      <w:tr>
        <w:trPr>
          <w:tblHeader w:val="true"/>
          <w:cantSplit/>
        </w:trPr>
        <w:tc>
          <w:tcPr>
            <w:tcW w:w="13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Consulta</w:t>
            </w:r>
          </w:p>
        </w:tc>
        <w:tc>
          <w:tcPr>
            <w:tcW w:w="21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Operação</w:t>
            </w:r>
          </w:p>
        </w:tc>
        <w:tc>
          <w:tcPr>
            <w:tcW w:w="51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1F3864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</w:rPr>
              <w:t>Tabela(s) de fatos</w:t>
            </w:r>
          </w:p>
        </w:tc>
      </w:tr>
      <w:tr>
        <w:trPr>
          <w:cantSplit/>
        </w:trPr>
        <w:tc>
          <w:tcPr>
            <w:tcW w:w="13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1</w:t>
            </w:r>
          </w:p>
        </w:tc>
        <w:tc>
          <w:tcPr>
            <w:tcW w:w="21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Roll-up</w:t>
            </w:r>
          </w:p>
        </w:tc>
        <w:tc>
          <w:tcPr>
            <w:tcW w:w="51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fato_internacao</w:t>
            </w:r>
          </w:p>
        </w:tc>
      </w:tr>
      <w:tr>
        <w:trPr>
          <w:cantSplit/>
        </w:trPr>
        <w:tc>
          <w:tcPr>
            <w:tcW w:w="13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2</w:t>
            </w:r>
          </w:p>
        </w:tc>
        <w:tc>
          <w:tcPr>
            <w:tcW w:w="21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Drill-down</w:t>
            </w:r>
          </w:p>
        </w:tc>
        <w:tc>
          <w:tcPr>
            <w:tcW w:w="51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fato_producao_ambulatorial</w:t>
            </w:r>
          </w:p>
        </w:tc>
      </w:tr>
      <w:tr>
        <w:trPr>
          <w:cantSplit/>
        </w:trPr>
        <w:tc>
          <w:tcPr>
            <w:tcW w:w="13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3</w:t>
            </w:r>
          </w:p>
        </w:tc>
        <w:tc>
          <w:tcPr>
            <w:tcW w:w="21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Slice and dice</w:t>
            </w:r>
          </w:p>
        </w:tc>
        <w:tc>
          <w:tcPr>
            <w:tcW w:w="51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fato_internacao</w:t>
            </w:r>
          </w:p>
        </w:tc>
      </w:tr>
      <w:tr>
        <w:trPr>
          <w:cantSplit/>
        </w:trPr>
        <w:tc>
          <w:tcPr>
            <w:tcW w:w="13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4</w:t>
            </w:r>
          </w:p>
        </w:tc>
        <w:tc>
          <w:tcPr>
            <w:tcW w:w="21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Pivot</w:t>
            </w:r>
          </w:p>
        </w:tc>
        <w:tc>
          <w:tcPr>
            <w:tcW w:w="51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2F5FA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fato_internacao</w:t>
            </w:r>
          </w:p>
        </w:tc>
      </w:tr>
      <w:tr>
        <w:trPr>
          <w:cantSplit/>
        </w:trPr>
        <w:tc>
          <w:tcPr>
            <w:tcW w:w="13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5</w:t>
            </w:r>
          </w:p>
        </w:tc>
        <w:tc>
          <w:tcPr>
            <w:tcW w:w="21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Drill-across</w:t>
            </w:r>
          </w:p>
        </w:tc>
        <w:tc>
          <w:tcPr>
            <w:tcW w:w="517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color="auto" w:fill="FFFFFF" w:val="clea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19"/>
                <w:szCs w:val="19"/>
              </w:rPr>
              <w:t>fato_equipe, fato_producao_ambulatorial, fato_internacao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700" w:right="1600" w:gutter="0" w:header="300" w:top="2200" w:footer="500" w:bottom="150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60"/>
      <w:jc w:val="right"/>
      <w:rPr/>
    </w:pPr>
    <w:r>
      <w:rPr>
        <w:rFonts w:eastAsia="Arial" w:cs="Arial" w:ascii="Arial" w:hAnsi="Arial"/>
        <w:color w:val="6B809B"/>
        <w:sz w:val="16"/>
        <w:szCs w:val="16"/>
      </w:rPr>
      <w:fldChar w:fldCharType="begin"/>
    </w:r>
    <w:r>
      <w:rPr>
        <w:rFonts w:eastAsia="Arial" w:cs="Arial" w:ascii="Arial" w:hAnsi="Arial"/>
        <w:color w:val="6B809B"/>
        <w:sz w:val="16"/>
        <w:szCs w:val="16"/>
      </w:rPr>
      <w:instrText xml:space="preserve"> PAGE </w:instrText>
    </w:r>
    <w:r>
      <w:rPr>
        <w:rFonts w:eastAsia="Arial" w:cs="Arial" w:ascii="Arial" w:hAnsi="Arial"/>
        <w:color w:val="6B809B"/>
        <w:sz w:val="16"/>
        <w:szCs w:val="16"/>
      </w:rPr>
      <w:fldChar w:fldCharType="separate"/>
    </w:r>
    <w:r>
      <w:rPr>
        <w:rFonts w:eastAsia="Arial" w:cs="Arial" w:ascii="Arial" w:hAnsi="Arial"/>
        <w:color w:val="6B809B"/>
        <w:sz w:val="16"/>
        <w:szCs w:val="16"/>
      </w:rPr>
      <w:t>29</w:t>
    </w:r>
    <w:r>
      <w:rPr>
        <w:rFonts w:eastAsia="Arial" w:cs="Arial" w:ascii="Arial" w:hAnsi="Arial"/>
        <w:color w:val="6B809B"/>
        <w:sz w:val="16"/>
        <w:szCs w:val="16"/>
      </w:rPr>
      <w:fldChar w:fldCharType="end"/>
    </w:r>
  </w:p>
  <w:p>
    <w:pPr>
      <w:pStyle w:val="Normal"/>
      <w:jc w:val="center"/>
      <w:rPr/>
    </w:pPr>
    <w:r>
      <w:rPr>
        <w:rFonts w:eastAsia="Arial" w:cs="Arial" w:ascii="Arial" w:hAnsi="Arial"/>
        <w:color w:val="6B809B"/>
        <w:sz w:val="16"/>
        <w:szCs w:val="16"/>
      </w:rPr>
      <w:t>Av. Trabalhador São-carlense, 400 . centro . São Carlos - SP . cep 13566-590 . Brasil . www.icmc.usp.br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6B809B"/>
        <w:sz w:val="16"/>
        <w:szCs w:val="16"/>
      </w:rPr>
      <w:t>Av. Trabalhador São-carlense, 400 . centro . São Carlos - SP . cep 13566-590 . Brasil . www.icmc.usp.br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0" distB="0" distL="0" distR="0" simplePos="0" relativeHeight="39" behindDoc="1" locked="0" layoutInCell="0" allowOverlap="1">
          <wp:simplePos x="0" y="0"/>
          <wp:positionH relativeFrom="page">
            <wp:posOffset>934720</wp:posOffset>
          </wp:positionH>
          <wp:positionV relativeFrom="page">
            <wp:posOffset>278130</wp:posOffset>
          </wp:positionV>
          <wp:extent cx="6638925" cy="809625"/>
          <wp:effectExtent l="0" t="0" r="0" b="0"/>
          <wp:wrapNone/>
          <wp:docPr id="11" name="Image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3892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67" behindDoc="1" locked="0" layoutInCell="0" allowOverlap="1">
          <wp:simplePos x="0" y="0"/>
          <wp:positionH relativeFrom="page">
            <wp:posOffset>63500</wp:posOffset>
          </wp:positionH>
          <wp:positionV relativeFrom="page">
            <wp:posOffset>76200</wp:posOffset>
          </wp:positionV>
          <wp:extent cx="885825" cy="10563225"/>
          <wp:effectExtent l="0" t="0" r="0" b="0"/>
          <wp:wrapNone/>
          <wp:docPr id="12" name="Image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0563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0" distB="0" distL="0" distR="0" simplePos="0" relativeHeight="68" behindDoc="1" locked="0" layoutInCell="0" allowOverlap="1">
          <wp:simplePos x="0" y="0"/>
          <wp:positionH relativeFrom="page">
            <wp:posOffset>934720</wp:posOffset>
          </wp:positionH>
          <wp:positionV relativeFrom="page">
            <wp:posOffset>278130</wp:posOffset>
          </wp:positionV>
          <wp:extent cx="6638925" cy="809625"/>
          <wp:effectExtent l="0" t="0" r="0" b="0"/>
          <wp:wrapNone/>
          <wp:docPr id="13" name="Image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3892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69" behindDoc="1" locked="0" layoutInCell="0" allowOverlap="1">
          <wp:simplePos x="0" y="0"/>
          <wp:positionH relativeFrom="page">
            <wp:posOffset>63500</wp:posOffset>
          </wp:positionH>
          <wp:positionV relativeFrom="page">
            <wp:posOffset>76200</wp:posOffset>
          </wp:positionV>
          <wp:extent cx="885825" cy="10563225"/>
          <wp:effectExtent l="0" t="0" r="0" b="0"/>
          <wp:wrapNone/>
          <wp:docPr id="14" name="Image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0563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120" w:after="200"/>
      <w:outlineLvl w:val="0"/>
    </w:pPr>
    <w:rPr>
      <w:rFonts w:ascii="Times New Roman" w:hAnsi="Times New Roman" w:eastAsia="Times New Roman" w:cs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spacing w:before="180" w:after="8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LineNumber">
    <w:name w:val="line number"/>
    <w:uiPriority w:val="99"/>
    <w:semiHidden/>
    <w:unhideWhenUsed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Bibliography">
    <w:name w:val="Bibliography"/>
    <w:basedOn w:val="Normal"/>
    <w:next w:val="Normal"/>
    <w:uiPriority w:val="37"/>
    <w:unhideWhenUsed/>
    <w:qFormat/>
    <w:pPr/>
    <w:rPr/>
  </w:style>
  <w:style w:type="paragraph" w:styleId="TOC1">
    <w:name w:val="toc 1"/>
    <w:basedOn w:val="Normal"/>
    <w:next w:val="Normal"/>
    <w:uiPriority w:val="39"/>
    <w:semiHidden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semiHidden/>
    <w:unhideWhenUsed/>
    <w:pPr>
      <w:spacing w:before="0" w:after="100"/>
      <w:ind w:left="240"/>
    </w:pPr>
    <w:rPr/>
  </w:style>
  <w:style w:type="paragraph" w:styleId="TOC3">
    <w:name w:val="toc 3"/>
    <w:basedOn w:val="Normal"/>
    <w:next w:val="Normal"/>
    <w:uiPriority w:val="39"/>
    <w:semiHidden/>
    <w:unhideWhenUsed/>
    <w:pPr>
      <w:spacing w:before="0" w:after="100"/>
      <w:ind w:left="480"/>
    </w:pPr>
    <w:rPr/>
  </w:style>
  <w:style w:type="paragraph" w:styleId="TOC4">
    <w:name w:val="toc 4"/>
    <w:basedOn w:val="Normal"/>
    <w:next w:val="Normal"/>
    <w:uiPriority w:val="39"/>
    <w:semiHidden/>
    <w:unhideWhenUsed/>
    <w:pPr>
      <w:spacing w:before="0" w:after="100"/>
      <w:ind w:left="720"/>
    </w:pPr>
    <w:rPr/>
  </w:style>
  <w:style w:type="paragraph" w:styleId="TOC5">
    <w:name w:val="toc 5"/>
    <w:basedOn w:val="Normal"/>
    <w:next w:val="Normal"/>
    <w:uiPriority w:val="39"/>
    <w:semiHidden/>
    <w:unhideWhenUsed/>
    <w:pPr>
      <w:spacing w:before="0" w:after="100"/>
      <w:ind w:left="960"/>
    </w:pPr>
    <w:rPr/>
  </w:style>
  <w:style w:type="paragraph" w:styleId="TOC6">
    <w:name w:val="toc 6"/>
    <w:basedOn w:val="Normal"/>
    <w:next w:val="Normal"/>
    <w:uiPriority w:val="39"/>
    <w:semiHidden/>
    <w:unhideWhenUsed/>
    <w:pPr>
      <w:spacing w:before="0" w:after="100"/>
      <w:ind w:left="1200"/>
    </w:pPr>
    <w:rPr/>
  </w:style>
  <w:style w:type="paragraph" w:styleId="TOC7">
    <w:name w:val="toc 7"/>
    <w:basedOn w:val="Normal"/>
    <w:next w:val="Normal"/>
    <w:uiPriority w:val="39"/>
    <w:semiHidden/>
    <w:unhideWhenUsed/>
    <w:pPr>
      <w:spacing w:before="0" w:after="100"/>
      <w:ind w:left="1440"/>
    </w:pPr>
    <w:rPr/>
  </w:style>
  <w:style w:type="paragraph" w:styleId="TOC8">
    <w:name w:val="toc 8"/>
    <w:basedOn w:val="Normal"/>
    <w:next w:val="Normal"/>
    <w:uiPriority w:val="39"/>
    <w:semiHidden/>
    <w:unhideWhenUsed/>
    <w:pPr>
      <w:spacing w:before="0" w:after="100"/>
      <w:ind w:left="1680"/>
    </w:pPr>
    <w:rPr/>
  </w:style>
  <w:style w:type="paragraph" w:styleId="TOC9">
    <w:name w:val="toc 9"/>
    <w:basedOn w:val="Normal"/>
    <w:next w:val="Normal"/>
    <w:uiPriority w:val="39"/>
    <w:semiHidden/>
    <w:unhideWhenUsed/>
    <w:pPr>
      <w:spacing w:before="0" w:after="100"/>
      <w:ind w:left="192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rpodotexto">
    <w:name w:val="Corpo do texto"/>
    <w:basedOn w:val="Normal"/>
    <w:qFormat/>
    <w:pPr>
      <w:spacing w:lineRule="auto" w:line="288" w:before="0" w:after="12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Legendadafigura">
    <w:name w:val="Legenda da figura"/>
    <w:basedOn w:val="Normal"/>
    <w:qFormat/>
    <w:pPr>
      <w:spacing w:before="60" w:after="240"/>
      <w:jc w:val="center"/>
    </w:pPr>
    <w:rPr>
      <w:rFonts w:ascii="Times New Roman" w:hAnsi="Times New Roman" w:eastAsia="Times New Roman" w:cs="Times New Roman"/>
      <w:i/>
      <w:iCs/>
      <w:sz w:val="20"/>
      <w:szCs w:val="20"/>
    </w:rPr>
  </w:style>
  <w:style w:type="paragraph" w:styleId="Ttulodondice">
    <w:name w:val="Título do índice"/>
    <w:basedOn w:val="Normal"/>
    <w:qFormat/>
    <w:pPr>
      <w:spacing w:before="0" w:after="240"/>
    </w:pPr>
    <w:rPr>
      <w:rFonts w:ascii="Times New Roman" w:hAnsi="Times New Roman" w:eastAsia="Times New Roman" w:cs="Times New Roman"/>
      <w:b/>
      <w:bCs/>
      <w:color w:val="1F3864"/>
      <w:sz w:val="32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29</Pages>
  <Words>4913</Words>
  <Characters>27768</Characters>
  <CharactersWithSpaces>32138</CharactersWithSpaces>
  <Paragraphs>603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2026-10-28T17:26:26Z</dcterms:created>
  <dc:creator>Grupo SCC0245</dc:creator>
  <dc:description/>
  <dc:language>en-US</dc:language>
  <cp:lastModifiedBy/>
  <dcterms:modified xsi:type="dcterms:W3CDTF">2026-10-28T14:26:29Z</dcterms:modified>
  <cp:revision>2</cp:revision>
  <dc:subject/>
  <dc:title>Data Warehouse – Cobertura da Atenção Primária a Saúde em São Carlos</dc:title>
</cp:coreProperties>
</file>