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Plan SAEKO ⇄ Odoo 20</w:t>
      </w:r>
    </w:p>
    <w:p>
      <w:pPr/>
      <w:r>
        <w:t xml:space="preserve">Oct 29, 2026</w:t>
      </w:r>
      <w:r>
        <w:t xml:space="preserve"> · </w:t>
      </w:r>
      <w:r>
        <w:t xml:space="preserve">@German Ponce</w:t>
      </w:r>
    </w:p>
    <w:p>
      <w:pPr>
        <w:pStyle w:val="Heading2"/>
      </w:pPr>
      <w:r>
        <w:t xml:space="preserve">Resumen Ejecutivo</w:t>
      </w:r>
    </w:p>
    <w:p>
      <w:pPr/>
      <w:r>
        <w:t xml:space="preserve">La integración se construye sobre Odoo 20 en seis fases y 14 semanas hábiles, unos tres meses y medio aprox. </w:t>
      </w:r>
    </w:p>
    <w:p>
      <w:pPr/>
      <w:r>
        <w:t xml:space="preserve">Lo anterior arrojaria un arranque estimado (ejemplo) empleando el día 9 de noviembre de 2026, con una salida a producción estimada para el 1 de marzo de 2027. </w:t>
      </w:r>
    </w:p>
    <w:p>
      <w:pPr/>
      <w:r>
        <w:t xml:space="preserve">El proyecto inicia con el análisis de la API de SAEKO y el desarrollo del conector (modulo versión 20.0), que es la base de todas las fases siguientes.</w:t>
      </w:r>
    </w:p>
    <w:p>
      <w:pPr/>
      <w:r>
        <w:t xml:space="preserve">El cuello de botella no es Odoo sino SAEKO. La API pública no documenta cargos, pagos, CFDI, adeudos, asistencias, suplencias ni bonos, un estimado de 14 puntos de los 25  solicitados via correo. Las fases 4 (finanzas) y 5 (docentes y nómina) arrancan solo cuando SAEKO nos entregue estos endpoints o generen una aclaración en caso de entenderlo incorrectamente, las fases 1 a 3 avanzan sin esperar.</w:t>
      </w:r>
    </w:p>
    <w:p>
      <w:pPr/>
      <w:r>
        <w:rPr>
          <w:b/>
        </w:rPr>
        <w:t xml:space="preserve">Decisiones que se necesitan antes del 20 de noviembre de 2026</w:t>
      </w:r>
    </w:p>
    <w:p>
      <w:pPr>
        <w:pStyle w:val="ListParagraph"/>
        <w:numPr>
          <w:ilvl w:val="0"/>
          <w:numId w:val="2"/>
        </w:numPr>
      </w:pPr>
      <w:r>
        <w:rPr>
          <w:b/>
        </w:rPr>
        <w:t xml:space="preserve">Quién timbra los CFDI.</w:t>
      </w:r>
      <w:r>
        <w:t xml:space="preserve"> Si timbra SAEKO, Odoo importa UUID, XML y PDF sin re-timbrar. Si timbra Odoo, se factura con la localización mexicana de Enterprise, incluida la factura global. Moveria el alcance de la Fase 4 aproximadamente 1 semana.</w:t>
      </w:r>
    </w:p>
    <w:p>
      <w:pPr>
        <w:pStyle w:val="ListParagraph"/>
        <w:numPr>
          <w:ilvl w:val="0"/>
          <w:numId w:val="2"/>
        </w:numPr>
      </w:pPr>
      <w:r>
        <w:rPr>
          <w:b/>
        </w:rPr>
        <w:t xml:space="preserve">H</w:t>
      </w:r>
      <w:r>
        <w:rPr>
          <w:b/>
        </w:rPr>
        <w:t xml:space="preserve">o</w:t>
      </w:r>
      <w:r>
        <w:rPr>
          <w:b/>
        </w:rPr>
        <w:t xml:space="preserve">sting</w:t>
      </w:r>
      <w:r>
        <w:rPr>
          <w:b/>
        </w:rPr>
        <w:t xml:space="preserve">.</w:t>
      </w:r>
      <w:r>
        <w:t xml:space="preserve"> Odoo.sh o servidor propio On Premise. Odoo 20 requiere Python 3.12 a 3.14 y PostgreSQL 16 o superior.</w:t>
      </w:r>
    </w:p>
    <w:p>
      <w:pPr>
        <w:pStyle w:val="ListParagraph"/>
        <w:numPr>
          <w:ilvl w:val="0"/>
          <w:numId w:val="2"/>
        </w:numPr>
      </w:pPr>
      <w:r>
        <w:rPr>
          <w:b/>
        </w:rPr>
        <w:t xml:space="preserve">Módulos estándar.</w:t>
      </w:r>
      <w:r>
        <w:t xml:space="preserve"> Usar Empleados (</w:t>
      </w:r>
      <w:r>
        <w:rPr>
          <w:rStyle w:val="CodeChar"/>
        </w:rPr>
        <w:t xml:space="preserve">hr</w:t>
      </w:r>
      <w:r>
        <w:t xml:space="preserve">), Asistencias (</w:t>
      </w:r>
      <w:r>
        <w:rPr>
          <w:rStyle w:val="CodeChar"/>
        </w:rPr>
        <w:t xml:space="preserve">hr_attendance</w:t>
      </w:r>
      <w:r>
        <w:t xml:space="preserve">), Contabilidad y Nómina de Enterprise en lugar de modelos propios.  Pendiente el análisis y aclaración para determinar si es una versión 100% nativa sin adaptaciones o campos añadidos con Studio y no esten contemplados.</w:t>
      </w:r>
    </w:p>
    <w:p>
      <w:pPr>
        <w:pStyle w:val="ListParagraph"/>
        <w:numPr>
          <w:ilvl w:val="0"/>
          <w:numId w:val="2"/>
        </w:numPr>
      </w:pPr>
      <w:r>
        <w:rPr>
          <w:b/>
        </w:rPr>
        <w:t xml:space="preserve">Fecha compromiso de SAEKO</w:t>
      </w:r>
      <w:r>
        <w:t xml:space="preserve"> para los endpoints faltantes, a más tardar el 11 de enero de 2027. Sin estos endpoints, las fases 4 y 5 no tienen fecha real.</w:t>
      </w:r>
    </w:p>
    <w:p>
      <w:pPr>
        <w:pStyle w:val="Heading2"/>
      </w:pPr>
      <w:r>
        <w:t xml:space="preserve">Qué cambia en Odoo 20 y cómo afecta al proyecto (Releases Notes)</w:t>
      </w:r>
    </w:p>
    <w:p>
      <w:pPr/>
      <w:r>
        <w:t xml:space="preserve">Dos cambios de Odoo 20 tocan directamente este proyecto: la seguridad se reescribió en un solo modelo y la nómina ya no usa entradas de trabajo. Los primeros cinco renglones se validaron en el código de la rama </w:t>
      </w:r>
      <w:r>
        <w:rPr>
          <w:rStyle w:val="CodeChar"/>
        </w:rPr>
        <w:t xml:space="preserve">20.0</w:t>
      </w:r>
      <w:r>
        <w:t xml:space="preserve"> de Odoo. Los marcados como </w:t>
      </w:r>
      <w:r>
        <w:rPr>
          <w:i/>
        </w:rPr>
        <w:t xml:space="preserve">reportado</w:t>
      </w:r>
      <w:r>
        <w:t xml:space="preserve"> vienen de publicaciones de terceros y están en análisis.</w:t>
      </w:r>
    </w:p>
    <w:tbl>
      <w:tblPr>
        <w:tblStyle w:val="TableGrid"/>
        <w:tblW w:w="0" w:type="auto"/>
        <w:tblLayout w:type="fixed"/>
        <w:tblLook w:val="04A0" w:firstRow="1" w:lastRow="0" w:firstColumn="0" w:lastColumn="0" w:noHBand="0" w:noVBand="1"/>
      </w:tblPr>
      <w:tblGrid>
        <w:gridCol w:w="3120"/>
        <w:gridCol w:w="3133"/>
        <w:gridCol w:w="3107"/>
      </w:tblGrid>
      <w:tr>
        <w:trPr>
          <w:tblHeader/>
        </w:trPr>
        <w:tc>
          <w:tcPr>
            <w:tcW w:w="3120" w:type="dxa"/>
            <w:shd w:val="clear" w:color="auto" w:fill="F2F2F2"/>
          </w:tcPr>
          <w:p>
            <w:pPr/>
            <w:r>
              <w:t xml:space="preserve">Cambio en Odoo 20</w:t>
            </w:r>
          </w:p>
        </w:tc>
        <w:tc>
          <w:tcPr>
            <w:tcW w:w="3133" w:type="dxa"/>
            <w:shd w:val="clear" w:color="auto" w:fill="F2F2F2"/>
          </w:tcPr>
          <w:p>
            <w:pPr/>
            <w:r>
              <w:t xml:space="preserve">Impacto en el proyecto</w:t>
            </w:r>
          </w:p>
        </w:tc>
        <w:tc>
          <w:tcPr>
            <w:tcW w:w="3107" w:type="dxa"/>
            <w:shd w:val="clear" w:color="auto" w:fill="F2F2F2"/>
          </w:tcPr>
          <w:p>
            <w:pPr/>
            <w:r>
              <w:t xml:space="preserve">Estado</w:t>
            </w:r>
          </w:p>
        </w:tc>
      </w:tr>
      <w:tr>
        <w:tc>
          <w:tcPr>
            <w:tcW w:w="3120" w:type="dxa"/>
          </w:tcPr>
          <w:p>
            <w:pPr/>
            <w:r>
              <w:t xml:space="preserve">Permisos y reglas de registro unificados en </w:t>
            </w:r>
            <w:r>
              <w:rPr>
                <w:rStyle w:val="CodeChar"/>
              </w:rPr>
              <w:t xml:space="preserve">ir.access</w:t>
            </w:r>
            <w:r>
              <w:t xml:space="preserve"> (</w:t>
            </w:r>
            <w:r>
              <w:rPr>
                <w:rStyle w:val="CodeChar"/>
              </w:rPr>
              <w:t xml:space="preserve">ir.access.csv</w:t>
            </w:r>
            <w:r>
              <w:t xml:space="preserve">); desaparecen </w:t>
            </w:r>
            <w:r>
              <w:rPr>
                <w:rStyle w:val="CodeChar"/>
              </w:rPr>
              <w:t xml:space="preserve">ir.model.access</w:t>
            </w:r>
            <w:r>
              <w:t xml:space="preserve"> e </w:t>
            </w:r>
            <w:r>
              <w:rPr>
                <w:rStyle w:val="CodeChar"/>
              </w:rPr>
              <w:t xml:space="preserve">ir.rule</w:t>
            </w:r>
          </w:p>
        </w:tc>
        <w:tc>
          <w:tcPr>
            <w:tcW w:w="3133" w:type="dxa"/>
          </w:tcPr>
          <w:p>
            <w:pPr/>
            <w:r>
              <w:t xml:space="preserve">El conector y los módulos nuevos definen sus permisos y su regla multicompañía en este formato, con pruebas automatizadas</w:t>
            </w:r>
          </w:p>
        </w:tc>
        <w:tc>
          <w:tcPr>
            <w:tcW w:w="3107" w:type="dxa"/>
          </w:tcPr>
          <w:p>
            <w:pPr/>
            <w:r>
              <w:t xml:space="preserve">Verificado · define Fase 2</w:t>
            </w:r>
          </w:p>
        </w:tc>
      </w:tr>
      <w:tr>
        <w:tc>
          <w:tcPr>
            <w:tcW w:w="3120" w:type="dxa"/>
          </w:tcPr>
          <w:p>
            <w:pPr/>
            <w:r>
              <w:rPr>
                <w:rStyle w:val="CodeChar"/>
              </w:rPr>
              <w:t xml:space="preserve">hr.work.entry</w:t>
            </w:r>
            <w:r>
              <w:t xml:space="preserve"> se elimina; las </w:t>
            </w:r>
            <w:r>
              <w:rPr>
                <w:b/>
              </w:rPr>
              <w:t xml:space="preserve">reglas de tiempo</w:t>
            </w:r>
            <w:r>
              <w:t xml:space="preserve"> (</w:t>
            </w:r>
            <w:r>
              <w:rPr>
                <w:rStyle w:val="CodeChar"/>
              </w:rPr>
              <w:t xml:space="preserve">hr.time.rule</w:t>
            </w:r>
            <w:r>
              <w:t xml:space="preserve">) se evalúan sobre asistencias (</w:t>
            </w:r>
            <w:r>
              <w:rPr>
                <w:rStyle w:val="CodeChar"/>
              </w:rPr>
              <w:t xml:space="preserve">hr.attendance</w:t>
            </w:r>
            <w:r>
              <w:t xml:space="preserve">) y ausencias (</w:t>
            </w:r>
            <w:r>
              <w:rPr>
                <w:rStyle w:val="CodeChar"/>
              </w:rPr>
              <w:t xml:space="preserve">hr.leave</w:t>
            </w:r>
            <w:r>
              <w:t xml:space="preserve">)</w:t>
            </w:r>
          </w:p>
        </w:tc>
        <w:tc>
          <w:tcPr>
            <w:tcW w:w="3133" w:type="dxa"/>
          </w:tcPr>
          <w:p>
            <w:pPr/>
            <w:r>
              <w:t xml:space="preserve">El checador de profesores debe aterrizar en </w:t>
            </w:r>
            <w:r>
              <w:rPr>
                <w:rStyle w:val="CodeChar"/>
              </w:rPr>
              <w:t xml:space="preserve">hr.attendance</w:t>
            </w:r>
            <w:r>
              <w:t xml:space="preserve">; horas extra, faltas y suplencias se calculan con reglas de tiempo</w:t>
            </w:r>
          </w:p>
        </w:tc>
        <w:tc>
          <w:tcPr>
            <w:tcW w:w="3107" w:type="dxa"/>
          </w:tcPr>
          <w:p>
            <w:pPr/>
            <w:r>
              <w:t xml:space="preserve">Verificado · define Fase 5</w:t>
            </w:r>
          </w:p>
        </w:tc>
      </w:tr>
      <w:tr>
        <w:tc>
          <w:tcPr>
            <w:tcW w:w="3120" w:type="dxa"/>
          </w:tcPr>
          <w:p>
            <w:pPr/>
            <w:r>
              <w:t xml:space="preserve">Contrato y salario viven en versiones del empleado (</w:t>
            </w:r>
            <w:r>
              <w:rPr>
                <w:rStyle w:val="CodeChar"/>
              </w:rPr>
              <w:t xml:space="preserve">hr.version</w:t>
            </w:r>
            <w:r>
              <w:t xml:space="preserve">)</w:t>
            </w:r>
          </w:p>
        </w:tc>
        <w:tc>
          <w:tcPr>
            <w:tcW w:w="3133" w:type="dxa"/>
          </w:tcPr>
          <w:p>
            <w:pPr/>
            <w:r>
              <w:t xml:space="preserve">La tarifa por hora del profesor se registra por versión, con historial</w:t>
            </w:r>
          </w:p>
        </w:tc>
        <w:tc>
          <w:tcPr>
            <w:tcW w:w="3107" w:type="dxa"/>
          </w:tcPr>
          <w:p>
            <w:pPr/>
            <w:r>
              <w:t xml:space="preserve">Verificado</w:t>
            </w:r>
          </w:p>
        </w:tc>
      </w:tr>
      <w:tr>
        <w:tc>
          <w:tcPr>
            <w:tcW w:w="3120" w:type="dxa"/>
          </w:tcPr>
          <w:p>
            <w:pPr/>
            <w:r>
              <w:rPr>
                <w:rStyle w:val="CodeChar"/>
              </w:rPr>
              <w:t xml:space="preserve">/xmlrpc</w:t>
            </w:r>
            <w:r>
              <w:t xml:space="preserve"> y </w:t>
            </w:r>
            <w:r>
              <w:rPr>
                <w:rStyle w:val="CodeChar"/>
              </w:rPr>
              <w:t xml:space="preserve">/jsonrpc</w:t>
            </w:r>
            <w:r>
              <w:t xml:space="preserve"> obsoletos, con retiro previsto en Odoo 22; reemplazo: </w:t>
            </w:r>
            <w:r>
              <w:rPr>
                <w:rStyle w:val="CodeChar"/>
              </w:rPr>
              <w:t xml:space="preserve">/json/2/&lt;modelo&gt;/&lt;método&gt;</w:t>
            </w:r>
            <w:r>
              <w:t xml:space="preserve"> con API key</w:t>
            </w:r>
          </w:p>
        </w:tc>
        <w:tc>
          <w:tcPr>
            <w:tcW w:w="3133" w:type="dxa"/>
          </w:tcPr>
          <w:p>
            <w:pPr/>
            <w:r>
              <w:t xml:space="preserve">El conector no se ve afectado: Odoo llama a SAEKO. Si SAEKO u otro sistema escribe en Odoo, debe usar JSON-2</w:t>
            </w:r>
          </w:p>
        </w:tc>
        <w:tc>
          <w:tcPr>
            <w:tcW w:w="3107" w:type="dxa"/>
          </w:tcPr>
          <w:p>
            <w:pPr/>
            <w:r>
              <w:t xml:space="preserve">Verificado</w:t>
            </w:r>
          </w:p>
        </w:tc>
      </w:tr>
      <w:tr>
        <w:tc>
          <w:tcPr>
            <w:tcW w:w="3120" w:type="dxa"/>
          </w:tcPr>
          <w:p>
            <w:pPr/>
            <w:r>
              <w:t xml:space="preserve">Python 3.12 a 3.14 y PostgreSQL 16 o superior</w:t>
            </w:r>
          </w:p>
        </w:tc>
        <w:tc>
          <w:tcPr>
            <w:tcW w:w="3133" w:type="dxa"/>
          </w:tcPr>
          <w:p>
            <w:pPr/>
            <w:r>
              <w:t xml:space="preserve">Define el ambiente de servidor propio u Odoo.sh</w:t>
            </w:r>
          </w:p>
        </w:tc>
        <w:tc>
          <w:tcPr>
            <w:tcW w:w="3107" w:type="dxa"/>
          </w:tcPr>
          <w:p>
            <w:pPr/>
            <w:r>
              <w:t xml:space="preserve">Verificado</w:t>
            </w:r>
          </w:p>
        </w:tc>
      </w:tr>
      <w:tr>
        <w:tc>
          <w:tcPr>
            <w:tcW w:w="3120" w:type="dxa"/>
          </w:tcPr>
          <w:p>
            <w:pPr/>
            <w:r>
              <w:t xml:space="preserve">Agente de IA que ejecuta acciones con aprobación del usuario; Odoo como cliente y servidor MCP</w:t>
            </w:r>
          </w:p>
        </w:tc>
        <w:tc>
          <w:tcPr>
            <w:tcW w:w="3133" w:type="dxa"/>
          </w:tcPr>
          <w:p>
            <w:pPr/>
            <w:r>
              <w:t xml:space="preserve">Consultas en lenguaje natural sobre alumnos y adeudos. Mejora opcional en Fase 6</w:t>
            </w:r>
          </w:p>
        </w:tc>
        <w:tc>
          <w:tcPr>
            <w:tcW w:w="3107" w:type="dxa"/>
          </w:tcPr>
          <w:p>
            <w:pPr/>
            <w:r>
              <w:t xml:space="preserve">Reportado</w:t>
            </w:r>
          </w:p>
        </w:tc>
      </w:tr>
      <w:tr>
        <w:tc>
          <w:tcPr>
            <w:tcW w:w="3120" w:type="dxa"/>
          </w:tcPr>
          <w:p>
            <w:pPr/>
            <w:r>
              <w:t xml:space="preserve">Nómina: tablero de avisos previos, simulador neto a bruto y localizaciones reajustadas</w:t>
            </w:r>
          </w:p>
        </w:tc>
        <w:tc>
          <w:tcPr>
            <w:tcW w:w="3133" w:type="dxa"/>
          </w:tcPr>
          <w:p>
            <w:pPr/>
            <w:r>
              <w:t xml:space="preserve">Validar que la nómina mexicana de Enterprise esté disponible en 20 durante el análisis (Fase 1)</w:t>
            </w:r>
          </w:p>
        </w:tc>
        <w:tc>
          <w:tcPr>
            <w:tcW w:w="3107" w:type="dxa"/>
          </w:tcPr>
          <w:p>
            <w:pPr/>
            <w:r>
              <w:t xml:space="preserve">Reportado</w:t>
            </w:r>
          </w:p>
        </w:tc>
      </w:tr>
      <w:tr>
        <w:tc>
          <w:tcPr>
            <w:tcW w:w="3120" w:type="dxa"/>
          </w:tcPr>
          <w:p>
            <w:pPr/>
            <w:r>
              <w:t xml:space="preserve">Nuevo esquema de licencia </w:t>
            </w:r>
            <w:r>
              <w:rPr>
                <w:i/>
              </w:rPr>
              <w:t xml:space="preserve">Light User</w:t>
            </w:r>
            <w:r>
              <w:t xml:space="preserve"> para empleados sin acceso completo (contrato Enterprise v13)</w:t>
            </w:r>
          </w:p>
        </w:tc>
        <w:tc>
          <w:tcPr>
            <w:tcW w:w="3133" w:type="dxa"/>
          </w:tcPr>
          <w:p>
            <w:pPr/>
            <w:r>
              <w:t xml:space="preserve">Los profesores que solo registren asistencia podrían caer en este esquema; revisar costos con Odoo</w:t>
            </w:r>
          </w:p>
        </w:tc>
        <w:tc>
          <w:tcPr>
            <w:tcW w:w="3107" w:type="dxa"/>
          </w:tcPr>
          <w:p>
            <w:pPr/>
            <w:r>
              <w:t xml:space="preserve">Reportado</w:t>
            </w:r>
          </w:p>
        </w:tc>
      </w:tr>
    </w:tbl>
    <w:p>
      <w:pPr/>
      <w:r>
        <w:t xml:space="preserve">Fuentes: Lanzamiento Odoo 20.0 en </w:t>
      </w:r>
      <w:hyperlink r:id="rId3" w:history="1">
        <w:r>
          <w:rPr>
            <w:rStyle w:val="Hyperlink"/>
          </w:rPr>
          <w:t xml:space="preserve">GitHub</w:t>
        </w:r>
      </w:hyperlink>
      <w:r>
        <w:t xml:space="preserve"> (</w:t>
      </w:r>
      <w:r>
        <w:rPr>
          <w:rStyle w:val="CodeChar"/>
        </w:rPr>
        <w:t xml:space="preserve">odoo/release.py</w:t>
      </w:r>
      <w:r>
        <w:t xml:space="preserve">, </w:t>
      </w:r>
      <w:r>
        <w:rPr>
          <w:rStyle w:val="CodeChar"/>
        </w:rPr>
        <w:t xml:space="preserve">ir_access.py</w:t>
      </w:r>
      <w:r>
        <w:t xml:space="preserve">, </w:t>
      </w:r>
      <w:r>
        <w:rPr>
          <w:rStyle w:val="CodeChar"/>
        </w:rPr>
        <w:t xml:space="preserve">hr_time_rule.py</w:t>
      </w:r>
      <w:r>
        <w:t xml:space="preserve">, </w:t>
      </w:r>
      <w:r>
        <w:rPr>
          <w:rStyle w:val="CodeChar"/>
        </w:rPr>
        <w:t xml:space="preserve">rpc/controllers</w:t>
      </w:r>
      <w:r>
        <w:t xml:space="preserve">); </w:t>
      </w:r>
      <w:hyperlink r:id="rId4" w:history="1">
        <w:r>
          <w:rPr>
            <w:rStyle w:val="Hyperlink"/>
          </w:rPr>
          <w:t xml:space="preserve">OEC.sh: Odoo 20 released</w:t>
        </w:r>
      </w:hyperlink>
      <w:r>
        <w:t xml:space="preserve">; </w:t>
      </w:r>
      <w:hyperlink r:id="rId5" w:history="1">
        <w:r>
          <w:rPr>
            <w:rStyle w:val="Hyperlink"/>
          </w:rPr>
          <w:t xml:space="preserve">Webkul: guía de migración a Odoo 20</w:t>
        </w:r>
      </w:hyperlink>
      <w:r>
        <w:t xml:space="preserve">.</w:t>
      </w:r>
    </w:p>
    <w:p>
      <w:pPr>
        <w:pStyle w:val="Heading2"/>
      </w:pPr>
      <w:r>
        <w:t xml:space="preserve">Fases de desarrollo e implementación</w:t>
      </w:r>
    </w:p>
    <w:p>
      <w:pPr/>
      <w:r>
        <w:t xml:space="preserve">Cada fase cierra con una compuerta medible, no se pasa a la siguiente sin cumplirla. Las duraciones son estimaciones en semanas hábiles para un equipo de 2 desarrolladores Odoo y 1 consultor funcional, y suman 14 semanas.</w:t>
      </w:r>
    </w:p>
    <w:tbl>
      <w:tblPr>
        <w:tblStyle w:val="TableGrid"/>
        <w:tblW w:w="0" w:type="auto"/>
        <w:tblLayout w:type="fixed"/>
        <w:tblLook w:val="04A0" w:firstRow="1" w:lastRow="0" w:firstColumn="0" w:lastColumn="0" w:noHBand="0" w:noVBand="1"/>
      </w:tblPr>
      <w:tblGrid>
        <w:gridCol w:w="1365"/>
        <w:gridCol w:w="1560"/>
        <w:gridCol w:w="2141"/>
        <w:gridCol w:w="1560"/>
        <w:gridCol w:w="1192"/>
        <w:gridCol w:w="1542"/>
      </w:tblGrid>
      <w:tr>
        <w:trPr>
          <w:tblHeader/>
        </w:trPr>
        <w:tc>
          <w:tcPr>
            <w:tcW w:w="1365" w:type="dxa"/>
            <w:shd w:val="clear" w:color="auto" w:fill="F2F2F2"/>
          </w:tcPr>
          <w:p>
            <w:pPr/>
            <w:r>
              <w:t xml:space="preserve">Fase</w:t>
            </w:r>
          </w:p>
        </w:tc>
        <w:tc>
          <w:tcPr>
            <w:tcW w:w="1560" w:type="dxa"/>
            <w:shd w:val="clear" w:color="auto" w:fill="F2F2F2"/>
          </w:tcPr>
          <w:p>
            <w:pPr/>
            <w:r>
              <w:t xml:space="preserve">Alcance</w:t>
            </w:r>
          </w:p>
        </w:tc>
        <w:tc>
          <w:tcPr>
            <w:tcW w:w="2141" w:type="dxa"/>
            <w:shd w:val="clear" w:color="auto" w:fill="F2F2F2"/>
          </w:tcPr>
          <w:p>
            <w:pPr/>
            <w:r>
              <w:t xml:space="preserve">Entregables</w:t>
            </w:r>
          </w:p>
        </w:tc>
        <w:tc>
          <w:tcPr>
            <w:tcW w:w="1560" w:type="dxa"/>
            <w:shd w:val="clear" w:color="auto" w:fill="F2F2F2"/>
          </w:tcPr>
          <w:p>
            <w:pPr/>
            <w:r>
              <w:t xml:space="preserve">Compuerta de salida</w:t>
            </w:r>
          </w:p>
        </w:tc>
        <w:tc>
          <w:tcPr>
            <w:tcW w:w="1192" w:type="dxa"/>
            <w:shd w:val="clear" w:color="auto" w:fill="F2F2F2"/>
          </w:tcPr>
          <w:p>
            <w:pPr/>
            <w:r>
              <w:t xml:space="preserve">Semanas</w:t>
            </w:r>
          </w:p>
        </w:tc>
        <w:tc>
          <w:tcPr>
            <w:tcW w:w="1542" w:type="dxa"/>
            <w:shd w:val="clear" w:color="auto" w:fill="F2F2F2"/>
          </w:tcPr>
          <w:p>
            <w:pPr/>
            <w:r>
              <w:t xml:space="preserve">Depende de</w:t>
            </w:r>
          </w:p>
        </w:tc>
      </w:tr>
      <w:tr>
        <w:tc>
          <w:tcPr>
            <w:tcW w:w="1365" w:type="dxa"/>
          </w:tcPr>
          <w:p>
            <w:pPr/>
            <w:r>
              <w:rPr>
                <w:b/>
              </w:rPr>
              <w:t xml:space="preserve">1. Análisis y diseño</w:t>
            </w:r>
          </w:p>
        </w:tc>
        <w:tc>
          <w:tcPr>
            <w:tcW w:w="1560" w:type="dxa"/>
          </w:tcPr>
          <w:p>
            <w:pPr/>
            <w:r>
              <w:t xml:space="preserve">API de SAEKO, procesos de la universidad, decisiones clave, ambientes</w:t>
            </w:r>
          </w:p>
        </w:tc>
        <w:tc>
          <w:tcPr>
            <w:tcW w:w="2141" w:type="dxa"/>
          </w:tcPr>
          <w:p>
            <w:pPr/>
            <w:r>
              <w:t xml:space="preserve">Matriz de los 25 requerimientos contra la API de SAEKO; preguntas a SAEKO respondidas; diseño de arquitectura y modelo de datos; ambientes Odoo 20 de desarrollo, staging y producción; repositorio con rama </w:t>
            </w:r>
            <w:r>
              <w:rPr>
                <w:rStyle w:val="CodeChar"/>
              </w:rPr>
              <w:t xml:space="preserve">20.0</w:t>
            </w:r>
          </w:p>
        </w:tc>
        <w:tc>
          <w:tcPr>
            <w:tcW w:w="1560" w:type="dxa"/>
          </w:tcPr>
          <w:p>
            <w:pPr/>
            <w:r>
              <w:t xml:space="preserve">Las 4 decisiones del resumen tomadas por escrito y credenciales SAEKO de sandbox entregadas</w:t>
            </w:r>
          </w:p>
        </w:tc>
        <w:tc>
          <w:tcPr>
            <w:tcW w:w="1192" w:type="dxa"/>
          </w:tcPr>
          <w:p>
            <w:pPr/>
            <w:r>
              <w:t xml:space="preserve">2</w:t>
            </w:r>
          </w:p>
        </w:tc>
        <w:tc>
          <w:tcPr>
            <w:tcW w:w="1542" w:type="dxa"/>
          </w:tcPr>
          <w:p>
            <w:pPr/>
            <w:r>
              <w:t xml:space="preserve">Universidad, SAEKO</w:t>
            </w:r>
          </w:p>
        </w:tc>
      </w:tr>
      <w:tr>
        <w:tc>
          <w:tcPr>
            <w:tcW w:w="1365" w:type="dxa"/>
          </w:tcPr>
          <w:p>
            <w:pPr/>
            <w:r>
              <w:rPr>
                <w:b/>
              </w:rPr>
              <w:t xml:space="preserve">2. Desarrollo del conector</w:t>
            </w:r>
          </w:p>
        </w:tc>
        <w:tc>
          <w:tcPr>
            <w:tcW w:w="1560" w:type="dxa"/>
          </w:tcPr>
          <w:p>
            <w:pPr/>
            <w:r>
              <w:t xml:space="preserve">Módulo </w:t>
            </w:r>
            <w:r>
              <w:rPr>
                <w:rStyle w:val="CodeChar"/>
              </w:rPr>
              <w:t xml:space="preserve">saeko_connector</w:t>
            </w:r>
            <w:r>
              <w:t xml:space="preserve">: conexión, bitácora, datos crudos, sincronización programada</w:t>
            </w:r>
          </w:p>
        </w:tc>
        <w:tc>
          <w:tcPr>
            <w:tcW w:w="2141" w:type="dxa"/>
          </w:tcPr>
          <w:p>
            <w:pPr/>
            <w:r>
              <w:t xml:space="preserve">Autenticación OAuth2 JWT con renovación de token; bitácora de cada llamada con secretos ocultos; datos crudos con versión e historial; catálogo de endpoints configurable; crons; explorador de API; pruebas automatizadas; primera carga completa desde SAEKO</w:t>
            </w:r>
          </w:p>
        </w:tc>
        <w:tc>
          <w:tcPr>
            <w:tcW w:w="1560" w:type="dxa"/>
          </w:tcPr>
          <w:p>
            <w:pPr/>
            <w:r>
              <w:t xml:space="preserve">Prueba de conexión verde contra SAEKO y carga cruda de todos los recursos documentados sin errores</w:t>
            </w:r>
          </w:p>
        </w:tc>
        <w:tc>
          <w:tcPr>
            <w:tcW w:w="1192" w:type="dxa"/>
          </w:tcPr>
          <w:p>
            <w:pPr/>
            <w:r>
              <w:t xml:space="preserve">2</w:t>
            </w:r>
          </w:p>
        </w:tc>
        <w:tc>
          <w:tcPr>
            <w:tcW w:w="1542" w:type="dxa"/>
          </w:tcPr>
          <w:p>
            <w:pPr/>
            <w:r>
              <w:t xml:space="preserve">Fase 1</w:t>
            </w:r>
          </w:p>
        </w:tc>
      </w:tr>
      <w:tr>
        <w:tc>
          <w:tcPr>
            <w:tcW w:w="1365" w:type="dxa"/>
          </w:tcPr>
          <w:p>
            <w:pPr/>
            <w:r>
              <w:rPr>
                <w:b/>
              </w:rPr>
              <w:t xml:space="preserve">3. Maestro académico</w:t>
            </w:r>
          </w:p>
        </w:tc>
        <w:tc>
          <w:tcPr>
            <w:tcW w:w="1560" w:type="dxa"/>
          </w:tcPr>
          <w:p>
            <w:pPr/>
            <w:r>
              <w:t xml:space="preserve">Alumnos, profesores, planteles, ciclos, programas, grupos, materias, becas</w:t>
            </w:r>
          </w:p>
        </w:tc>
        <w:tc>
          <w:tcPr>
            <w:tcW w:w="2141" w:type="dxa"/>
          </w:tcPr>
          <w:p>
            <w:pPr/>
            <w:r>
              <w:t xml:space="preserve">Módulo </w:t>
            </w:r>
            <w:r>
              <w:rPr>
                <w:rStyle w:val="CodeChar"/>
              </w:rPr>
              <w:t xml:space="preserve">saeko_academic</w:t>
            </w:r>
            <w:r>
              <w:t xml:space="preserve">: modelos académicos, alumnos como contactos, profesores como empleados, ficha académica por alumno, becas por inscripción, con trazabilidad al dato crudo</w:t>
            </w:r>
          </w:p>
        </w:tc>
        <w:tc>
          <w:tcPr>
            <w:tcW w:w="1560" w:type="dxa"/>
          </w:tcPr>
          <w:p>
            <w:pPr/>
            <w:r>
              <w:t xml:space="preserve">Conteos de alumnos y profesores por plantel y programa cuadran al 100 % con SAEKO</w:t>
            </w:r>
          </w:p>
        </w:tc>
        <w:tc>
          <w:tcPr>
            <w:tcW w:w="1192" w:type="dxa"/>
          </w:tcPr>
          <w:p>
            <w:pPr/>
            <w:r>
              <w:t xml:space="preserve">3</w:t>
            </w:r>
          </w:p>
        </w:tc>
        <w:tc>
          <w:tcPr>
            <w:tcW w:w="1542" w:type="dxa"/>
          </w:tcPr>
          <w:p>
            <w:pPr/>
            <w:r>
              <w:t xml:space="preserve">Fase 2</w:t>
            </w:r>
          </w:p>
        </w:tc>
      </w:tr>
      <w:tr>
        <w:tc>
          <w:tcPr>
            <w:tcW w:w="1365" w:type="dxa"/>
          </w:tcPr>
          <w:p>
            <w:pPr/>
            <w:r>
              <w:rPr>
                <w:b/>
              </w:rPr>
              <w:t xml:space="preserve">4. Finanzas de alumnos</w:t>
            </w:r>
          </w:p>
        </w:tc>
        <w:tc>
          <w:tcPr>
            <w:tcW w:w="1560" w:type="dxa"/>
          </w:tcPr>
          <w:p>
            <w:pPr/>
            <w:r>
              <w:t xml:space="preserve">Conceptos, cargos, pagos, facturas y CFDI, adeudos, condonaciones</w:t>
            </w:r>
          </w:p>
        </w:tc>
        <w:tc>
          <w:tcPr>
            <w:tcW w:w="2141" w:type="dxa"/>
          </w:tcPr>
          <w:p>
            <w:pPr/>
            <w:r>
              <w:t xml:space="preserve">Módulo </w:t>
            </w:r>
            <w:r>
              <w:rPr>
                <w:rStyle w:val="CodeChar"/>
              </w:rPr>
              <w:t xml:space="preserve">saeko_account</w:t>
            </w:r>
            <w:r>
              <w:t xml:space="preserve">: productos por concepto; facturas de cliente; pagos con diario por método (pasarela, TPV, referenciado, transferencia) y forma de pago SAT; CFDI importado o timbrado; reporte de conciliación de adeudos</w:t>
            </w:r>
          </w:p>
        </w:tc>
        <w:tc>
          <w:tcPr>
            <w:tcW w:w="1560" w:type="dxa"/>
          </w:tcPr>
          <w:p>
            <w:pPr/>
            <w:r>
              <w:t xml:space="preserve">Saldo por alumno y por plantel cuadra con SAEKO en un corte de mes; contabilidad lo valida</w:t>
            </w:r>
          </w:p>
        </w:tc>
        <w:tc>
          <w:tcPr>
            <w:tcW w:w="1192" w:type="dxa"/>
          </w:tcPr>
          <w:p>
            <w:pPr/>
            <w:r>
              <w:t xml:space="preserve">3</w:t>
            </w:r>
          </w:p>
        </w:tc>
        <w:tc>
          <w:tcPr>
            <w:tcW w:w="1542" w:type="dxa"/>
          </w:tcPr>
          <w:p>
            <w:pPr/>
            <w:r>
              <w:t xml:space="preserve">Endpoints SAEKO de finanzas; decisión CFDI</w:t>
            </w:r>
          </w:p>
        </w:tc>
      </w:tr>
      <w:tr>
        <w:tc>
          <w:tcPr>
            <w:tcW w:w="1365" w:type="dxa"/>
          </w:tcPr>
          <w:p>
            <w:pPr/>
            <w:r>
              <w:rPr>
                <w:b/>
              </w:rPr>
              <w:t xml:space="preserve">5. Docentes y nómina</w:t>
            </w:r>
          </w:p>
        </w:tc>
        <w:tc>
          <w:tcPr>
            <w:tcW w:w="1560" w:type="dxa"/>
          </w:tcPr>
          <w:p>
            <w:pPr/>
            <w:r>
              <w:t xml:space="preserve">Carga horaria, horario, checador, carga dada, suplencias, incidencias, bonos</w:t>
            </w:r>
          </w:p>
        </w:tc>
        <w:tc>
          <w:tcPr>
            <w:tcW w:w="2141" w:type="dxa"/>
          </w:tcPr>
          <w:p>
            <w:pPr/>
            <w:r>
              <w:t xml:space="preserve">Módulo </w:t>
            </w:r>
            <w:r>
              <w:rPr>
                <w:rStyle w:val="CodeChar"/>
              </w:rPr>
              <w:t xml:space="preserve">saeko_hr</w:t>
            </w:r>
            <w:r>
              <w:t xml:space="preserve">: horario como calendario de trabajo; checador en Asistencias; reglas de tiempo para faltas, retardos y suplencias; incidencias con documentos adjuntos; bonos como entradas de nómina</w:t>
            </w:r>
          </w:p>
        </w:tc>
        <w:tc>
          <w:tcPr>
            <w:tcW w:w="1560" w:type="dxa"/>
          </w:tcPr>
          <w:p>
            <w:pPr/>
            <w:r>
              <w:t xml:space="preserve">Una quincena de nómina en paralelo con diferencia cero contra el proceso actual</w:t>
            </w:r>
          </w:p>
        </w:tc>
        <w:tc>
          <w:tcPr>
            <w:tcW w:w="1192" w:type="dxa"/>
          </w:tcPr>
          <w:p>
            <w:pPr/>
            <w:r>
              <w:t xml:space="preserve">2</w:t>
            </w:r>
          </w:p>
        </w:tc>
        <w:tc>
          <w:tcPr>
            <w:tcW w:w="1542" w:type="dxa"/>
          </w:tcPr>
          <w:p>
            <w:pPr/>
            <w:r>
              <w:t xml:space="preserve">Endpoints SAEKO docentes; Nómina Enterprise</w:t>
            </w:r>
          </w:p>
        </w:tc>
      </w:tr>
      <w:tr>
        <w:tc>
          <w:tcPr>
            <w:tcW w:w="1365" w:type="dxa"/>
          </w:tcPr>
          <w:p>
            <w:pPr/>
            <w:r>
              <w:rPr>
                <w:b/>
              </w:rPr>
              <w:t xml:space="preserve">6. Pruebas y salida a producción</w:t>
            </w:r>
          </w:p>
        </w:tc>
        <w:tc>
          <w:tcPr>
            <w:tcW w:w="1560" w:type="dxa"/>
          </w:tcPr>
          <w:p>
            <w:pPr/>
            <w:r>
              <w:t xml:space="preserve">Pruebas integrales, reportes, capacitación, arranque</w:t>
            </w:r>
          </w:p>
        </w:tc>
        <w:tc>
          <w:tcPr>
            <w:tcW w:w="2141" w:type="dxa"/>
          </w:tcPr>
          <w:p>
            <w:pPr/>
            <w:r>
              <w:t xml:space="preserve">Pruebas de aceptación por área; tableros por plantel; alertas por correo cuando falla una sincronización; manuales; capacitación a contabilidad, nómina y control escolar; arranque</w:t>
            </w:r>
          </w:p>
        </w:tc>
        <w:tc>
          <w:tcPr>
            <w:tcW w:w="1560" w:type="dxa"/>
          </w:tcPr>
          <w:p>
            <w:pPr/>
            <w:r>
              <w:t xml:space="preserve">Un ciclo de cobranza y una quincena en producción sin incidentes críticos</w:t>
            </w:r>
          </w:p>
        </w:tc>
        <w:tc>
          <w:tcPr>
            <w:tcW w:w="1192" w:type="dxa"/>
          </w:tcPr>
          <w:p>
            <w:pPr/>
            <w:r>
              <w:t xml:space="preserve">2 + 2 de soporte</w:t>
            </w:r>
          </w:p>
        </w:tc>
        <w:tc>
          <w:tcPr>
            <w:tcW w:w="1542" w:type="dxa"/>
          </w:tcPr>
          <w:p>
            <w:pPr/>
            <w:r>
              <w:t xml:space="preserve">Fases 3 a 5</w:t>
            </w:r>
          </w:p>
        </w:tc>
      </w:tr>
    </w:tbl>
    <w:p>
      <w:pPr/>
      <w:r>
        <w:t xml:space="preserve">Las fases 4 y 5 son la ruta crítica: si SAEKO entrega tarde los endpoints, el calendario solo se protege adelantando la Fase 5 en paralelo con un desarrollador por módulo.</w:t>
      </w:r>
    </w:p>
    <w:p>
      <w:pPr>
        <w:pStyle w:val="Heading2"/>
      </w:pPr>
      <w:r>
        <w:t xml:space="preserve">Mapeo de requerimientos a Odoo 20</w:t>
      </w:r>
    </w:p>
    <w:p>
      <w:pPr/>
      <w:r>
        <w:t xml:space="preserve">Once de los 25 datos ya tienen fuente en SAEKO (7 completos, 4 parciales); los otros 14 dependen de endpoints que SAEKO no documenta. El destino en Odoo se eligió para usar módulos estándar siempre que existan.</w:t>
      </w:r>
    </w:p>
    <w:tbl>
      <w:tblPr>
        <w:tblStyle w:val="TableGrid"/>
        <w:tblW w:w="0" w:type="auto"/>
        <w:tblLayout w:type="fixed"/>
        <w:tblLook w:val="04A0" w:firstRow="1" w:lastRow="0" w:firstColumn="0" w:lastColumn="0" w:noHBand="0" w:noVBand="1"/>
      </w:tblPr>
      <w:tblGrid>
        <w:gridCol w:w="1895"/>
        <w:gridCol w:w="1872"/>
        <w:gridCol w:w="3411"/>
        <w:gridCol w:w="751"/>
        <w:gridCol w:w="1431"/>
      </w:tblGrid>
      <w:tr>
        <w:trPr>
          <w:tblHeader/>
        </w:trPr>
        <w:tc>
          <w:tcPr>
            <w:tcW w:w="1895" w:type="dxa"/>
            <w:shd w:val="clear" w:color="auto" w:fill="F2F2F2"/>
          </w:tcPr>
          <w:p>
            <w:pPr/>
            <w:r>
              <w:t xml:space="preserve">Requerimiento</w:t>
            </w:r>
          </w:p>
        </w:tc>
        <w:tc>
          <w:tcPr>
            <w:tcW w:w="1872" w:type="dxa"/>
            <w:shd w:val="clear" w:color="auto" w:fill="F2F2F2"/>
          </w:tcPr>
          <w:p>
            <w:pPr/>
            <w:r>
              <w:t xml:space="preserve">Fuente SAEKO</w:t>
            </w:r>
          </w:p>
        </w:tc>
        <w:tc>
          <w:tcPr>
            <w:tcW w:w="3411" w:type="dxa"/>
            <w:shd w:val="clear" w:color="auto" w:fill="F2F2F2"/>
          </w:tcPr>
          <w:p>
            <w:pPr/>
            <w:r>
              <w:t xml:space="preserve">Destino en Odoo 20</w:t>
            </w:r>
          </w:p>
        </w:tc>
        <w:tc>
          <w:tcPr>
            <w:tcW w:w="751" w:type="dxa"/>
            <w:shd w:val="clear" w:color="auto" w:fill="F2F2F2"/>
          </w:tcPr>
          <w:p>
            <w:pPr/>
            <w:r>
              <w:t xml:space="preserve">Fase</w:t>
            </w:r>
          </w:p>
        </w:tc>
        <w:tc>
          <w:tcPr>
            <w:tcW w:w="1431" w:type="dxa"/>
            <w:shd w:val="clear" w:color="auto" w:fill="F2F2F2"/>
          </w:tcPr>
          <w:p>
            <w:pPr/>
            <w:r>
              <w:t xml:space="preserve">API SAEKO</w:t>
            </w:r>
          </w:p>
        </w:tc>
      </w:tr>
      <w:tr>
        <w:tc>
          <w:tcPr>
            <w:tcW w:w="1895" w:type="dxa"/>
          </w:tcPr>
          <w:p>
            <w:pPr/>
            <w:r>
              <w:rPr>
                <w:b/>
              </w:rPr>
              <w:t xml:space="preserve">Profesores</w:t>
            </w:r>
          </w:p>
        </w:tc>
        <w:tc>
          <w:tcPr>
            <w:tcW w:w="1872" w:type="dxa"/>
          </w:tcPr>
          <w:p>
            <w:pPr/>
          </w:p>
        </w:tc>
        <w:tc>
          <w:tcPr>
            <w:tcW w:w="3411" w:type="dxa"/>
          </w:tcPr>
          <w:p>
            <w:pPr/>
          </w:p>
        </w:tc>
        <w:tc>
          <w:tcPr>
            <w:tcW w:w="751" w:type="dxa"/>
          </w:tcPr>
          <w:p>
            <w:pPr/>
          </w:p>
        </w:tc>
        <w:tc>
          <w:tcPr>
            <w:tcW w:w="1431" w:type="dxa"/>
          </w:tcPr>
          <w:p>
            <w:pPr/>
          </w:p>
        </w:tc>
      </w:tr>
      <w:tr>
        <w:tc>
          <w:tcPr>
            <w:tcW w:w="1895" w:type="dxa"/>
          </w:tcPr>
          <w:p>
            <w:pPr/>
            <w:r>
              <w:t xml:space="preserve">Contacto: nombre, CURP, RFC, grado de estudios</w:t>
            </w:r>
          </w:p>
        </w:tc>
        <w:tc>
          <w:tcPr>
            <w:tcW w:w="1872" w:type="dxa"/>
          </w:tcPr>
          <w:p>
            <w:pPr/>
            <w:r>
              <w:t xml:space="preserve">Employee</w:t>
            </w:r>
          </w:p>
        </w:tc>
        <w:tc>
          <w:tcPr>
            <w:tcW w:w="3411" w:type="dxa"/>
          </w:tcPr>
          <w:p>
            <w:pPr/>
            <w:r>
              <w:t xml:space="preserve">Empleado (</w:t>
            </w:r>
            <w:r>
              <w:rPr>
                <w:rStyle w:val="CodeChar"/>
              </w:rPr>
              <w:t xml:space="preserve">hr.employee</w:t>
            </w:r>
            <w:r>
              <w:t xml:space="preserve">) + contacto; grado en datos de formación</w:t>
            </w:r>
          </w:p>
        </w:tc>
        <w:tc>
          <w:tcPr>
            <w:tcW w:w="751" w:type="dxa"/>
          </w:tcPr>
          <w:p>
            <w:pPr/>
            <w:r>
              <w:t xml:space="preserve">3</w:t>
            </w:r>
          </w:p>
        </w:tc>
        <w:tc>
          <w:tcPr>
            <w:tcW w:w="1431" w:type="dxa"/>
          </w:tcPr>
          <w:p>
            <w:pPr/>
            <w:r>
              <w:t xml:space="preserve">Completo</w:t>
            </w:r>
          </w:p>
        </w:tc>
      </w:tr>
      <w:tr>
        <w:tc>
          <w:tcPr>
            <w:tcW w:w="1895" w:type="dxa"/>
          </w:tcPr>
          <w:p>
            <w:pPr/>
            <w:r>
              <w:t xml:space="preserve">Tarifas</w:t>
            </w:r>
          </w:p>
        </w:tc>
        <w:tc>
          <w:tcPr>
            <w:tcW w:w="1872" w:type="dxa"/>
          </w:tcPr>
          <w:p>
            <w:pPr/>
            <w:r>
              <w:rPr>
                <w:rStyle w:val="CodeChar"/>
              </w:rPr>
              <w:t xml:space="preserve">Employee.cost_per_hour</w:t>
            </w:r>
          </w:p>
        </w:tc>
        <w:tc>
          <w:tcPr>
            <w:tcW w:w="3411" w:type="dxa"/>
          </w:tcPr>
          <w:p>
            <w:pPr/>
            <w:r>
              <w:t xml:space="preserve">Versión del empleado (</w:t>
            </w:r>
            <w:r>
              <w:rPr>
                <w:rStyle w:val="CodeChar"/>
              </w:rPr>
              <w:t xml:space="preserve">hr.version</w:t>
            </w:r>
            <w:r>
              <w:t xml:space="preserve">) con tarifa por hora</w:t>
            </w:r>
          </w:p>
        </w:tc>
        <w:tc>
          <w:tcPr>
            <w:tcW w:w="751" w:type="dxa"/>
          </w:tcPr>
          <w:p>
            <w:pPr/>
            <w:r>
              <w:t xml:space="preserve">3</w:t>
            </w:r>
          </w:p>
        </w:tc>
        <w:tc>
          <w:tcPr>
            <w:tcW w:w="1431" w:type="dxa"/>
          </w:tcPr>
          <w:p>
            <w:pPr/>
            <w:r>
              <w:t xml:space="preserve">Parcial: una sola tarifa</w:t>
            </w:r>
          </w:p>
        </w:tc>
      </w:tr>
      <w:tr>
        <w:tc>
          <w:tcPr>
            <w:tcW w:w="1895" w:type="dxa"/>
          </w:tcPr>
          <w:p>
            <w:pPr/>
            <w:r>
              <w:t xml:space="preserve">Carga horaria: horario, plantel, modalidad, programa</w:t>
            </w:r>
          </w:p>
        </w:tc>
        <w:tc>
          <w:tcPr>
            <w:tcW w:w="1872" w:type="dxa"/>
          </w:tcPr>
          <w:p>
            <w:pPr/>
            <w:r>
              <w:t xml:space="preserve">Course + Group</w:t>
            </w:r>
          </w:p>
        </w:tc>
        <w:tc>
          <w:tcPr>
            <w:tcW w:w="3411" w:type="dxa"/>
          </w:tcPr>
          <w:p>
            <w:pPr/>
            <w:r>
              <w:t xml:space="preserve">Curso académico ligado a empleado; horario como calendario de trabajo</w:t>
            </w:r>
          </w:p>
        </w:tc>
        <w:tc>
          <w:tcPr>
            <w:tcW w:w="751" w:type="dxa"/>
          </w:tcPr>
          <w:p>
            <w:pPr/>
            <w:r>
              <w:t xml:space="preserve">3 y 5</w:t>
            </w:r>
          </w:p>
        </w:tc>
        <w:tc>
          <w:tcPr>
            <w:tcW w:w="1431" w:type="dxa"/>
          </w:tcPr>
          <w:p>
            <w:pPr/>
            <w:r>
              <w:t xml:space="preserve">Parcial: sin horario</w:t>
            </w:r>
          </w:p>
        </w:tc>
      </w:tr>
      <w:tr>
        <w:tc>
          <w:tcPr>
            <w:tcW w:w="1895" w:type="dxa"/>
          </w:tcPr>
          <w:p>
            <w:pPr/>
            <w:r>
              <w:t xml:space="preserve">Carga dada</w:t>
            </w:r>
          </w:p>
        </w:tc>
        <w:tc>
          <w:tcPr>
            <w:tcW w:w="1872" w:type="dxa"/>
          </w:tcPr>
          <w:p>
            <w:pPr/>
            <w:r>
              <w:t xml:space="preserve">—</w:t>
            </w:r>
          </w:p>
        </w:tc>
        <w:tc>
          <w:tcPr>
            <w:tcW w:w="3411" w:type="dxa"/>
          </w:tcPr>
          <w:p>
            <w:pPr/>
            <w:r>
              <w:t xml:space="preserve">Asistencias (</w:t>
            </w:r>
            <w:r>
              <w:rPr>
                <w:rStyle w:val="CodeChar"/>
              </w:rPr>
              <w:t xml:space="preserve">hr.attendance</w:t>
            </w:r>
            <w:r>
              <w:t xml:space="preserve">) contra horario, vía reglas de tiempo</w:t>
            </w:r>
          </w:p>
        </w:tc>
        <w:tc>
          <w:tcPr>
            <w:tcW w:w="751" w:type="dxa"/>
          </w:tcPr>
          <w:p>
            <w:pPr/>
            <w:r>
              <w:t xml:space="preserve">5</w:t>
            </w:r>
          </w:p>
        </w:tc>
        <w:tc>
          <w:tcPr>
            <w:tcW w:w="1431" w:type="dxa"/>
          </w:tcPr>
          <w:p>
            <w:pPr/>
            <w:r>
              <w:t xml:space="preserve">Sin endpoint</w:t>
            </w:r>
          </w:p>
        </w:tc>
      </w:tr>
      <w:tr>
        <w:tc>
          <w:tcPr>
            <w:tcW w:w="1895" w:type="dxa"/>
          </w:tcPr>
          <w:p>
            <w:pPr/>
            <w:r>
              <w:t xml:space="preserve">Registros de asistencia y checador</w:t>
            </w:r>
          </w:p>
        </w:tc>
        <w:tc>
          <w:tcPr>
            <w:tcW w:w="1872" w:type="dxa"/>
          </w:tcPr>
          <w:p>
            <w:pPr/>
            <w:r>
              <w:t xml:space="preserve">GateAccessLog</w:t>
            </w:r>
          </w:p>
        </w:tc>
        <w:tc>
          <w:tcPr>
            <w:tcW w:w="3411" w:type="dxa"/>
          </w:tcPr>
          <w:p>
            <w:pPr/>
            <w:r>
              <w:t xml:space="preserve">Asistencias (</w:t>
            </w:r>
            <w:r>
              <w:rPr>
                <w:rStyle w:val="CodeChar"/>
              </w:rPr>
              <w:t xml:space="preserve">hr.attendance</w:t>
            </w:r>
            <w:r>
              <w:t xml:space="preserve">)</w:t>
            </w:r>
          </w:p>
        </w:tc>
        <w:tc>
          <w:tcPr>
            <w:tcW w:w="751" w:type="dxa"/>
          </w:tcPr>
          <w:p>
            <w:pPr/>
            <w:r>
              <w:t xml:space="preserve">5</w:t>
            </w:r>
          </w:p>
        </w:tc>
        <w:tc>
          <w:tcPr>
            <w:tcW w:w="1431" w:type="dxa"/>
          </w:tcPr>
          <w:p>
            <w:pPr/>
            <w:r>
              <w:t xml:space="preserve">Parcial: solo alta</w:t>
            </w:r>
          </w:p>
        </w:tc>
      </w:tr>
      <w:tr>
        <w:tc>
          <w:tcPr>
            <w:tcW w:w="1895" w:type="dxa"/>
          </w:tcPr>
          <w:p>
            <w:pPr/>
            <w:r>
              <w:t xml:space="preserve">Incidencias por suplencia</w:t>
            </w:r>
          </w:p>
        </w:tc>
        <w:tc>
          <w:tcPr>
            <w:tcW w:w="1872" w:type="dxa"/>
          </w:tcPr>
          <w:p>
            <w:pPr/>
            <w:r>
              <w:t xml:space="preserve">—</w:t>
            </w:r>
          </w:p>
        </w:tc>
        <w:tc>
          <w:tcPr>
            <w:tcW w:w="3411" w:type="dxa"/>
          </w:tcPr>
          <w:p>
            <w:pPr/>
            <w:r>
              <w:t xml:space="preserve">Ausencia del titular + asistencia del suplente; regla de tiempo</w:t>
            </w:r>
          </w:p>
        </w:tc>
        <w:tc>
          <w:tcPr>
            <w:tcW w:w="751" w:type="dxa"/>
          </w:tcPr>
          <w:p>
            <w:pPr/>
            <w:r>
              <w:t xml:space="preserve">5</w:t>
            </w:r>
          </w:p>
        </w:tc>
        <w:tc>
          <w:tcPr>
            <w:tcW w:w="1431" w:type="dxa"/>
          </w:tcPr>
          <w:p>
            <w:pPr/>
            <w:r>
              <w:t xml:space="preserve">Sin endpoint</w:t>
            </w:r>
          </w:p>
        </w:tc>
      </w:tr>
      <w:tr>
        <w:tc>
          <w:tcPr>
            <w:tcW w:w="1895" w:type="dxa"/>
          </w:tcPr>
          <w:p>
            <w:pPr/>
            <w:r>
              <w:t xml:space="preserve">Documentación de incidencias</w:t>
            </w:r>
          </w:p>
        </w:tc>
        <w:tc>
          <w:tcPr>
            <w:tcW w:w="1872" w:type="dxa"/>
          </w:tcPr>
          <w:p>
            <w:pPr/>
            <w:r>
              <w:t xml:space="preserve">—</w:t>
            </w:r>
          </w:p>
        </w:tc>
        <w:tc>
          <w:tcPr>
            <w:tcW w:w="3411" w:type="dxa"/>
          </w:tcPr>
          <w:p>
            <w:pPr/>
            <w:r>
              <w:t xml:space="preserve">Adjuntos en la incidencia</w:t>
            </w:r>
          </w:p>
        </w:tc>
        <w:tc>
          <w:tcPr>
            <w:tcW w:w="751" w:type="dxa"/>
          </w:tcPr>
          <w:p>
            <w:pPr/>
            <w:r>
              <w:t xml:space="preserve">5</w:t>
            </w:r>
          </w:p>
        </w:tc>
        <w:tc>
          <w:tcPr>
            <w:tcW w:w="1431" w:type="dxa"/>
          </w:tcPr>
          <w:p>
            <w:pPr/>
            <w:r>
              <w:t xml:space="preserve">Sin endpoint</w:t>
            </w:r>
          </w:p>
        </w:tc>
      </w:tr>
      <w:tr>
        <w:tc>
          <w:tcPr>
            <w:tcW w:w="1895" w:type="dxa"/>
          </w:tcPr>
          <w:p>
            <w:pPr/>
            <w:r>
              <w:t xml:space="preserve">Bonos</w:t>
            </w:r>
          </w:p>
        </w:tc>
        <w:tc>
          <w:tcPr>
            <w:tcW w:w="1872" w:type="dxa"/>
          </w:tcPr>
          <w:p>
            <w:pPr/>
            <w:r>
              <w:t xml:space="preserve">—</w:t>
            </w:r>
          </w:p>
        </w:tc>
        <w:tc>
          <w:tcPr>
            <w:tcW w:w="3411" w:type="dxa"/>
          </w:tcPr>
          <w:p>
            <w:pPr/>
            <w:r>
              <w:t xml:space="preserve">Entrada de nómina (Nómina Enterprise)</w:t>
            </w:r>
          </w:p>
        </w:tc>
        <w:tc>
          <w:tcPr>
            <w:tcW w:w="751" w:type="dxa"/>
          </w:tcPr>
          <w:p>
            <w:pPr/>
            <w:r>
              <w:t xml:space="preserve">5</w:t>
            </w:r>
          </w:p>
        </w:tc>
        <w:tc>
          <w:tcPr>
            <w:tcW w:w="1431" w:type="dxa"/>
          </w:tcPr>
          <w:p>
            <w:pPr/>
            <w:r>
              <w:t xml:space="preserve">Sin endpoint</w:t>
            </w:r>
          </w:p>
        </w:tc>
      </w:tr>
      <w:tr>
        <w:tc>
          <w:tcPr>
            <w:tcW w:w="1895" w:type="dxa"/>
          </w:tcPr>
          <w:p>
            <w:pPr/>
            <w:r>
              <w:rPr>
                <w:b/>
              </w:rPr>
              <w:t xml:space="preserve">Alumnos</w:t>
            </w:r>
          </w:p>
        </w:tc>
        <w:tc>
          <w:tcPr>
            <w:tcW w:w="1872" w:type="dxa"/>
          </w:tcPr>
          <w:p>
            <w:pPr/>
          </w:p>
        </w:tc>
        <w:tc>
          <w:tcPr>
            <w:tcW w:w="3411" w:type="dxa"/>
          </w:tcPr>
          <w:p>
            <w:pPr/>
          </w:p>
        </w:tc>
        <w:tc>
          <w:tcPr>
            <w:tcW w:w="751" w:type="dxa"/>
          </w:tcPr>
          <w:p>
            <w:pPr/>
          </w:p>
        </w:tc>
        <w:tc>
          <w:tcPr>
            <w:tcW w:w="1431" w:type="dxa"/>
          </w:tcPr>
          <w:p>
            <w:pPr/>
          </w:p>
        </w:tc>
      </w:tr>
      <w:tr>
        <w:tc>
          <w:tcPr>
            <w:tcW w:w="1895" w:type="dxa"/>
          </w:tcPr>
          <w:p>
            <w:pPr/>
            <w:r>
              <w:t xml:space="preserve">Contacto</w:t>
            </w:r>
          </w:p>
        </w:tc>
        <w:tc>
          <w:tcPr>
            <w:tcW w:w="1872" w:type="dxa"/>
          </w:tcPr>
          <w:p>
            <w:pPr/>
            <w:r>
              <w:t xml:space="preserve">Student</w:t>
            </w:r>
          </w:p>
        </w:tc>
        <w:tc>
          <w:tcPr>
            <w:tcW w:w="3411" w:type="dxa"/>
          </w:tcPr>
          <w:p>
            <w:pPr/>
            <w:r>
              <w:t xml:space="preserve">Contacto (</w:t>
            </w:r>
            <w:r>
              <w:rPr>
                <w:rStyle w:val="CodeChar"/>
              </w:rPr>
              <w:t xml:space="preserve">res.partner</w:t>
            </w:r>
            <w:r>
              <w:t xml:space="preserve">) con matrícula y CURP; RFC en el campo fiscal</w:t>
            </w:r>
          </w:p>
        </w:tc>
        <w:tc>
          <w:tcPr>
            <w:tcW w:w="751" w:type="dxa"/>
          </w:tcPr>
          <w:p>
            <w:pPr/>
            <w:r>
              <w:t xml:space="preserve">3</w:t>
            </w:r>
          </w:p>
        </w:tc>
        <w:tc>
          <w:tcPr>
            <w:tcW w:w="1431" w:type="dxa"/>
          </w:tcPr>
          <w:p>
            <w:pPr/>
            <w:r>
              <w:t xml:space="preserve">Completo</w:t>
            </w:r>
          </w:p>
        </w:tc>
      </w:tr>
      <w:tr>
        <w:tc>
          <w:tcPr>
            <w:tcW w:w="1895" w:type="dxa"/>
          </w:tcPr>
          <w:p>
            <w:pPr/>
            <w:r>
              <w:t xml:space="preserve">Ciclo escolar</w:t>
            </w:r>
          </w:p>
        </w:tc>
        <w:tc>
          <w:tcPr>
            <w:tcW w:w="1872" w:type="dxa"/>
          </w:tcPr>
          <w:p>
            <w:pPr/>
            <w:r>
              <w:t xml:space="preserve">Term</w:t>
            </w:r>
          </w:p>
        </w:tc>
        <w:tc>
          <w:tcPr>
            <w:tcW w:w="3411" w:type="dxa"/>
          </w:tcPr>
          <w:p>
            <w:pPr/>
            <w:r>
              <w:t xml:space="preserve">Modelo académico de ciclo</w:t>
            </w:r>
          </w:p>
        </w:tc>
        <w:tc>
          <w:tcPr>
            <w:tcW w:w="751" w:type="dxa"/>
          </w:tcPr>
          <w:p>
            <w:pPr/>
            <w:r>
              <w:t xml:space="preserve">3</w:t>
            </w:r>
          </w:p>
        </w:tc>
        <w:tc>
          <w:tcPr>
            <w:tcW w:w="1431" w:type="dxa"/>
          </w:tcPr>
          <w:p>
            <w:pPr/>
            <w:r>
              <w:t xml:space="preserve">Completo</w:t>
            </w:r>
          </w:p>
        </w:tc>
      </w:tr>
      <w:tr>
        <w:tc>
          <w:tcPr>
            <w:tcW w:w="1895" w:type="dxa"/>
          </w:tcPr>
          <w:p>
            <w:pPr/>
            <w:r>
              <w:t xml:space="preserve">Estatus del alumno</w:t>
            </w:r>
          </w:p>
        </w:tc>
        <w:tc>
          <w:tcPr>
            <w:tcW w:w="1872" w:type="dxa"/>
          </w:tcPr>
          <w:p>
            <w:pPr/>
            <w:r>
              <w:t xml:space="preserve">Student + enrollments</w:t>
            </w:r>
          </w:p>
        </w:tc>
        <w:tc>
          <w:tcPr>
            <w:tcW w:w="3411" w:type="dxa"/>
          </w:tcPr>
          <w:p>
            <w:pPr/>
            <w:r>
              <w:t xml:space="preserve">Ficha académica por ciclo</w:t>
            </w:r>
          </w:p>
        </w:tc>
        <w:tc>
          <w:tcPr>
            <w:tcW w:w="751" w:type="dxa"/>
          </w:tcPr>
          <w:p>
            <w:pPr/>
            <w:r>
              <w:t xml:space="preserve">3</w:t>
            </w:r>
          </w:p>
        </w:tc>
        <w:tc>
          <w:tcPr>
            <w:tcW w:w="1431" w:type="dxa"/>
          </w:tcPr>
          <w:p>
            <w:pPr/>
            <w:r>
              <w:t xml:space="preserve">Parcial: modelo sin documentar</w:t>
            </w:r>
          </w:p>
        </w:tc>
      </w:tr>
      <w:tr>
        <w:tc>
          <w:tcPr>
            <w:tcW w:w="1895" w:type="dxa"/>
          </w:tcPr>
          <w:p>
            <w:pPr/>
            <w:r>
              <w:t xml:space="preserve">Plantel</w:t>
            </w:r>
          </w:p>
        </w:tc>
        <w:tc>
          <w:tcPr>
            <w:tcW w:w="1872" w:type="dxa"/>
          </w:tcPr>
          <w:p>
            <w:pPr/>
            <w:r>
              <w:t xml:space="preserve">School</w:t>
            </w:r>
          </w:p>
        </w:tc>
        <w:tc>
          <w:tcPr>
            <w:tcW w:w="3411" w:type="dxa"/>
          </w:tcPr>
          <w:p>
            <w:pPr/>
            <w:r>
              <w:t xml:space="preserve">Modelo académico + cuenta analítica por plantel</w:t>
            </w:r>
          </w:p>
        </w:tc>
        <w:tc>
          <w:tcPr>
            <w:tcW w:w="751" w:type="dxa"/>
          </w:tcPr>
          <w:p>
            <w:pPr/>
            <w:r>
              <w:t xml:space="preserve">3</w:t>
            </w:r>
          </w:p>
        </w:tc>
        <w:tc>
          <w:tcPr>
            <w:tcW w:w="1431" w:type="dxa"/>
          </w:tcPr>
          <w:p>
            <w:pPr/>
            <w:r>
              <w:t xml:space="preserve">Completo</w:t>
            </w:r>
          </w:p>
        </w:tc>
      </w:tr>
      <w:tr>
        <w:tc>
          <w:tcPr>
            <w:tcW w:w="1895" w:type="dxa"/>
          </w:tcPr>
          <w:p>
            <w:pPr/>
            <w:r>
              <w:t xml:space="preserve">Nivel</w:t>
            </w:r>
          </w:p>
        </w:tc>
        <w:tc>
          <w:tcPr>
            <w:tcW w:w="1872" w:type="dxa"/>
          </w:tcPr>
          <w:p>
            <w:pPr/>
            <w:r>
              <w:rPr>
                <w:rStyle w:val="CodeChar"/>
              </w:rPr>
              <w:t xml:space="preserve">Program.level</w:t>
            </w:r>
          </w:p>
        </w:tc>
        <w:tc>
          <w:tcPr>
            <w:tcW w:w="3411" w:type="dxa"/>
          </w:tcPr>
          <w:p>
            <w:pPr/>
            <w:r>
              <w:t xml:space="preserve">Programa académico</w:t>
            </w:r>
          </w:p>
        </w:tc>
        <w:tc>
          <w:tcPr>
            <w:tcW w:w="751" w:type="dxa"/>
          </w:tcPr>
          <w:p>
            <w:pPr/>
            <w:r>
              <w:t xml:space="preserve">3</w:t>
            </w:r>
          </w:p>
        </w:tc>
        <w:tc>
          <w:tcPr>
            <w:tcW w:w="1431" w:type="dxa"/>
          </w:tcPr>
          <w:p>
            <w:pPr/>
            <w:r>
              <w:t xml:space="preserve">Completo</w:t>
            </w:r>
          </w:p>
        </w:tc>
      </w:tr>
      <w:tr>
        <w:tc>
          <w:tcPr>
            <w:tcW w:w="1895" w:type="dxa"/>
          </w:tcPr>
          <w:p>
            <w:pPr/>
            <w:r>
              <w:t xml:space="preserve">Programa</w:t>
            </w:r>
          </w:p>
        </w:tc>
        <w:tc>
          <w:tcPr>
            <w:tcW w:w="1872" w:type="dxa"/>
          </w:tcPr>
          <w:p>
            <w:pPr/>
            <w:r>
              <w:t xml:space="preserve">Program</w:t>
            </w:r>
          </w:p>
        </w:tc>
        <w:tc>
          <w:tcPr>
            <w:tcW w:w="3411" w:type="dxa"/>
          </w:tcPr>
          <w:p>
            <w:pPr/>
            <w:r>
              <w:t xml:space="preserve">Programa académico</w:t>
            </w:r>
          </w:p>
        </w:tc>
        <w:tc>
          <w:tcPr>
            <w:tcW w:w="751" w:type="dxa"/>
          </w:tcPr>
          <w:p>
            <w:pPr/>
            <w:r>
              <w:t xml:space="preserve">3</w:t>
            </w:r>
          </w:p>
        </w:tc>
        <w:tc>
          <w:tcPr>
            <w:tcW w:w="1431" w:type="dxa"/>
          </w:tcPr>
          <w:p>
            <w:pPr/>
            <w:r>
              <w:t xml:space="preserve">Completo</w:t>
            </w:r>
          </w:p>
        </w:tc>
      </w:tr>
      <w:tr>
        <w:tc>
          <w:tcPr>
            <w:tcW w:w="1895" w:type="dxa"/>
          </w:tcPr>
          <w:p>
            <w:pPr/>
            <w:r>
              <w:t xml:space="preserve">Concepto pagado</w:t>
            </w:r>
          </w:p>
        </w:tc>
        <w:tc>
          <w:tcPr>
            <w:tcW w:w="1872" w:type="dxa"/>
          </w:tcPr>
          <w:p>
            <w:pPr/>
            <w:r>
              <w:t xml:space="preserve">—</w:t>
            </w:r>
          </w:p>
        </w:tc>
        <w:tc>
          <w:tcPr>
            <w:tcW w:w="3411" w:type="dxa"/>
          </w:tcPr>
          <w:p>
            <w:pPr/>
            <w:r>
              <w:t xml:space="preserve">Producto por concepto en la factura</w:t>
            </w:r>
          </w:p>
        </w:tc>
        <w:tc>
          <w:tcPr>
            <w:tcW w:w="751" w:type="dxa"/>
          </w:tcPr>
          <w:p>
            <w:pPr/>
            <w:r>
              <w:t xml:space="preserve">4</w:t>
            </w:r>
          </w:p>
        </w:tc>
        <w:tc>
          <w:tcPr>
            <w:tcW w:w="1431" w:type="dxa"/>
          </w:tcPr>
          <w:p>
            <w:pPr/>
            <w:r>
              <w:t xml:space="preserve">Sin endpoint</w:t>
            </w:r>
          </w:p>
        </w:tc>
      </w:tr>
      <w:tr>
        <w:tc>
          <w:tcPr>
            <w:tcW w:w="1895" w:type="dxa"/>
          </w:tcPr>
          <w:p>
            <w:pPr/>
            <w:r>
              <w:t xml:space="preserve">Monto</w:t>
            </w:r>
          </w:p>
        </w:tc>
        <w:tc>
          <w:tcPr>
            <w:tcW w:w="1872" w:type="dxa"/>
          </w:tcPr>
          <w:p>
            <w:pPr/>
            <w:r>
              <w:t xml:space="preserve">—</w:t>
            </w:r>
          </w:p>
        </w:tc>
        <w:tc>
          <w:tcPr>
            <w:tcW w:w="3411" w:type="dxa"/>
          </w:tcPr>
          <w:p>
            <w:pPr/>
            <w:r>
              <w:t xml:space="preserve">Línea de factura</w:t>
            </w:r>
          </w:p>
        </w:tc>
        <w:tc>
          <w:tcPr>
            <w:tcW w:w="751" w:type="dxa"/>
          </w:tcPr>
          <w:p>
            <w:pPr/>
            <w:r>
              <w:t xml:space="preserve">4</w:t>
            </w:r>
          </w:p>
        </w:tc>
        <w:tc>
          <w:tcPr>
            <w:tcW w:w="1431" w:type="dxa"/>
          </w:tcPr>
          <w:p>
            <w:pPr/>
            <w:r>
              <w:t xml:space="preserve">Sin endpoint</w:t>
            </w:r>
          </w:p>
        </w:tc>
      </w:tr>
      <w:tr>
        <w:tc>
          <w:tcPr>
            <w:tcW w:w="1895" w:type="dxa"/>
          </w:tcPr>
          <w:p>
            <w:pPr/>
            <w:r>
              <w:t xml:space="preserve">Fechas del concepto</w:t>
            </w:r>
          </w:p>
        </w:tc>
        <w:tc>
          <w:tcPr>
            <w:tcW w:w="1872" w:type="dxa"/>
          </w:tcPr>
          <w:p>
            <w:pPr/>
            <w:r>
              <w:t xml:space="preserve">—</w:t>
            </w:r>
          </w:p>
        </w:tc>
        <w:tc>
          <w:tcPr>
            <w:tcW w:w="3411" w:type="dxa"/>
          </w:tcPr>
          <w:p>
            <w:pPr/>
            <w:r>
              <w:t xml:space="preserve">Fecha y vencimiento de factura</w:t>
            </w:r>
          </w:p>
        </w:tc>
        <w:tc>
          <w:tcPr>
            <w:tcW w:w="751" w:type="dxa"/>
          </w:tcPr>
          <w:p>
            <w:pPr/>
            <w:r>
              <w:t xml:space="preserve">4</w:t>
            </w:r>
          </w:p>
        </w:tc>
        <w:tc>
          <w:tcPr>
            <w:tcW w:w="1431" w:type="dxa"/>
          </w:tcPr>
          <w:p>
            <w:pPr/>
            <w:r>
              <w:t xml:space="preserve">Sin endpoint</w:t>
            </w:r>
          </w:p>
        </w:tc>
      </w:tr>
      <w:tr>
        <w:tc>
          <w:tcPr>
            <w:tcW w:w="1895" w:type="dxa"/>
          </w:tcPr>
          <w:p>
            <w:pPr/>
            <w:r>
              <w:t xml:space="preserve">Fecha de pago</w:t>
            </w:r>
          </w:p>
        </w:tc>
        <w:tc>
          <w:tcPr>
            <w:tcW w:w="1872" w:type="dxa"/>
          </w:tcPr>
          <w:p>
            <w:pPr/>
            <w:r>
              <w:t xml:space="preserve">—</w:t>
            </w:r>
          </w:p>
        </w:tc>
        <w:tc>
          <w:tcPr>
            <w:tcW w:w="3411" w:type="dxa"/>
          </w:tcPr>
          <w:p>
            <w:pPr/>
            <w:r>
              <w:t xml:space="preserve">Pago (</w:t>
            </w:r>
            <w:r>
              <w:rPr>
                <w:rStyle w:val="CodeChar"/>
              </w:rPr>
              <w:t xml:space="preserve">account.payment</w:t>
            </w:r>
            <w:r>
              <w:t xml:space="preserve">)</w:t>
            </w:r>
          </w:p>
        </w:tc>
        <w:tc>
          <w:tcPr>
            <w:tcW w:w="751" w:type="dxa"/>
          </w:tcPr>
          <w:p>
            <w:pPr/>
            <w:r>
              <w:t xml:space="preserve">4</w:t>
            </w:r>
          </w:p>
        </w:tc>
        <w:tc>
          <w:tcPr>
            <w:tcW w:w="1431" w:type="dxa"/>
          </w:tcPr>
          <w:p>
            <w:pPr/>
            <w:r>
              <w:t xml:space="preserve">Sin endpoint</w:t>
            </w:r>
          </w:p>
        </w:tc>
      </w:tr>
      <w:tr>
        <w:tc>
          <w:tcPr>
            <w:tcW w:w="1895" w:type="dxa"/>
          </w:tcPr>
          <w:p>
            <w:pPr/>
            <w:r>
              <w:t xml:space="preserve">Forma de pago (tarjeta, transferencia, débito, efectivo)</w:t>
            </w:r>
          </w:p>
        </w:tc>
        <w:tc>
          <w:tcPr>
            <w:tcW w:w="1872" w:type="dxa"/>
          </w:tcPr>
          <w:p>
            <w:pPr/>
            <w:r>
              <w:t xml:space="preserve">—</w:t>
            </w:r>
          </w:p>
        </w:tc>
        <w:tc>
          <w:tcPr>
            <w:tcW w:w="3411" w:type="dxa"/>
          </w:tcPr>
          <w:p>
            <w:pPr/>
            <w:r>
              <w:t xml:space="preserve">Forma de pago SAT en el pago</w:t>
            </w:r>
          </w:p>
        </w:tc>
        <w:tc>
          <w:tcPr>
            <w:tcW w:w="751" w:type="dxa"/>
          </w:tcPr>
          <w:p>
            <w:pPr/>
            <w:r>
              <w:t xml:space="preserve">4</w:t>
            </w:r>
          </w:p>
        </w:tc>
        <w:tc>
          <w:tcPr>
            <w:tcW w:w="1431" w:type="dxa"/>
          </w:tcPr>
          <w:p>
            <w:pPr/>
            <w:r>
              <w:t xml:space="preserve">Sin endpoint</w:t>
            </w:r>
          </w:p>
        </w:tc>
      </w:tr>
      <w:tr>
        <w:tc>
          <w:tcPr>
            <w:tcW w:w="1895" w:type="dxa"/>
          </w:tcPr>
          <w:p>
            <w:pPr/>
            <w:r>
              <w:t xml:space="preserve">Método de pago (pasarela, TPV, referenciado, transferencia)</w:t>
            </w:r>
          </w:p>
        </w:tc>
        <w:tc>
          <w:tcPr>
            <w:tcW w:w="1872" w:type="dxa"/>
          </w:tcPr>
          <w:p>
            <w:pPr/>
            <w:r>
              <w:t xml:space="preserve">—</w:t>
            </w:r>
          </w:p>
        </w:tc>
        <w:tc>
          <w:tcPr>
            <w:tcW w:w="3411" w:type="dxa"/>
          </w:tcPr>
          <w:p>
            <w:pPr/>
            <w:r>
              <w:t xml:space="preserve">Diario de pago por método</w:t>
            </w:r>
          </w:p>
        </w:tc>
        <w:tc>
          <w:tcPr>
            <w:tcW w:w="751" w:type="dxa"/>
          </w:tcPr>
          <w:p>
            <w:pPr/>
            <w:r>
              <w:t xml:space="preserve">4</w:t>
            </w:r>
          </w:p>
        </w:tc>
        <w:tc>
          <w:tcPr>
            <w:tcW w:w="1431" w:type="dxa"/>
          </w:tcPr>
          <w:p>
            <w:pPr/>
            <w:r>
              <w:t xml:space="preserve">Sin endpoint</w:t>
            </w:r>
          </w:p>
        </w:tc>
      </w:tr>
      <w:tr>
        <w:tc>
          <w:tcPr>
            <w:tcW w:w="1895" w:type="dxa"/>
          </w:tcPr>
          <w:p>
            <w:pPr/>
            <w:r>
              <w:t xml:space="preserve">Factura individual o global</w:t>
            </w:r>
          </w:p>
        </w:tc>
        <w:tc>
          <w:tcPr>
            <w:tcW w:w="1872" w:type="dxa"/>
          </w:tcPr>
          <w:p>
            <w:pPr/>
            <w:r>
              <w:t xml:space="preserve">—</w:t>
            </w:r>
          </w:p>
        </w:tc>
        <w:tc>
          <w:tcPr>
            <w:tcW w:w="3411" w:type="dxa"/>
          </w:tcPr>
          <w:p>
            <w:pPr/>
            <w:r>
              <w:t xml:space="preserve">Factura de cliente; factura global de la localización mexicana</w:t>
            </w:r>
          </w:p>
        </w:tc>
        <w:tc>
          <w:tcPr>
            <w:tcW w:w="751" w:type="dxa"/>
          </w:tcPr>
          <w:p>
            <w:pPr/>
            <w:r>
              <w:t xml:space="preserve">4</w:t>
            </w:r>
          </w:p>
        </w:tc>
        <w:tc>
          <w:tcPr>
            <w:tcW w:w="1431" w:type="dxa"/>
          </w:tcPr>
          <w:p>
            <w:pPr/>
            <w:r>
              <w:t xml:space="preserve">Sin endpoint</w:t>
            </w:r>
          </w:p>
        </w:tc>
      </w:tr>
      <w:tr>
        <w:tc>
          <w:tcPr>
            <w:tcW w:w="1895" w:type="dxa"/>
          </w:tcPr>
          <w:p>
            <w:pPr/>
            <w:r>
              <w:t xml:space="preserve">CFDI de cada concepto</w:t>
            </w:r>
          </w:p>
        </w:tc>
        <w:tc>
          <w:tcPr>
            <w:tcW w:w="1872" w:type="dxa"/>
          </w:tcPr>
          <w:p>
            <w:pPr/>
            <w:r>
              <w:t xml:space="preserve">—</w:t>
            </w:r>
          </w:p>
        </w:tc>
        <w:tc>
          <w:tcPr>
            <w:tcW w:w="3411" w:type="dxa"/>
          </w:tcPr>
          <w:p>
            <w:pPr/>
            <w:r>
              <w:t xml:space="preserve">Importado (UUID, XML, PDF) o timbrado en Odoo</w:t>
            </w:r>
          </w:p>
        </w:tc>
        <w:tc>
          <w:tcPr>
            <w:tcW w:w="751" w:type="dxa"/>
          </w:tcPr>
          <w:p>
            <w:pPr/>
            <w:r>
              <w:t xml:space="preserve">4</w:t>
            </w:r>
          </w:p>
        </w:tc>
        <w:tc>
          <w:tcPr>
            <w:tcW w:w="1431" w:type="dxa"/>
          </w:tcPr>
          <w:p>
            <w:pPr/>
            <w:r>
              <w:t xml:space="preserve">Sin endpoint</w:t>
            </w:r>
          </w:p>
        </w:tc>
      </w:tr>
      <w:tr>
        <w:tc>
          <w:tcPr>
            <w:tcW w:w="1895" w:type="dxa"/>
          </w:tcPr>
          <w:p>
            <w:pPr/>
            <w:r>
              <w:t xml:space="preserve">Adeudo</w:t>
            </w:r>
          </w:p>
        </w:tc>
        <w:tc>
          <w:tcPr>
            <w:tcW w:w="1872" w:type="dxa"/>
          </w:tcPr>
          <w:p>
            <w:pPr/>
            <w:r>
              <w:t xml:space="preserve">—</w:t>
            </w:r>
          </w:p>
        </w:tc>
        <w:tc>
          <w:tcPr>
            <w:tcW w:w="3411" w:type="dxa"/>
          </w:tcPr>
          <w:p>
            <w:pPr/>
            <w:r>
              <w:t xml:space="preserve">Saldo de cuentas por cobrar + reporte de conciliación</w:t>
            </w:r>
          </w:p>
        </w:tc>
        <w:tc>
          <w:tcPr>
            <w:tcW w:w="751" w:type="dxa"/>
          </w:tcPr>
          <w:p>
            <w:pPr/>
            <w:r>
              <w:t xml:space="preserve">4</w:t>
            </w:r>
          </w:p>
        </w:tc>
        <w:tc>
          <w:tcPr>
            <w:tcW w:w="1431" w:type="dxa"/>
          </w:tcPr>
          <w:p>
            <w:pPr/>
            <w:r>
              <w:t xml:space="preserve">Sin endpoint</w:t>
            </w:r>
          </w:p>
        </w:tc>
      </w:tr>
      <w:tr>
        <w:tc>
          <w:tcPr>
            <w:tcW w:w="1895" w:type="dxa"/>
          </w:tcPr>
          <w:p>
            <w:pPr/>
            <w:r>
              <w:t xml:space="preserve">Becas</w:t>
            </w:r>
          </w:p>
        </w:tc>
        <w:tc>
          <w:tcPr>
            <w:tcW w:w="1872" w:type="dxa"/>
          </w:tcPr>
          <w:p>
            <w:pPr/>
            <w:r>
              <w:t xml:space="preserve">ScholarshipType + Scholarship</w:t>
            </w:r>
          </w:p>
        </w:tc>
        <w:tc>
          <w:tcPr>
            <w:tcW w:w="3411" w:type="dxa"/>
          </w:tcPr>
          <w:p>
            <w:pPr/>
            <w:r>
              <w:t xml:space="preserve">Beca por inscripción; descuento en factura</w:t>
            </w:r>
          </w:p>
        </w:tc>
        <w:tc>
          <w:tcPr>
            <w:tcW w:w="751" w:type="dxa"/>
          </w:tcPr>
          <w:p>
            <w:pPr/>
            <w:r>
              <w:t xml:space="preserve">3 y 4</w:t>
            </w:r>
          </w:p>
        </w:tc>
        <w:tc>
          <w:tcPr>
            <w:tcW w:w="1431" w:type="dxa"/>
          </w:tcPr>
          <w:p>
            <w:pPr/>
            <w:r>
              <w:t xml:space="preserve">Completo</w:t>
            </w:r>
          </w:p>
        </w:tc>
      </w:tr>
      <w:tr>
        <w:tc>
          <w:tcPr>
            <w:tcW w:w="1895" w:type="dxa"/>
          </w:tcPr>
          <w:p>
            <w:pPr/>
            <w:r>
              <w:t xml:space="preserve">Condonaciones</w:t>
            </w:r>
          </w:p>
        </w:tc>
        <w:tc>
          <w:tcPr>
            <w:tcW w:w="1872" w:type="dxa"/>
          </w:tcPr>
          <w:p>
            <w:pPr/>
            <w:r>
              <w:t xml:space="preserve">—</w:t>
            </w:r>
          </w:p>
        </w:tc>
        <w:tc>
          <w:tcPr>
            <w:tcW w:w="3411" w:type="dxa"/>
          </w:tcPr>
          <w:p>
            <w:pPr/>
            <w:r>
              <w:t xml:space="preserve">Nota de crédito o descuento con referencia al dato crudo</w:t>
            </w:r>
          </w:p>
        </w:tc>
        <w:tc>
          <w:tcPr>
            <w:tcW w:w="751" w:type="dxa"/>
          </w:tcPr>
          <w:p>
            <w:pPr/>
            <w:r>
              <w:t xml:space="preserve">4</w:t>
            </w:r>
          </w:p>
        </w:tc>
        <w:tc>
          <w:tcPr>
            <w:tcW w:w="1431" w:type="dxa"/>
          </w:tcPr>
          <w:p>
            <w:pPr/>
            <w:r>
              <w:t xml:space="preserve">Sin endpoint</w:t>
            </w:r>
          </w:p>
        </w:tc>
      </w:tr>
    </w:tbl>
    <w:p>
      <w:pPr>
        <w:pStyle w:val="Heading2"/>
      </w:pPr>
      <w:r>
        <w:t xml:space="preserve">Cronograma, equipo y riesgos</w:t>
      </w:r>
    </w:p>
    <w:p>
      <w:pPr/>
      <w:r>
        <w:t xml:space="preserve">Con arranque el 9 de noviembre de 2026, las 14 semanas hábiles terminan el 26 de febrero de 2027 y la salida a producción cae el 1 de marzo de 2027, siempre que SAEKO entregue los endpoints de finanzas antes del 11 de enero de 2027. Cada semana de retraso de SAEKO mueve la fecha final una semana. La pausa del 21 de diciembre al 1 de enero no cuenta dentro de las 14 semanas.</w:t>
      </w:r>
    </w:p>
    <w:p>
      <w:pPr/>
      <w:r>
        <w:drawing>
          <wp:inline distT="0" distB="0" distL="0" distR="0">
            <wp:extent cx="5486400" cy="3486150"/>
            <wp:docPr id="1" name="image1" descr="cronograma · 6 fases, 14 semanas hábiles, nov 2026 a mar 2027"/>
            <a:graphic xmlns:a="http://schemas.openxmlformats.org/drawingml/2006/main">
              <a:graphicData uri="http://schemas.openxmlformats.org/drawingml/2006/picture">
                <pic:pic xmlns:pic="http://schemas.openxmlformats.org/drawingml/2006/picture">
                  <pic:nvPicPr>
                    <pic:cNvPr id="1" name="image1" descr="cronograma · 6 fases, 14 semanas hábiles, nov 2026 a mar 2027"/>
                    <pic:cNvPicPr/>
                  </pic:nvPicPr>
                  <pic:blipFill>
                    <a:blip r:embed="rId6"/>
                    <a:stretch>
                      <a:fillRect/>
                    </a:stretch>
                  </pic:blipFill>
                  <pic:spPr>
                    <a:xfrm>
                      <a:off x="0" y="0"/>
                      <a:ext cx="5486400" cy="3486150"/>
                    </a:xfrm>
                    <a:prstGeom prst="rect">
                      <a:avLst/>
                    </a:prstGeom>
                  </pic:spPr>
                </pic:pic>
              </a:graphicData>
            </a:graphic>
          </wp:inline>
        </w:drawing>
      </w:r>
    </w:p>
    <w:p>
      <w:pPr/>
      <w:r>
        <w:t xml:space="preserve">cronograma · 6 fases, 14 semanas hábiles, nov 2026 a mar 2027</w:t>
      </w:r>
    </w:p>
    <w:p>
      <w:pPr/>
      <w:r>
        <w:t xml:space="preserve">Las fases 4 y 5 son las únicas que dependen de un tercero; el resto del calendario está en manos del equipo.</w:t>
      </w:r>
    </w:p>
    <w:p>
      <w:pPr>
        <w:pStyle w:val="Heading3"/>
      </w:pPr>
      <w:r>
        <w:t xml:space="preserve">Equipo</w:t>
      </w:r>
    </w:p>
    <w:tbl>
      <w:tblPr>
        <w:tblStyle w:val="TableGrid"/>
        <w:tblW w:w="0" w:type="auto"/>
        <w:tblLayout w:type="fixed"/>
        <w:tblLook w:val="04A0" w:firstRow="1" w:lastRow="0" w:firstColumn="0" w:lastColumn="0" w:noHBand="0" w:noVBand="1"/>
      </w:tblPr>
      <w:tblGrid>
        <w:gridCol w:w="2758"/>
        <w:gridCol w:w="1682"/>
        <w:gridCol w:w="4920"/>
      </w:tblGrid>
      <w:tr>
        <w:trPr>
          <w:tblHeader/>
        </w:trPr>
        <w:tc>
          <w:tcPr>
            <w:tcW w:w="2758" w:type="dxa"/>
            <w:shd w:val="clear" w:color="auto" w:fill="F2F2F2"/>
          </w:tcPr>
          <w:p>
            <w:pPr/>
            <w:r>
              <w:t xml:space="preserve">Rol</w:t>
            </w:r>
          </w:p>
        </w:tc>
        <w:tc>
          <w:tcPr>
            <w:tcW w:w="1682" w:type="dxa"/>
            <w:shd w:val="clear" w:color="auto" w:fill="F2F2F2"/>
          </w:tcPr>
          <w:p>
            <w:pPr/>
            <w:r>
              <w:t xml:space="preserve">Dedicación</w:t>
            </w:r>
          </w:p>
        </w:tc>
        <w:tc>
          <w:tcPr>
            <w:tcW w:w="4920" w:type="dxa"/>
            <w:shd w:val="clear" w:color="auto" w:fill="F2F2F2"/>
          </w:tcPr>
          <w:p>
            <w:pPr/>
            <w:r>
              <w:t xml:space="preserve">Responsabilidad</w:t>
            </w:r>
          </w:p>
        </w:tc>
      </w:tr>
      <w:tr>
        <w:tc>
          <w:tcPr>
            <w:tcW w:w="2758" w:type="dxa"/>
          </w:tcPr>
          <w:p>
            <w:pPr/>
            <w:r>
              <w:t xml:space="preserve">Líder de proyecto </w:t>
            </w:r>
          </w:p>
        </w:tc>
        <w:tc>
          <w:tcPr>
            <w:tcW w:w="1682" w:type="dxa"/>
          </w:tcPr>
          <w:p>
            <w:pPr/>
            <w:r>
              <w:t xml:space="preserve">25 %</w:t>
            </w:r>
          </w:p>
        </w:tc>
        <w:tc>
          <w:tcPr>
            <w:tcW w:w="4920" w:type="dxa"/>
          </w:tcPr>
          <w:p>
            <w:pPr/>
            <w:r>
              <w:t xml:space="preserve">Plan, compuertas, relación con SAEKO</w:t>
            </w:r>
          </w:p>
        </w:tc>
      </w:tr>
      <w:tr>
        <w:tc>
          <w:tcPr>
            <w:tcW w:w="2758" w:type="dxa"/>
          </w:tcPr>
          <w:p>
            <w:pPr/>
            <w:r>
              <w:t xml:space="preserve">Desarrolladores Odoo (2)</w:t>
            </w:r>
          </w:p>
        </w:tc>
        <w:tc>
          <w:tcPr>
            <w:tcW w:w="1682" w:type="dxa"/>
          </w:tcPr>
          <w:p>
            <w:pPr/>
            <w:r>
              <w:t xml:space="preserve">100 %</w:t>
            </w:r>
          </w:p>
        </w:tc>
        <w:tc>
          <w:tcPr>
            <w:tcW w:w="4920" w:type="dxa"/>
          </w:tcPr>
          <w:p>
            <w:pPr/>
            <w:r>
              <w:t xml:space="preserve">Módulos </w:t>
            </w:r>
            <w:r>
              <w:rPr>
                <w:rStyle w:val="CodeChar"/>
              </w:rPr>
              <w:t xml:space="preserve">saeko_academic</w:t>
            </w:r>
            <w:r>
              <w:t xml:space="preserve">, </w:t>
            </w:r>
            <w:r>
              <w:rPr>
                <w:rStyle w:val="CodeChar"/>
              </w:rPr>
              <w:t xml:space="preserve">saeko_account</w:t>
            </w:r>
            <w:r>
              <w:t xml:space="preserve">, </w:t>
            </w:r>
            <w:r>
              <w:rPr>
                <w:rStyle w:val="CodeChar"/>
              </w:rPr>
              <w:t xml:space="preserve">saeko_hr</w:t>
            </w:r>
            <w:r>
              <w:t xml:space="preserve">; pruebas automatizadas</w:t>
            </w:r>
          </w:p>
        </w:tc>
      </w:tr>
      <w:tr>
        <w:tc>
          <w:tcPr>
            <w:tcW w:w="2758" w:type="dxa"/>
          </w:tcPr>
          <w:p>
            <w:pPr/>
            <w:r>
              <w:t xml:space="preserve">Consultor funcional</w:t>
            </w:r>
          </w:p>
        </w:tc>
        <w:tc>
          <w:tcPr>
            <w:tcW w:w="1682" w:type="dxa"/>
          </w:tcPr>
          <w:p>
            <w:pPr/>
            <w:r>
              <w:t xml:space="preserve">50 %</w:t>
            </w:r>
          </w:p>
        </w:tc>
        <w:tc>
          <w:tcPr>
            <w:tcW w:w="4920" w:type="dxa"/>
          </w:tcPr>
          <w:p>
            <w:pPr/>
            <w:r>
              <w:t xml:space="preserve">Contabilidad, CFDI, nómina; pruebas de aceptación</w:t>
            </w:r>
          </w:p>
        </w:tc>
      </w:tr>
      <w:tr>
        <w:tc>
          <w:tcPr>
            <w:tcW w:w="2758" w:type="dxa"/>
          </w:tcPr>
          <w:p>
            <w:pPr/>
            <w:r>
              <w:t xml:space="preserve">Contraparte de la universidad</w:t>
            </w:r>
          </w:p>
        </w:tc>
        <w:tc>
          <w:tcPr>
            <w:tcW w:w="1682" w:type="dxa"/>
          </w:tcPr>
          <w:p>
            <w:pPr/>
            <w:r>
              <w:t xml:space="preserve">20 % por área</w:t>
            </w:r>
          </w:p>
        </w:tc>
        <w:tc>
          <w:tcPr>
            <w:tcW w:w="4920" w:type="dxa"/>
          </w:tcPr>
          <w:p>
            <w:pPr/>
            <w:r>
              <w:t xml:space="preserve">Control escolar, contabilidad y nómina validan cada compuerta</w:t>
            </w:r>
          </w:p>
        </w:tc>
      </w:tr>
      <w:tr>
        <w:tc>
          <w:tcPr>
            <w:tcW w:w="2758" w:type="dxa"/>
          </w:tcPr>
          <w:p>
            <w:pPr/>
            <w:r>
              <w:t xml:space="preserve">Contacto técnico SAEKO</w:t>
            </w:r>
          </w:p>
        </w:tc>
        <w:tc>
          <w:tcPr>
            <w:tcW w:w="1682" w:type="dxa"/>
          </w:tcPr>
          <w:p>
            <w:pPr/>
            <w:r>
              <w:t xml:space="preserve">A demanda</w:t>
            </w:r>
          </w:p>
        </w:tc>
        <w:tc>
          <w:tcPr>
            <w:tcW w:w="4920" w:type="dxa"/>
          </w:tcPr>
          <w:p>
            <w:pPr/>
            <w:r>
              <w:t xml:space="preserve">Endpoints, credenciales, dudas de datos</w:t>
            </w:r>
          </w:p>
        </w:tc>
      </w:tr>
    </w:tbl>
    <w:p>
      <w:pPr>
        <w:pStyle w:val="Heading3"/>
      </w:pPr>
      <w:r>
        <w:t xml:space="preserve">Riesgos</w:t>
      </w:r>
    </w:p>
    <w:tbl>
      <w:tblPr>
        <w:tblStyle w:val="TableGrid"/>
        <w:tblW w:w="0" w:type="auto"/>
        <w:tblLayout w:type="fixed"/>
        <w:tblLook w:val="04A0" w:firstRow="1" w:lastRow="0" w:firstColumn="0" w:lastColumn="0" w:noHBand="0" w:noVBand="1"/>
      </w:tblPr>
      <w:tblGrid>
        <w:gridCol w:w="2517"/>
        <w:gridCol w:w="2017"/>
        <w:gridCol w:w="4826"/>
      </w:tblGrid>
      <w:tr>
        <w:trPr>
          <w:tblHeader/>
        </w:trPr>
        <w:tc>
          <w:tcPr>
            <w:tcW w:w="2517" w:type="dxa"/>
            <w:shd w:val="clear" w:color="auto" w:fill="F2F2F2"/>
          </w:tcPr>
          <w:p>
            <w:pPr/>
            <w:r>
              <w:t xml:space="preserve">Riesgo</w:t>
            </w:r>
          </w:p>
        </w:tc>
        <w:tc>
          <w:tcPr>
            <w:tcW w:w="2017" w:type="dxa"/>
            <w:shd w:val="clear" w:color="auto" w:fill="F2F2F2"/>
          </w:tcPr>
          <w:p>
            <w:pPr/>
            <w:r>
              <w:t xml:space="preserve">Impacto</w:t>
            </w:r>
          </w:p>
        </w:tc>
        <w:tc>
          <w:tcPr>
            <w:tcW w:w="4826" w:type="dxa"/>
            <w:shd w:val="clear" w:color="auto" w:fill="F2F2F2"/>
          </w:tcPr>
          <w:p>
            <w:pPr/>
            <w:r>
              <w:t xml:space="preserve">Mitigación</w:t>
            </w:r>
          </w:p>
        </w:tc>
      </w:tr>
      <w:tr>
        <w:tc>
          <w:tcPr>
            <w:tcW w:w="2517" w:type="dxa"/>
          </w:tcPr>
          <w:p>
            <w:pPr/>
            <w:r>
              <w:t xml:space="preserve">SAEKO no expone cargos, pagos o CFDI</w:t>
            </w:r>
          </w:p>
        </w:tc>
        <w:tc>
          <w:tcPr>
            <w:tcW w:w="2017" w:type="dxa"/>
          </w:tcPr>
          <w:p>
            <w:pPr/>
            <w:r>
              <w:t xml:space="preserve">Fase 4 bloqueada; sin finanzas no hay valor contable</w:t>
            </w:r>
          </w:p>
        </w:tc>
        <w:tc>
          <w:tcPr>
            <w:tcW w:w="4826" w:type="dxa"/>
          </w:tcPr>
          <w:p>
            <w:pPr/>
            <w:r>
              <w:t xml:space="preserve">Pedir compromiso por escrito en la Fase 1; alternativa: exportación periódica de SAEKO cargada al catálogo del conector como recurso</w:t>
            </w:r>
          </w:p>
        </w:tc>
      </w:tr>
      <w:tr>
        <w:tc>
          <w:tcPr>
            <w:tcW w:w="2517" w:type="dxa"/>
          </w:tcPr>
          <w:p>
            <w:pPr/>
            <w:r>
              <w:t xml:space="preserve">Diferencias entre adeudos de SAEKO y saldos de Odoo</w:t>
            </w:r>
          </w:p>
        </w:tc>
        <w:tc>
          <w:tcPr>
            <w:tcW w:w="2017" w:type="dxa"/>
          </w:tcPr>
          <w:p>
            <w:pPr/>
            <w:r>
              <w:t xml:space="preserve">Desconfianza en los números</w:t>
            </w:r>
          </w:p>
        </w:tc>
        <w:tc>
          <w:tcPr>
            <w:tcW w:w="4826" w:type="dxa"/>
          </w:tcPr>
          <w:p>
            <w:pPr/>
            <w:r>
              <w:t xml:space="preserve">Reporte de conciliación diario desde la Fase 4; datos crudos con historial para rastrear cada diferencia</w:t>
            </w:r>
          </w:p>
        </w:tc>
      </w:tr>
      <w:tr>
        <w:tc>
          <w:tcPr>
            <w:tcW w:w="2517" w:type="dxa"/>
          </w:tcPr>
          <w:p>
            <w:pPr/>
            <w:r>
              <w:t xml:space="preserve">Doble timbrado de CFDI</w:t>
            </w:r>
          </w:p>
        </w:tc>
        <w:tc>
          <w:tcPr>
            <w:tcW w:w="2017" w:type="dxa"/>
          </w:tcPr>
          <w:p>
            <w:pPr/>
            <w:r>
              <w:t xml:space="preserve">Error fiscal ante el SAT</w:t>
            </w:r>
          </w:p>
        </w:tc>
        <w:tc>
          <w:tcPr>
            <w:tcW w:w="4826" w:type="dxa"/>
          </w:tcPr>
          <w:p>
            <w:pPr/>
            <w:r>
              <w:t xml:space="preserve">Una sola fuente de timbrado decidida en la Fase 1; validación por UUID antes de importar</w:t>
            </w:r>
          </w:p>
        </w:tc>
      </w:tr>
      <w:tr>
        <w:tc>
          <w:tcPr>
            <w:tcW w:w="2517" w:type="dxa"/>
          </w:tcPr>
          <w:p>
            <w:pPr/>
            <w:r>
              <w:t xml:space="preserve">Volumen: el detalle de alumno requiere una llamada por registro</w:t>
            </w:r>
          </w:p>
        </w:tc>
        <w:tc>
          <w:tcPr>
            <w:tcW w:w="2017" w:type="dxa"/>
          </w:tcPr>
          <w:p>
            <w:pPr/>
            <w:r>
              <w:t xml:space="preserve">Sincronizaciones lentas</w:t>
            </w:r>
          </w:p>
        </w:tc>
        <w:tc>
          <w:tcPr>
            <w:tcW w:w="4826" w:type="dxa"/>
          </w:tcPr>
          <w:p>
            <w:pPr/>
            <w:r>
              <w:t xml:space="preserve">Medir en la Fase 2; pedir a SAEKO un listado con más campos; programar fuera de horario</w:t>
            </w:r>
          </w:p>
        </w:tc>
      </w:tr>
      <w:tr>
        <w:tc>
          <w:tcPr>
            <w:tcW w:w="2517" w:type="dxa"/>
          </w:tcPr>
          <w:p>
            <w:pPr/>
            <w:r>
              <w:t xml:space="preserve">Nómina mexicana de Enterprise sin publicar para Odoo 20</w:t>
            </w:r>
          </w:p>
        </w:tc>
        <w:tc>
          <w:tcPr>
            <w:tcW w:w="2017" w:type="dxa"/>
          </w:tcPr>
          <w:p>
            <w:pPr/>
            <w:r>
              <w:t xml:space="preserve">Fase 5 sin motor de nómina</w:t>
            </w:r>
          </w:p>
        </w:tc>
        <w:tc>
          <w:tcPr>
            <w:tcW w:w="4826" w:type="dxa"/>
          </w:tcPr>
          <w:p>
            <w:pPr/>
            <w:r>
              <w:t xml:space="preserve">Confirmar con Odoo en la Fase 1; si no está, exportar a la nómina actual</w:t>
            </w:r>
          </w:p>
        </w:tc>
      </w:tr>
      <w:tr>
        <w:tc>
          <w:tcPr>
            <w:tcW w:w="2517" w:type="dxa"/>
          </w:tcPr>
          <w:p>
            <w:pPr/>
            <w:r>
              <w:t xml:space="preserve">Llave del Service Account vence</w:t>
            </w:r>
          </w:p>
        </w:tc>
        <w:tc>
          <w:tcPr>
            <w:tcW w:w="2017" w:type="dxa"/>
          </w:tcPr>
          <w:p>
            <w:pPr/>
            <w:r>
              <w:t xml:space="preserve">Integración detenida</w:t>
            </w:r>
          </w:p>
        </w:tc>
        <w:tc>
          <w:tcPr>
            <w:tcW w:w="4826" w:type="dxa"/>
          </w:tcPr>
          <w:p>
            <w:pPr/>
            <w:r>
              <w:t xml:space="preserve">El conector avisa 30 días antes del vencimiento</w:t>
            </w:r>
          </w:p>
        </w:tc>
      </w:tr>
      <w:tr>
        <w:tc>
          <w:tcPr>
            <w:tcW w:w="2517" w:type="dxa"/>
          </w:tcPr>
          <w:p>
            <w:pPr/>
            <w:r>
              <w:t xml:space="preserve">Calendario de 14 semanas sin holgura</w:t>
            </w:r>
          </w:p>
        </w:tc>
        <w:tc>
          <w:tcPr>
            <w:tcW w:w="2017" w:type="dxa"/>
          </w:tcPr>
          <w:p>
            <w:pPr/>
            <w:r>
              <w:t xml:space="preserve">Una compuerta fallida recorre todo</w:t>
            </w:r>
          </w:p>
        </w:tc>
        <w:tc>
          <w:tcPr>
            <w:tcW w:w="4826" w:type="dxa"/>
          </w:tcPr>
          <w:p>
            <w:pPr/>
            <w:r>
              <w:t xml:space="preserve">Revisión semanal del avance contra compuertas; alcance de Fase 6 negociable (tableros y alertas pueden salir después del arranque)</w:t>
            </w:r>
          </w:p>
        </w:tc>
      </w:tr>
      <w:tr>
        <w:tc>
          <w:tcPr>
            <w:tcW w:w="2517" w:type="dxa"/>
          </w:tcPr>
          <w:p>
            <w:pPr/>
            <w:r>
              <w:t xml:space="preserve">Licencias </w:t>
            </w:r>
            <w:r>
              <w:rPr>
                <w:i/>
              </w:rPr>
              <w:t xml:space="preserve">Light User</w:t>
            </w:r>
            <w:r>
              <w:t xml:space="preserve"> para profesores</w:t>
            </w:r>
          </w:p>
        </w:tc>
        <w:tc>
          <w:tcPr>
            <w:tcW w:w="2017" w:type="dxa"/>
          </w:tcPr>
          <w:p>
            <w:pPr/>
            <w:r>
              <w:t xml:space="preserve">Costo no presupuestado</w:t>
            </w:r>
          </w:p>
        </w:tc>
        <w:tc>
          <w:tcPr>
            <w:tcW w:w="4826" w:type="dxa"/>
          </w:tcPr>
          <w:p>
            <w:pPr/>
            <w:r>
              <w:t xml:space="preserve">Cotizar con Odoo en la Fase 1</w:t>
            </w:r>
          </w:p>
        </w:tc>
      </w:tr>
    </w:tbl>
    <w:p>
      <w:pPr>
        <w:pStyle w:val="Heading2"/>
      </w:pPr>
      <w:r>
        <w:t xml:space="preserve">Estimación de tiempos y costo</w:t>
      </w:r>
    </w:p>
    <w:p>
      <w:pPr/>
      <w:r>
        <w:t xml:space="preserve">El proyecto se estima entre 160 y 200 horas. Los precios los completa el área de ventas.</w:t>
      </w:r>
    </w:p>
    <w:tbl>
      <w:tblPr>
        <w:tblStyle w:val="TableGrid"/>
        <w:tblW w:w="0" w:type="auto"/>
        <w:tblLayout w:type="fixed"/>
        <w:tblLook w:val="04A0" w:firstRow="1" w:lastRow="0" w:firstColumn="0" w:lastColumn="0" w:noHBand="0" w:noVBand="1"/>
      </w:tblPr>
      <w:tblGrid>
        <w:gridCol w:w="3654"/>
        <w:gridCol w:w="2097"/>
        <w:gridCol w:w="2146"/>
        <w:gridCol w:w="1463"/>
      </w:tblGrid>
      <w:tr>
        <w:trPr>
          <w:tblHeader/>
        </w:trPr>
        <w:tc>
          <w:tcPr>
            <w:tcW w:w="3654" w:type="dxa"/>
            <w:shd w:val="clear" w:color="auto" w:fill="F2F2F2"/>
          </w:tcPr>
          <w:p>
            <w:pPr/>
            <w:r>
              <w:t xml:space="preserve">Fase</w:t>
            </w:r>
          </w:p>
        </w:tc>
        <w:tc>
          <w:tcPr>
            <w:tcW w:w="2097" w:type="dxa"/>
            <w:shd w:val="clear" w:color="auto" w:fill="F2F2F2"/>
          </w:tcPr>
          <w:p>
            <w:pPr/>
            <w:r>
              <w:t xml:space="preserve">Horas (mín–máx)</w:t>
            </w:r>
          </w:p>
        </w:tc>
        <w:tc>
          <w:tcPr>
            <w:tcW w:w="2146" w:type="dxa"/>
            <w:shd w:val="clear" w:color="auto" w:fill="F2F2F2"/>
          </w:tcPr>
          <w:p>
            <w:pPr/>
            <w:r>
              <w:t xml:space="preserve">Precio unitario por hora</w:t>
            </w:r>
          </w:p>
        </w:tc>
        <w:tc>
          <w:tcPr>
            <w:tcW w:w="1463" w:type="dxa"/>
            <w:shd w:val="clear" w:color="auto" w:fill="F2F2F2"/>
          </w:tcPr>
          <w:p>
            <w:pPr/>
            <w:r>
              <w:t xml:space="preserve">Precio total</w:t>
            </w:r>
          </w:p>
        </w:tc>
      </w:tr>
      <w:tr>
        <w:tc>
          <w:tcPr>
            <w:tcW w:w="3654" w:type="dxa"/>
          </w:tcPr>
          <w:p>
            <w:pPr/>
            <w:r>
              <w:t xml:space="preserve">1. Análisis y diseño</w:t>
            </w:r>
          </w:p>
        </w:tc>
        <w:tc>
          <w:tcPr>
            <w:tcW w:w="2097" w:type="dxa"/>
          </w:tcPr>
          <w:p>
            <w:pPr/>
            <w:r>
              <w:t xml:space="preserve">16–20</w:t>
            </w:r>
          </w:p>
        </w:tc>
        <w:tc>
          <w:tcPr>
            <w:tcW w:w="2146" w:type="dxa"/>
          </w:tcPr>
          <w:p>
            <w:pPr/>
          </w:p>
        </w:tc>
        <w:tc>
          <w:tcPr>
            <w:tcW w:w="1463" w:type="dxa"/>
          </w:tcPr>
          <w:p>
            <w:pPr/>
          </w:p>
        </w:tc>
      </w:tr>
      <w:tr>
        <w:tc>
          <w:tcPr>
            <w:tcW w:w="3654" w:type="dxa"/>
          </w:tcPr>
          <w:p>
            <w:pPr/>
            <w:r>
              <w:t xml:space="preserve">2. Desarrollo del conector</w:t>
            </w:r>
          </w:p>
        </w:tc>
        <w:tc>
          <w:tcPr>
            <w:tcW w:w="2097" w:type="dxa"/>
          </w:tcPr>
          <w:p>
            <w:pPr/>
            <w:r>
              <w:t xml:space="preserve">28–36</w:t>
            </w:r>
          </w:p>
        </w:tc>
        <w:tc>
          <w:tcPr>
            <w:tcW w:w="2146" w:type="dxa"/>
          </w:tcPr>
          <w:p>
            <w:pPr/>
          </w:p>
        </w:tc>
        <w:tc>
          <w:tcPr>
            <w:tcW w:w="1463" w:type="dxa"/>
          </w:tcPr>
          <w:p>
            <w:pPr/>
          </w:p>
        </w:tc>
      </w:tr>
      <w:tr>
        <w:tc>
          <w:tcPr>
            <w:tcW w:w="3654" w:type="dxa"/>
          </w:tcPr>
          <w:p>
            <w:pPr/>
            <w:r>
              <w:t xml:space="preserve">3. Maestro académico</w:t>
            </w:r>
          </w:p>
        </w:tc>
        <w:tc>
          <w:tcPr>
            <w:tcW w:w="2097" w:type="dxa"/>
          </w:tcPr>
          <w:p>
            <w:pPr/>
            <w:r>
              <w:t xml:space="preserve">32–40</w:t>
            </w:r>
          </w:p>
        </w:tc>
        <w:tc>
          <w:tcPr>
            <w:tcW w:w="2146" w:type="dxa"/>
          </w:tcPr>
          <w:p>
            <w:pPr/>
          </w:p>
        </w:tc>
        <w:tc>
          <w:tcPr>
            <w:tcW w:w="1463" w:type="dxa"/>
          </w:tcPr>
          <w:p>
            <w:pPr/>
          </w:p>
        </w:tc>
      </w:tr>
      <w:tr>
        <w:tc>
          <w:tcPr>
            <w:tcW w:w="3654" w:type="dxa"/>
          </w:tcPr>
          <w:p>
            <w:pPr/>
            <w:r>
              <w:t xml:space="preserve">4. Finanzas de alumnos</w:t>
            </w:r>
          </w:p>
        </w:tc>
        <w:tc>
          <w:tcPr>
            <w:tcW w:w="2097" w:type="dxa"/>
          </w:tcPr>
          <w:p>
            <w:pPr/>
            <w:r>
              <w:t xml:space="preserve">36–44</w:t>
            </w:r>
          </w:p>
        </w:tc>
        <w:tc>
          <w:tcPr>
            <w:tcW w:w="2146" w:type="dxa"/>
          </w:tcPr>
          <w:p>
            <w:pPr/>
          </w:p>
        </w:tc>
        <w:tc>
          <w:tcPr>
            <w:tcW w:w="1463" w:type="dxa"/>
          </w:tcPr>
          <w:p>
            <w:pPr/>
          </w:p>
        </w:tc>
      </w:tr>
      <w:tr>
        <w:tc>
          <w:tcPr>
            <w:tcW w:w="3654" w:type="dxa"/>
          </w:tcPr>
          <w:p>
            <w:pPr/>
            <w:r>
              <w:t xml:space="preserve">5. Docentes y nómina</w:t>
            </w:r>
          </w:p>
        </w:tc>
        <w:tc>
          <w:tcPr>
            <w:tcW w:w="2097" w:type="dxa"/>
          </w:tcPr>
          <w:p>
            <w:pPr/>
            <w:r>
              <w:t xml:space="preserve">28–36</w:t>
            </w:r>
          </w:p>
        </w:tc>
        <w:tc>
          <w:tcPr>
            <w:tcW w:w="2146" w:type="dxa"/>
          </w:tcPr>
          <w:p>
            <w:pPr/>
          </w:p>
        </w:tc>
        <w:tc>
          <w:tcPr>
            <w:tcW w:w="1463" w:type="dxa"/>
          </w:tcPr>
          <w:p>
            <w:pPr/>
          </w:p>
        </w:tc>
      </w:tr>
      <w:tr>
        <w:tc>
          <w:tcPr>
            <w:tcW w:w="3654" w:type="dxa"/>
          </w:tcPr>
          <w:p>
            <w:pPr/>
            <w:r>
              <w:t xml:space="preserve">6. Pruebas y salida a producción</w:t>
            </w:r>
          </w:p>
        </w:tc>
        <w:tc>
          <w:tcPr>
            <w:tcW w:w="2097" w:type="dxa"/>
          </w:tcPr>
          <w:p>
            <w:pPr/>
            <w:r>
              <w:t xml:space="preserve">20–24</w:t>
            </w:r>
          </w:p>
        </w:tc>
        <w:tc>
          <w:tcPr>
            <w:tcW w:w="2146" w:type="dxa"/>
          </w:tcPr>
          <w:p>
            <w:pPr/>
          </w:p>
        </w:tc>
        <w:tc>
          <w:tcPr>
            <w:tcW w:w="1463" w:type="dxa"/>
          </w:tcPr>
          <w:p>
            <w:pPr/>
          </w:p>
        </w:tc>
      </w:tr>
      <w:tr>
        <w:tc>
          <w:tcPr>
            <w:tcW w:w="3654" w:type="dxa"/>
          </w:tcPr>
          <w:p>
            <w:pPr/>
            <w:r>
              <w:rPr>
                <w:b/>
              </w:rPr>
              <w:t xml:space="preserve">Total</w:t>
            </w:r>
          </w:p>
        </w:tc>
        <w:tc>
          <w:tcPr>
            <w:tcW w:w="2097" w:type="dxa"/>
          </w:tcPr>
          <w:p>
            <w:pPr/>
            <w:r>
              <w:rPr>
                <w:b/>
              </w:rPr>
              <w:t xml:space="preserve">160–200</w:t>
            </w:r>
          </w:p>
        </w:tc>
        <w:tc>
          <w:tcPr>
            <w:tcW w:w="2146" w:type="dxa"/>
          </w:tcPr>
          <w:p>
            <w:pPr/>
          </w:p>
        </w:tc>
        <w:tc>
          <w:tcPr>
            <w:tcW w:w="1463" w:type="dxa"/>
          </w:tcPr>
          <w:p>
            <w:pPr/>
          </w:p>
        </w:tc>
      </w:tr>
    </w:tbl>
    <w:p>
      <w:pPr/>
      <w:r>
        <w:t xml:space="preserve">Incluye desarrollo y consultoría; no incluye licencias de Odoo Enterprise ni hospedaje.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github.com/odoo/odoo/tree/20.0" TargetMode="External"/><Relationship Id="rId4" Type="http://schemas.openxmlformats.org/officeDocument/2006/relationships/hyperlink" Target="https://oec.sh/blog/odoo-20-released-what-we-see" TargetMode="External"/><Relationship Id="rId5" Type="http://schemas.openxmlformats.org/officeDocument/2006/relationships/hyperlink" Target="https://webkul.com/blog/odoo-20-migration-guide/amp/" TargetMode="External"/><Relationship Id="rId6"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Plan SAEKO ⇄ Odoo 20</dc:title>
  <dc:description>Claude Docs node/858cc850-8bed@381 docx-w7</dc:description>
  <cp:revision>381</cp:revision>
</cp:coreProperties>
</file>