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rFonts w:ascii="aRIAL" w:hAnsi="aRIAL"/>
        </w:rPr>
      </w:pPr>
      <w:r>
        <w:rPr>
          <w:rFonts w:eastAsia="Arial" w:cs="Arial" w:ascii="aRIAL" w:hAnsi="aRIAL"/>
          <w:b/>
          <w:bCs/>
          <w:color w:val="1F5C99"/>
          <w:sz w:val="96"/>
          <w:szCs w:val="96"/>
        </w:rPr>
        <w:t>Argil Consulting</w:t>
      </w:r>
    </w:p>
    <w:p>
      <w:pPr>
        <w:pStyle w:val="Normal"/>
        <w:spacing w:before="0" w:after="40"/>
        <w:jc w:val="center"/>
        <w:rPr>
          <w:rFonts w:ascii="aRIAL" w:hAnsi="aRIAL"/>
        </w:rPr>
      </w:pPr>
      <w:r>
        <w:rPr>
          <w:rFonts w:eastAsia="Arial" w:cs="Arial" w:ascii="aRIAL" w:hAnsi="aRIAL"/>
          <w:color w:val="8F2A8E"/>
          <w:sz w:val="28"/>
          <w:szCs w:val="28"/>
        </w:rPr>
        <w:t>Odoo Silver Partner</w:t>
      </w:r>
    </w:p>
    <w:p>
      <w:pPr>
        <w:pStyle w:val="Normal"/>
        <w:pBdr>
          <w:top w:val="single" w:sz="4" w:space="8" w:color="1F5C99"/>
          <w:bottom w:val="single" w:sz="4" w:space="8" w:color="1F5C99"/>
        </w:pBdr>
        <w:spacing w:before="600" w:after="120"/>
        <w:jc w:val="center"/>
        <w:rPr/>
      </w:pPr>
      <w:r>
        <w:rPr>
          <w:rFonts w:eastAsia="Arial" w:cs="Arial"/>
          <w:b/>
          <w:bCs/>
          <w:color w:val="1A3A5C"/>
          <w:sz w:val="52"/>
          <w:szCs w:val="52"/>
        </w:rPr>
        <w:t>PLAN DE INTEGRACIÓN</w:t>
      </w:r>
    </w:p>
    <w:p>
      <w:pPr>
        <w:pStyle w:val="Normal"/>
        <w:spacing w:before="80" w:after="600"/>
        <w:jc w:val="center"/>
        <w:rPr>
          <w:rFonts w:ascii="arial" w:hAnsi="arial"/>
          <w:sz w:val="28"/>
          <w:szCs w:val="28"/>
        </w:rPr>
      </w:pPr>
      <w:r>
        <w:rPr>
          <w:rFonts w:eastAsia="Arial" w:cs="Arial" w:ascii="arial" w:hAnsi="arial"/>
          <w:b/>
          <w:bCs/>
          <w:color w:val="1F5C99"/>
          <w:sz w:val="28"/>
          <w:szCs w:val="28"/>
        </w:rPr>
        <w:t>UNE</w:t>
      </w:r>
    </w:p>
    <w:tbl>
      <w:tblPr>
        <w:tblW w:w="9973" w:type="dxa"/>
        <w:jc w:val="left"/>
        <w:tblInd w:w="122" w:type="dxa"/>
        <w:tblLayout w:type="fixed"/>
        <w:tblCellMar>
          <w:top w:w="80" w:type="dxa"/>
          <w:left w:w="120" w:type="dxa"/>
          <w:bottom w:w="80" w:type="dxa"/>
          <w:right w:w="120" w:type="dxa"/>
        </w:tblCellMar>
      </w:tblPr>
      <w:tblGrid>
        <w:gridCol w:w="3573"/>
        <w:gridCol w:w="6400"/>
      </w:tblGrid>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Atención:</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Nicols</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Empresa:</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ARGIL CONSULTING SA DE CV</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RFC:</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ACO140430UK3</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Dirección:</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Poniente 10, No 180, Col. Centro, Orizaba, Ver. CP 94300</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Teléfono:</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+52 (272) 721 5449</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Correo(s):</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pPr>
            <w:hyperlink r:id="rId2">
              <w:r>
                <w:rPr>
                  <w:rStyle w:val="EnlacedeInternet"/>
                  <w:rFonts w:eastAsia="Arial" w:cs="Arial" w:ascii="arial" w:hAnsi="arial"/>
                  <w:color w:val="1A1A1A"/>
                  <w:sz w:val="28"/>
                  <w:szCs w:val="28"/>
                  <w:u w:val="none"/>
                </w:rPr>
                <w:t>german.ponce@argil.mx</w:t>
              </w:r>
            </w:hyperlink>
          </w:p>
          <w:p>
            <w:pPr>
              <w:pStyle w:val="Normal"/>
              <w:widowControl w:val="false"/>
              <w:spacing w:before="0" w:after="0"/>
              <w:rPr>
                <w:rFonts w:ascii="arial" w:hAnsi="arial"/>
                <w:sz w:val="28"/>
                <w:szCs w:val="28"/>
              </w:rPr>
            </w:pPr>
            <w:r>
              <w:rPr>
                <w:rFonts w:eastAsia="Arial" w:cs="Arial" w:ascii="arial" w:hAnsi="arial"/>
                <w:color w:val="1A1A1A"/>
                <w:sz w:val="28"/>
                <w:szCs w:val="28"/>
              </w:rPr>
              <w:t>admon@argil.mx</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Área T</w:t>
            </w:r>
            <w:r>
              <w:rPr>
                <w:rFonts w:eastAsia="Arial" w:cs="Arial" w:ascii="arial" w:hAnsi="arial"/>
                <w:b/>
                <w:bCs/>
                <w:color w:val="1A3A5C"/>
                <w:kern w:val="0"/>
                <w:sz w:val="28"/>
                <w:szCs w:val="28"/>
                <w:lang w:val="es-MX" w:eastAsia="zh-CN" w:bidi="hi-IN"/>
              </w:rPr>
              <w:t>écnica</w:t>
            </w:r>
            <w:r>
              <w:rPr>
                <w:rFonts w:eastAsia="Arial" w:cs="Arial" w:ascii="arial" w:hAnsi="arial"/>
                <w:b/>
                <w:bCs/>
                <w:color w:val="1A3A5C"/>
                <w:sz w:val="28"/>
                <w:szCs w:val="28"/>
              </w:rPr>
              <w:t>:</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Ing. Israel Cruz Argil</w:t>
            </w:r>
          </w:p>
          <w:p>
            <w:pPr>
              <w:pStyle w:val="Normal"/>
              <w:widowControl w:val="false"/>
              <w:spacing w:before="0" w:after="0"/>
              <w:rPr>
                <w:rFonts w:ascii="arial" w:hAnsi="arial"/>
                <w:sz w:val="28"/>
                <w:szCs w:val="28"/>
              </w:rPr>
            </w:pPr>
            <w:r>
              <w:rPr>
                <w:rFonts w:eastAsia="Arial" w:cs="Arial" w:ascii="arial" w:hAnsi="arial"/>
                <w:color w:val="1A1A1A"/>
                <w:sz w:val="28"/>
                <w:szCs w:val="28"/>
              </w:rPr>
              <w:t>Germán Ponce Domínguez</w:t>
            </w:r>
          </w:p>
          <w:p>
            <w:pPr>
              <w:pStyle w:val="Normal"/>
              <w:widowControl w:val="false"/>
              <w:spacing w:before="0" w:after="0"/>
              <w:rPr>
                <w:rFonts w:ascii="arial" w:hAnsi="arial"/>
                <w:sz w:val="28"/>
                <w:szCs w:val="28"/>
              </w:rPr>
            </w:pPr>
            <w:r>
              <w:rPr>
                <w:rFonts w:eastAsia="Arial" w:cs="Arial" w:ascii="arial" w:hAnsi="arial"/>
                <w:color w:val="1A1A1A"/>
                <w:sz w:val="28"/>
                <w:szCs w:val="28"/>
              </w:rPr>
              <w:t>Mart</w:t>
            </w:r>
            <w:r>
              <w:rPr>
                <w:rFonts w:eastAsia="Arial" w:cs="Arial" w:ascii="arial" w:hAnsi="arial"/>
                <w:color w:val="1A1A1A"/>
                <w:kern w:val="0"/>
                <w:sz w:val="28"/>
                <w:szCs w:val="28"/>
                <w:lang w:val="es-MX" w:eastAsia="zh-CN" w:bidi="hi-IN"/>
              </w:rPr>
              <w:t>ín Salas Orozco</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Fecha:</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 xml:space="preserve">Veracruz, </w:t>
            </w:r>
            <w:r>
              <w:rPr>
                <w:rFonts w:eastAsia="Arial" w:cs="Arial" w:ascii="arial" w:hAnsi="arial"/>
                <w:color w:val="1A1A1A"/>
                <w:sz w:val="28"/>
                <w:szCs w:val="28"/>
              </w:rPr>
              <w:t>03</w:t>
            </w:r>
            <w:r>
              <w:rPr>
                <w:rFonts w:eastAsia="Arial" w:cs="Arial" w:ascii="arial" w:hAnsi="arial"/>
                <w:color w:val="1A1A1A"/>
                <w:sz w:val="28"/>
                <w:szCs w:val="28"/>
              </w:rPr>
              <w:t xml:space="preserve"> de </w:t>
            </w:r>
            <w:r>
              <w:rPr>
                <w:rFonts w:eastAsia="Arial" w:cs="Arial" w:ascii="arial" w:hAnsi="arial"/>
                <w:color w:val="1A1A1A"/>
                <w:sz w:val="28"/>
                <w:szCs w:val="28"/>
              </w:rPr>
              <w:t>Noviembre</w:t>
            </w:r>
            <w:r>
              <w:rPr>
                <w:rFonts w:eastAsia="Arial" w:cs="Arial" w:ascii="arial" w:hAnsi="arial"/>
                <w:color w:val="1A1A1A"/>
                <w:sz w:val="28"/>
                <w:szCs w:val="28"/>
              </w:rPr>
              <w:t xml:space="preserve"> de 2026</w:t>
            </w:r>
          </w:p>
        </w:tc>
      </w:tr>
      <w:tr>
        <w:trPr/>
        <w:tc>
          <w:tcPr>
            <w:tcW w:w="3573" w:type="dxa"/>
            <w:tcBorders>
              <w:top w:val="single" w:sz="2" w:space="0" w:color="CCCCCC"/>
              <w:left w:val="single" w:sz="2" w:space="0" w:color="CCCCCC"/>
              <w:bottom w:val="single" w:sz="2" w:space="0" w:color="CCCCCC"/>
              <w:right w:val="single" w:sz="2" w:space="0" w:color="CCCCCC"/>
            </w:tcBorders>
            <w:shd w:fill="EBF3FB" w:val="clear"/>
          </w:tcPr>
          <w:p>
            <w:pPr>
              <w:pStyle w:val="Normal"/>
              <w:widowControl w:val="false"/>
              <w:spacing w:before="0" w:after="0"/>
              <w:rPr>
                <w:rFonts w:ascii="arial" w:hAnsi="arial"/>
                <w:sz w:val="28"/>
                <w:szCs w:val="28"/>
              </w:rPr>
            </w:pPr>
            <w:r>
              <w:rPr>
                <w:rFonts w:eastAsia="Arial" w:cs="Arial" w:ascii="arial" w:hAnsi="arial"/>
                <w:b/>
                <w:bCs/>
                <w:color w:val="1A3A5C"/>
                <w:sz w:val="28"/>
                <w:szCs w:val="28"/>
              </w:rPr>
              <w:t>Versión:</w:t>
            </w:r>
          </w:p>
        </w:tc>
        <w:tc>
          <w:tcPr>
            <w:tcW w:w="6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spacing w:before="0" w:after="0"/>
              <w:rPr>
                <w:rFonts w:ascii="arial" w:hAnsi="arial"/>
                <w:sz w:val="28"/>
                <w:szCs w:val="28"/>
              </w:rPr>
            </w:pPr>
            <w:r>
              <w:rPr>
                <w:rFonts w:eastAsia="Arial" w:cs="Arial" w:ascii="arial" w:hAnsi="arial"/>
                <w:color w:val="1A1A1A"/>
                <w:sz w:val="28"/>
                <w:szCs w:val="28"/>
              </w:rPr>
              <w:t>1.</w:t>
            </w:r>
            <w:r>
              <w:rPr>
                <w:rFonts w:eastAsia="Arial" w:cs="Arial" w:ascii="arial" w:hAnsi="arial"/>
                <w:color w:val="1A1A1A"/>
                <w:sz w:val="28"/>
                <w:szCs w:val="28"/>
              </w:rPr>
              <w:t>0</w:t>
            </w:r>
          </w:p>
        </w:tc>
      </w:tr>
    </w:tbl>
    <w:p>
      <w:pPr>
        <w:pStyle w:val="Normal"/>
        <w:rPr>
          <w:rFonts w:ascii="arial" w:hAnsi="arial"/>
          <w:sz w:val="28"/>
          <w:szCs w:val="28"/>
        </w:rPr>
      </w:pPr>
      <w:r>
        <w:rPr>
          <w:rFonts w:ascii="arial" w:hAnsi="arial"/>
          <w:sz w:val="28"/>
          <w:szCs w:val="28"/>
        </w:rPr>
      </w:r>
      <w:r>
        <w:br w:type="page"/>
      </w:r>
    </w:p>
    <w:p>
      <w:pPr>
        <w:pStyle w:val="Ttulo1"/>
        <w:rPr>
          <w:rFonts w:ascii="aRIAL" w:hAnsi="aRIAL"/>
        </w:rPr>
      </w:pPr>
      <w:r>
        <w:rPr>
          <w:rFonts w:ascii="aRIAL" w:hAnsi="aRIAL"/>
        </w:rPr>
        <w:t>Plan SAEKO ⇄ Odoo 20</w:t>
      </w:r>
    </w:p>
    <w:p>
      <w:pPr>
        <w:pStyle w:val="Normal"/>
        <w:rPr>
          <w:rFonts w:ascii="aRIAL" w:hAnsi="aRIAL"/>
        </w:rPr>
      </w:pPr>
      <w:r>
        <w:rPr>
          <w:rFonts w:ascii="aRIAL" w:hAnsi="aRIAL"/>
        </w:rPr>
        <w:t>Integración Versión Enterprise</w:t>
      </w:r>
    </w:p>
    <w:p>
      <w:pPr>
        <w:pStyle w:val="Ttulo2"/>
        <w:rPr>
          <w:rFonts w:ascii="aRIAL" w:hAnsi="aRIAL"/>
        </w:rPr>
      </w:pPr>
      <w:r>
        <w:rPr>
          <w:rFonts w:ascii="aRIAL" w:hAnsi="aRIAL"/>
        </w:rPr>
        <w:t>Resumen Ejecutivo</w:t>
      </w:r>
    </w:p>
    <w:p>
      <w:pPr>
        <w:pStyle w:val="Normal"/>
        <w:rPr>
          <w:rFonts w:ascii="aRIAL" w:hAnsi="aRIAL"/>
        </w:rPr>
      </w:pPr>
      <w:r>
        <w:rPr>
          <w:rFonts w:ascii="aRIAL" w:hAnsi="aRIAL"/>
        </w:rPr>
        <w:t xml:space="preserve">La integración se construye sobre Odoo 20 en seis fases y 14 semanas hábiles, unos tres meses y medio aprox. </w:t>
      </w:r>
    </w:p>
    <w:p>
      <w:pPr>
        <w:pStyle w:val="Normal"/>
        <w:rPr>
          <w:rFonts w:ascii="aRIAL" w:hAnsi="aRIAL"/>
        </w:rPr>
      </w:pPr>
      <w:r>
        <w:rPr>
          <w:rFonts w:ascii="aRIAL" w:hAnsi="aRIAL"/>
        </w:rPr>
        <w:t xml:space="preserve">Lo anterior arrojaria un arranque estimado (ejemplo) empleando el día 9 de noviembre de 2026, con una salida a producción estimada para el 1 de marzo de 2027. </w:t>
      </w:r>
    </w:p>
    <w:p>
      <w:pPr>
        <w:pStyle w:val="Normal"/>
        <w:rPr>
          <w:rFonts w:ascii="aRIAL" w:hAnsi="aRIAL"/>
        </w:rPr>
      </w:pPr>
      <w:r>
        <w:rPr>
          <w:rFonts w:ascii="aRIAL" w:hAnsi="aRIAL"/>
        </w:rPr>
        <w:t>El proyecto inicia con el análisis de la API de SAEKO y el desarrollo del conector (modulo versión 20.0), que es la base de todas las fases siguientes.</w:t>
      </w:r>
    </w:p>
    <w:p>
      <w:pPr>
        <w:pStyle w:val="Normal"/>
        <w:rPr>
          <w:rFonts w:ascii="aRIAL" w:hAnsi="aRIAL"/>
        </w:rPr>
      </w:pPr>
      <w:r>
        <w:rPr>
          <w:rFonts w:ascii="aRIAL" w:hAnsi="aRIAL"/>
        </w:rPr>
        <w:t>El cuello de botella no es Odoo sino SAEKO. La API pública no documenta cargos, pagos, CFDI, adeudos, asistencias, suplencias ni bonos, un estimado de 14 puntos de los 25  solicitados via correo. Las fases 4 (finanzas) y 5 (docentes y nómina) arrancan solo cuando SAEKO nos entregue estos endpoints o generen una aclaración en caso de entenderlo incorrectamente, las fases 1 a 3 avanzan sin esperar.</w:t>
      </w:r>
    </w:p>
    <w:p>
      <w:pPr>
        <w:pStyle w:val="Normal"/>
        <w:rPr>
          <w:rFonts w:ascii="aRIAL" w:hAnsi="aRIAL"/>
        </w:rPr>
      </w:pPr>
      <w:r>
        <w:rPr>
          <w:rFonts w:ascii="aRIAL" w:hAnsi="aRIAL"/>
          <w:b/>
        </w:rPr>
        <w:t>Decisiones que se necesitan antes del 20 de noviembre de 2026</w:t>
      </w:r>
    </w:p>
    <w:p>
      <w:pPr>
        <w:pStyle w:val="ListParagraph"/>
        <w:numPr>
          <w:ilvl w:val="0"/>
          <w:numId w:val="4"/>
        </w:numPr>
        <w:rPr>
          <w:rFonts w:ascii="aRIAL" w:hAnsi="aRIAL"/>
        </w:rPr>
      </w:pPr>
      <w:r>
        <w:rPr>
          <w:rFonts w:ascii="aRIAL" w:hAnsi="aRIAL"/>
          <w:b/>
        </w:rPr>
        <w:t>Quién timbra los CFDI.</w:t>
      </w:r>
      <w:r>
        <w:rPr>
          <w:rFonts w:ascii="aRIAL" w:hAnsi="aRIAL"/>
        </w:rPr>
        <w:t xml:space="preserve"> Si timbra SAEKO, Odoo importa UUID, XML y PDF sin re-timbrar. Si timbra Odoo, se factura con la localización mexicana de Enterprise, incluida la factura global. Moveria el alcance de la Fase 4 aproximadamente 1 semana.</w:t>
      </w:r>
    </w:p>
    <w:p>
      <w:pPr>
        <w:pStyle w:val="ListParagraph"/>
        <w:numPr>
          <w:ilvl w:val="0"/>
          <w:numId w:val="1"/>
        </w:numPr>
        <w:rPr>
          <w:rFonts w:ascii="aRIAL" w:hAnsi="aRIAL"/>
        </w:rPr>
      </w:pPr>
      <w:r>
        <w:rPr>
          <w:rFonts w:ascii="aRIAL" w:hAnsi="aRIAL"/>
          <w:b/>
        </w:rPr>
        <w:t>Hosting.</w:t>
      </w:r>
      <w:r>
        <w:rPr>
          <w:rFonts w:ascii="aRIAL" w:hAnsi="aRIAL"/>
        </w:rPr>
        <w:t xml:space="preserve"> Odoo.sh o servidor propio On Premise. Odoo 20 requiere Python 3.12 a 3.14 y PostgreSQL 16 o superior.</w:t>
      </w:r>
    </w:p>
    <w:p>
      <w:pPr>
        <w:pStyle w:val="ListParagraph"/>
        <w:numPr>
          <w:ilvl w:val="0"/>
          <w:numId w:val="1"/>
        </w:numPr>
        <w:rPr/>
      </w:pPr>
      <w:r>
        <w:rPr>
          <w:rFonts w:ascii="aRIAL" w:hAnsi="aRIAL"/>
          <w:b/>
        </w:rPr>
        <w:t>Módulos estándar.</w:t>
      </w:r>
      <w:r>
        <w:rPr>
          <w:rFonts w:ascii="aRIAL" w:hAnsi="aRIAL"/>
        </w:rPr>
        <w:t xml:space="preserve"> Usar Empleados (</w:t>
      </w:r>
      <w:r>
        <w:rPr>
          <w:rStyle w:val="CodeChar"/>
          <w:rFonts w:ascii="aRIAL" w:hAnsi="aRIAL"/>
        </w:rPr>
        <w:t>hr</w:t>
      </w:r>
      <w:r>
        <w:rPr>
          <w:rFonts w:ascii="aRIAL" w:hAnsi="aRIAL"/>
        </w:rPr>
        <w:t>), Asistencias (</w:t>
      </w:r>
      <w:r>
        <w:rPr>
          <w:rStyle w:val="CodeChar"/>
          <w:rFonts w:ascii="aRIAL" w:hAnsi="aRIAL"/>
        </w:rPr>
        <w:t>hr_attendance</w:t>
      </w:r>
      <w:r>
        <w:rPr>
          <w:rFonts w:ascii="aRIAL" w:hAnsi="aRIAL"/>
        </w:rPr>
        <w:t>), Contabilidad y Nómina de Enterprise en lugar de modelos propios.  Pendiente el análisis y aclaración para determinar si es una versión 100% nativa sin adaptaciones o campos añadidos con Studio y no esten contemplados.</w:t>
      </w:r>
    </w:p>
    <w:p>
      <w:pPr>
        <w:pStyle w:val="ListParagraph"/>
        <w:numPr>
          <w:ilvl w:val="0"/>
          <w:numId w:val="1"/>
        </w:numPr>
        <w:rPr>
          <w:rFonts w:ascii="aRIAL" w:hAnsi="aRIAL"/>
        </w:rPr>
      </w:pPr>
      <w:r>
        <w:rPr>
          <w:rFonts w:ascii="aRIAL" w:hAnsi="aRIAL"/>
          <w:b/>
        </w:rPr>
        <w:t>Fecha compromiso de SAEKO</w:t>
      </w:r>
      <w:r>
        <w:rPr>
          <w:rFonts w:ascii="aRIAL" w:hAnsi="aRIAL"/>
        </w:rPr>
        <w:t xml:space="preserve"> para los endpoints faltantes, a más tardar el 11 de enero de 2027. Sin estos endpoints, las fases 4 y 5 no tienen fecha real.</w:t>
      </w:r>
    </w:p>
    <w:p>
      <w:pPr>
        <w:pStyle w:val="Ttulo2"/>
        <w:rPr>
          <w:rFonts w:ascii="aRIAL" w:hAnsi="aRIAL"/>
        </w:rPr>
      </w:pPr>
      <w:r>
        <w:rPr>
          <w:rFonts w:ascii="aRIAL" w:hAnsi="aRIAL"/>
        </w:rPr>
      </w:r>
      <w:r>
        <w:br w:type="page"/>
      </w:r>
    </w:p>
    <w:p>
      <w:pPr>
        <w:pStyle w:val="Ttulo2"/>
        <w:rPr>
          <w:rFonts w:ascii="aRIAL" w:hAnsi="aRIAL"/>
        </w:rPr>
      </w:pPr>
      <w:r>
        <w:rPr>
          <w:rFonts w:ascii="aRIAL" w:hAnsi="aRIAL"/>
        </w:rPr>
        <w:t>Qué cambia en Odoo 20 y cómo afecta al proyecto (Releases Notes)</w:t>
      </w:r>
    </w:p>
    <w:p>
      <w:pPr>
        <w:pStyle w:val="Normal"/>
        <w:rPr/>
      </w:pPr>
      <w:r>
        <w:rPr>
          <w:rFonts w:ascii="aRIAL" w:hAnsi="aRIAL"/>
        </w:rPr>
        <w:t xml:space="preserve">Dos cambios de Odoo 20 tocan directamente este proyecto: la seguridad se reescribió en un solo modelo y la nómina ya no usa entradas de trabajo. Los primeros cinco renglones se validaron en el código de la rama </w:t>
      </w:r>
      <w:r>
        <w:rPr>
          <w:rStyle w:val="CodeChar"/>
          <w:rFonts w:ascii="aRIAL" w:hAnsi="aRIAL"/>
        </w:rPr>
        <w:t>20.0</w:t>
      </w:r>
      <w:r>
        <w:rPr>
          <w:rFonts w:ascii="aRIAL" w:hAnsi="aRIAL"/>
        </w:rPr>
        <w:t xml:space="preserve"> de Odoo. Los marcados como </w:t>
      </w:r>
      <w:r>
        <w:rPr>
          <w:rFonts w:ascii="aRIAL" w:hAnsi="aRIAL"/>
          <w:i/>
        </w:rPr>
        <w:t>reportado</w:t>
      </w:r>
      <w:r>
        <w:rPr>
          <w:rFonts w:ascii="aRIAL" w:hAnsi="aRIAL"/>
        </w:rPr>
        <w:t xml:space="preserve"> vienen de publicaciones de terceros y están en análisis.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3120"/>
        <w:gridCol w:w="3133"/>
        <w:gridCol w:w="3107"/>
      </w:tblGrid>
      <w:tr>
        <w:trPr>
          <w:tblHeader w:val="true"/>
        </w:trPr>
        <w:tc>
          <w:tcPr>
            <w:tcW w:w="3120"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Cambio en Odoo 20</w:t>
            </w:r>
          </w:p>
        </w:tc>
        <w:tc>
          <w:tcPr>
            <w:tcW w:w="3133"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Impacto en el proyecto</w:t>
            </w:r>
          </w:p>
        </w:tc>
        <w:tc>
          <w:tcPr>
            <w:tcW w:w="3107"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Estado</w:t>
            </w:r>
          </w:p>
        </w:tc>
      </w:tr>
      <w:tr>
        <w:trPr/>
        <w:tc>
          <w:tcPr>
            <w:tcW w:w="3120"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Permisos y reglas de registro unificados en </w:t>
            </w:r>
            <w:r>
              <w:rPr>
                <w:rStyle w:val="CodeChar"/>
                <w:rFonts w:eastAsia="Calibri" w:cs="Calibri" w:ascii="aRIAL" w:hAnsi="aRIAL"/>
                <w:kern w:val="0"/>
                <w:sz w:val="22"/>
                <w:szCs w:val="22"/>
                <w:lang w:val="en-US"/>
              </w:rPr>
              <w:t>ir.access</w:t>
            </w:r>
            <w:r>
              <w:rPr>
                <w:rFonts w:eastAsia="Calibri" w:cs="Calibri" w:ascii="aRIAL" w:hAnsi="aRIAL"/>
                <w:kern w:val="0"/>
                <w:sz w:val="22"/>
                <w:szCs w:val="22"/>
                <w:lang w:val="en-US"/>
              </w:rPr>
              <w:t xml:space="preserve"> (</w:t>
            </w:r>
            <w:r>
              <w:rPr>
                <w:rStyle w:val="CodeChar"/>
                <w:rFonts w:eastAsia="Calibri" w:cs="Calibri" w:ascii="aRIAL" w:hAnsi="aRIAL"/>
                <w:kern w:val="0"/>
                <w:sz w:val="22"/>
                <w:szCs w:val="22"/>
                <w:lang w:val="en-US"/>
              </w:rPr>
              <w:t>ir.access.csv</w:t>
            </w:r>
            <w:r>
              <w:rPr>
                <w:rFonts w:eastAsia="Calibri" w:cs="Calibri" w:ascii="aRIAL" w:hAnsi="aRIAL"/>
                <w:kern w:val="0"/>
                <w:sz w:val="22"/>
                <w:szCs w:val="22"/>
                <w:lang w:val="en-US"/>
              </w:rPr>
              <w:t xml:space="preserve">); desaparecen </w:t>
            </w:r>
            <w:r>
              <w:rPr>
                <w:rStyle w:val="CodeChar"/>
                <w:rFonts w:eastAsia="Calibri" w:cs="Calibri" w:ascii="aRIAL" w:hAnsi="aRIAL"/>
                <w:kern w:val="0"/>
                <w:sz w:val="22"/>
                <w:szCs w:val="22"/>
                <w:lang w:val="en-US"/>
              </w:rPr>
              <w:t>ir.model.access</w:t>
            </w:r>
            <w:r>
              <w:rPr>
                <w:rFonts w:eastAsia="Calibri" w:cs="Calibri" w:ascii="aRIAL" w:hAnsi="aRIAL"/>
                <w:kern w:val="0"/>
                <w:sz w:val="22"/>
                <w:szCs w:val="22"/>
                <w:lang w:val="en-US"/>
              </w:rPr>
              <w:t xml:space="preserve"> e </w:t>
            </w:r>
            <w:r>
              <w:rPr>
                <w:rStyle w:val="CodeChar"/>
                <w:rFonts w:eastAsia="Calibri" w:cs="Calibri" w:ascii="aRIAL" w:hAnsi="aRIAL"/>
                <w:kern w:val="0"/>
                <w:sz w:val="22"/>
                <w:szCs w:val="22"/>
                <w:lang w:val="en-US"/>
              </w:rPr>
              <w:t>ir.rule</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El conector y los módulos nuevos definen sus permisos y su regla multicompañía en este formato, con pruebas automatizadas</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Verificado · define Fase 2</w:t>
            </w:r>
          </w:p>
        </w:tc>
      </w:tr>
      <w:tr>
        <w:trPr/>
        <w:tc>
          <w:tcPr>
            <w:tcW w:w="3120" w:type="dxa"/>
            <w:tcBorders/>
          </w:tcPr>
          <w:p>
            <w:pPr>
              <w:pStyle w:val="Normal"/>
              <w:widowControl/>
              <w:spacing w:lineRule="auto" w:line="259" w:before="0" w:after="160"/>
              <w:jc w:val="left"/>
              <w:rPr/>
            </w:pPr>
            <w:r>
              <w:rPr>
                <w:rStyle w:val="CodeChar"/>
                <w:rFonts w:eastAsia="Calibri" w:cs="Calibri" w:ascii="aRIAL" w:hAnsi="aRIAL"/>
                <w:kern w:val="0"/>
                <w:sz w:val="22"/>
                <w:szCs w:val="22"/>
                <w:lang w:val="en-US"/>
              </w:rPr>
              <w:t>hr.work.entry</w:t>
            </w:r>
            <w:r>
              <w:rPr>
                <w:rFonts w:eastAsia="Calibri" w:cs="Calibri" w:ascii="aRIAL" w:hAnsi="aRIAL"/>
                <w:kern w:val="0"/>
                <w:sz w:val="22"/>
                <w:szCs w:val="22"/>
                <w:lang w:val="en-US"/>
              </w:rPr>
              <w:t xml:space="preserve"> se elimina; las </w:t>
            </w:r>
            <w:r>
              <w:rPr>
                <w:rFonts w:eastAsia="Calibri" w:cs="Calibri" w:ascii="aRIAL" w:hAnsi="aRIAL"/>
                <w:b/>
                <w:kern w:val="0"/>
                <w:sz w:val="22"/>
                <w:szCs w:val="22"/>
                <w:lang w:val="en-US"/>
              </w:rPr>
              <w:t>reglas de tiempo</w:t>
            </w:r>
            <w:r>
              <w:rPr>
                <w:rFonts w:eastAsia="Calibri" w:cs="Calibri" w:ascii="aRIAL" w:hAnsi="aRIAL"/>
                <w:kern w:val="0"/>
                <w:sz w:val="22"/>
                <w:szCs w:val="22"/>
                <w:lang w:val="en-US"/>
              </w:rPr>
              <w:t xml:space="preserve"> (</w:t>
            </w:r>
            <w:r>
              <w:rPr>
                <w:rStyle w:val="CodeChar"/>
                <w:rFonts w:eastAsia="Calibri" w:cs="Calibri" w:ascii="aRIAL" w:hAnsi="aRIAL"/>
                <w:kern w:val="0"/>
                <w:sz w:val="22"/>
                <w:szCs w:val="22"/>
                <w:lang w:val="en-US"/>
              </w:rPr>
              <w:t>hr.time.rule</w:t>
            </w:r>
            <w:r>
              <w:rPr>
                <w:rFonts w:eastAsia="Calibri" w:cs="Calibri" w:ascii="aRIAL" w:hAnsi="aRIAL"/>
                <w:kern w:val="0"/>
                <w:sz w:val="22"/>
                <w:szCs w:val="22"/>
                <w:lang w:val="en-US"/>
              </w:rPr>
              <w:t>) se evalúan sobre asistencias (</w:t>
            </w:r>
            <w:r>
              <w:rPr>
                <w:rStyle w:val="CodeChar"/>
                <w:rFonts w:eastAsia="Calibri" w:cs="Calibri" w:ascii="aRIAL" w:hAnsi="aRIAL"/>
                <w:kern w:val="0"/>
                <w:sz w:val="22"/>
                <w:szCs w:val="22"/>
                <w:lang w:val="en-US"/>
              </w:rPr>
              <w:t>hr.attendance</w:t>
            </w:r>
            <w:r>
              <w:rPr>
                <w:rFonts w:eastAsia="Calibri" w:cs="Calibri" w:ascii="aRIAL" w:hAnsi="aRIAL"/>
                <w:kern w:val="0"/>
                <w:sz w:val="22"/>
                <w:szCs w:val="22"/>
                <w:lang w:val="en-US"/>
              </w:rPr>
              <w:t>) y ausencias (</w:t>
            </w:r>
            <w:r>
              <w:rPr>
                <w:rStyle w:val="CodeChar"/>
                <w:rFonts w:eastAsia="Calibri" w:cs="Calibri" w:ascii="aRIAL" w:hAnsi="aRIAL"/>
                <w:kern w:val="0"/>
                <w:sz w:val="22"/>
                <w:szCs w:val="22"/>
                <w:lang w:val="en-US"/>
              </w:rPr>
              <w:t>hr.leave</w:t>
            </w:r>
            <w:r>
              <w:rPr>
                <w:rFonts w:eastAsia="Calibri" w:cs="Calibri" w:ascii="aRIAL" w:hAnsi="aRIAL"/>
                <w:kern w:val="0"/>
                <w:sz w:val="22"/>
                <w:szCs w:val="22"/>
                <w:lang w:val="en-US"/>
              </w:rPr>
              <w:t>)</w:t>
            </w:r>
          </w:p>
        </w:tc>
        <w:tc>
          <w:tcPr>
            <w:tcW w:w="3133"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El checador de profesores debe aterrizar en </w:t>
            </w:r>
            <w:r>
              <w:rPr>
                <w:rStyle w:val="CodeChar"/>
                <w:rFonts w:eastAsia="Calibri" w:cs="Calibri" w:ascii="aRIAL" w:hAnsi="aRIAL"/>
                <w:kern w:val="0"/>
                <w:sz w:val="22"/>
                <w:szCs w:val="22"/>
                <w:lang w:val="en-US"/>
              </w:rPr>
              <w:t>hr.attendance</w:t>
            </w:r>
            <w:r>
              <w:rPr>
                <w:rFonts w:eastAsia="Calibri" w:cs="Calibri" w:ascii="aRIAL" w:hAnsi="aRIAL"/>
                <w:kern w:val="0"/>
                <w:sz w:val="22"/>
                <w:szCs w:val="22"/>
                <w:lang w:val="en-US"/>
              </w:rPr>
              <w:t>; horas extra, faltas y suplencias se calculan con reglas de tiempo</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Verificado · define Fase 5</w:t>
            </w:r>
          </w:p>
        </w:tc>
      </w:tr>
      <w:tr>
        <w:trPr/>
        <w:tc>
          <w:tcPr>
            <w:tcW w:w="3120" w:type="dxa"/>
            <w:tcBorders/>
          </w:tcPr>
          <w:p>
            <w:pPr>
              <w:pStyle w:val="Normal"/>
              <w:widowControl/>
              <w:spacing w:lineRule="auto" w:line="259" w:before="0" w:after="160"/>
              <w:jc w:val="left"/>
              <w:rPr/>
            </w:pPr>
            <w:r>
              <w:rPr>
                <w:rFonts w:eastAsia="Calibri" w:cs="Calibri" w:ascii="aRIAL" w:hAnsi="aRIAL"/>
                <w:kern w:val="0"/>
                <w:sz w:val="22"/>
                <w:szCs w:val="22"/>
                <w:lang w:val="en-US"/>
              </w:rPr>
              <w:t>Contrato y salario viven en versiones del empleado (</w:t>
            </w:r>
            <w:r>
              <w:rPr>
                <w:rStyle w:val="CodeChar"/>
                <w:rFonts w:eastAsia="Calibri" w:cs="Calibri" w:ascii="aRIAL" w:hAnsi="aRIAL"/>
                <w:kern w:val="0"/>
                <w:sz w:val="22"/>
                <w:szCs w:val="22"/>
                <w:lang w:val="en-US"/>
              </w:rPr>
              <w:t>hr.version</w:t>
            </w:r>
            <w:r>
              <w:rPr>
                <w:rFonts w:eastAsia="Calibri" w:cs="Calibri" w:ascii="aRIAL" w:hAnsi="aRIAL"/>
                <w:kern w:val="0"/>
                <w:sz w:val="22"/>
                <w:szCs w:val="22"/>
                <w:lang w:val="en-US"/>
              </w:rPr>
              <w:t>)</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La tarifa por hora del profesor se registra por versión, con historial</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Verificado</w:t>
            </w:r>
          </w:p>
        </w:tc>
      </w:tr>
      <w:tr>
        <w:trPr/>
        <w:tc>
          <w:tcPr>
            <w:tcW w:w="3120" w:type="dxa"/>
            <w:tcBorders/>
          </w:tcPr>
          <w:p>
            <w:pPr>
              <w:pStyle w:val="Normal"/>
              <w:widowControl/>
              <w:spacing w:lineRule="auto" w:line="259" w:before="0" w:after="160"/>
              <w:jc w:val="left"/>
              <w:rPr/>
            </w:pPr>
            <w:r>
              <w:rPr>
                <w:rStyle w:val="CodeChar"/>
                <w:rFonts w:eastAsia="Calibri" w:cs="Calibri" w:ascii="aRIAL" w:hAnsi="aRIAL"/>
                <w:kern w:val="0"/>
                <w:sz w:val="22"/>
                <w:szCs w:val="22"/>
                <w:lang w:val="en-US"/>
              </w:rPr>
              <w:t>/xmlrpc</w:t>
            </w:r>
            <w:r>
              <w:rPr>
                <w:rFonts w:eastAsia="Calibri" w:cs="Calibri" w:ascii="aRIAL" w:hAnsi="aRIAL"/>
                <w:kern w:val="0"/>
                <w:sz w:val="22"/>
                <w:szCs w:val="22"/>
                <w:lang w:val="en-US"/>
              </w:rPr>
              <w:t xml:space="preserve"> y </w:t>
            </w:r>
            <w:r>
              <w:rPr>
                <w:rStyle w:val="CodeChar"/>
                <w:rFonts w:eastAsia="Calibri" w:cs="Calibri" w:ascii="aRIAL" w:hAnsi="aRIAL"/>
                <w:kern w:val="0"/>
                <w:sz w:val="22"/>
                <w:szCs w:val="22"/>
                <w:lang w:val="en-US"/>
              </w:rPr>
              <w:t>/jsonrpc</w:t>
            </w:r>
            <w:r>
              <w:rPr>
                <w:rFonts w:eastAsia="Calibri" w:cs="Calibri" w:ascii="aRIAL" w:hAnsi="aRIAL"/>
                <w:kern w:val="0"/>
                <w:sz w:val="22"/>
                <w:szCs w:val="22"/>
                <w:lang w:val="en-US"/>
              </w:rPr>
              <w:t xml:space="preserve"> obsoletos, con retiro previsto en Odoo 22; reemplazo: </w:t>
            </w:r>
            <w:r>
              <w:rPr>
                <w:rStyle w:val="CodeChar"/>
                <w:rFonts w:eastAsia="Calibri" w:cs="Calibri" w:ascii="aRIAL" w:hAnsi="aRIAL"/>
                <w:kern w:val="0"/>
                <w:sz w:val="22"/>
                <w:szCs w:val="22"/>
                <w:lang w:val="en-US"/>
              </w:rPr>
              <w:t>/json/2/&lt;modelo&gt;/&lt;método&gt;</w:t>
            </w:r>
            <w:r>
              <w:rPr>
                <w:rFonts w:eastAsia="Calibri" w:cs="Calibri" w:ascii="aRIAL" w:hAnsi="aRIAL"/>
                <w:kern w:val="0"/>
                <w:sz w:val="22"/>
                <w:szCs w:val="22"/>
                <w:lang w:val="en-US"/>
              </w:rPr>
              <w:t xml:space="preserve"> con API key</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El conector no se ve afectado: Odoo llama a SAEKO. Si SAEKO u otro sistema escribe en Odoo, debe usar JSON-2</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Verificado</w:t>
            </w:r>
          </w:p>
        </w:tc>
      </w:tr>
      <w:tr>
        <w:trPr/>
        <w:tc>
          <w:tcPr>
            <w:tcW w:w="31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Python 3.12 a 3.14 y PostgreSQL 16 o superior</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Define el ambiente de servidor propio u Odoo.sh</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Verificado</w:t>
            </w:r>
          </w:p>
        </w:tc>
      </w:tr>
      <w:tr>
        <w:trPr/>
        <w:tc>
          <w:tcPr>
            <w:tcW w:w="31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Agente de IA que ejecuta acciones con aprobación del usuario; Odoo como cliente y servidor MCP</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Consultas en lenguaje natural sobre alumnos y adeudos. Mejora opcional en Fase 6</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Reportado</w:t>
            </w:r>
          </w:p>
        </w:tc>
      </w:tr>
      <w:tr>
        <w:trPr/>
        <w:tc>
          <w:tcPr>
            <w:tcW w:w="31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Nómina: tablero de avisos previos, simulador neto a bruto y localizaciones reajustadas</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Validar que la nómina mexicana de Enterprise esté disponible en 20 durante el análisis (Fase 1)</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Reportado</w:t>
            </w:r>
          </w:p>
        </w:tc>
      </w:tr>
      <w:tr>
        <w:trPr/>
        <w:tc>
          <w:tcPr>
            <w:tcW w:w="31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 xml:space="preserve">Nuevo esquema de licencia </w:t>
            </w:r>
            <w:r>
              <w:rPr>
                <w:rFonts w:eastAsia="Calibri" w:cs="Calibri" w:ascii="aRIAL" w:hAnsi="aRIAL"/>
                <w:i/>
                <w:kern w:val="0"/>
                <w:sz w:val="22"/>
                <w:szCs w:val="22"/>
                <w:lang w:val="en-US"/>
              </w:rPr>
              <w:t>Light User</w:t>
            </w:r>
            <w:r>
              <w:rPr>
                <w:rFonts w:eastAsia="Calibri" w:cs="Calibri" w:ascii="aRIAL" w:hAnsi="aRIAL"/>
                <w:kern w:val="0"/>
                <w:sz w:val="22"/>
                <w:szCs w:val="22"/>
                <w:lang w:val="en-US"/>
              </w:rPr>
              <w:t xml:space="preserve"> para empleados sin acceso completo (contrato Enterprise v13)</w:t>
            </w:r>
          </w:p>
        </w:tc>
        <w:tc>
          <w:tcPr>
            <w:tcW w:w="313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Los profesores que solo registren asistencia podrían caer en este esquema; revisar costos con Odoo</w:t>
            </w:r>
          </w:p>
        </w:tc>
        <w:tc>
          <w:tcPr>
            <w:tcW w:w="310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Reportado</w:t>
            </w:r>
          </w:p>
        </w:tc>
      </w:tr>
    </w:tbl>
    <w:p>
      <w:pPr>
        <w:pStyle w:val="Normal"/>
        <w:rPr>
          <w:rFonts w:ascii="aRIAL" w:hAnsi="aRIAL"/>
        </w:rPr>
      </w:pPr>
      <w:r>
        <w:rPr>
          <w:rFonts w:ascii="aRIAL" w:hAnsi="aRIAL"/>
        </w:rPr>
        <w:t xml:space="preserve">Fuentes: </w:t>
      </w:r>
    </w:p>
    <w:p>
      <w:pPr>
        <w:pStyle w:val="ListParagraph"/>
        <w:numPr>
          <w:ilvl w:val="0"/>
          <w:numId w:val="2"/>
        </w:numPr>
        <w:rPr/>
      </w:pPr>
      <w:r>
        <w:rPr>
          <w:rFonts w:ascii="aRIAL" w:hAnsi="aRIAL"/>
        </w:rPr>
        <w:t xml:space="preserve">Lanzamiento Odoo 20.0 en </w:t>
      </w:r>
      <w:hyperlink r:id="rId3">
        <w:r>
          <w:rPr>
            <w:rStyle w:val="EnlacedeInternet"/>
            <w:rFonts w:ascii="aRIAL" w:hAnsi="aRIAL"/>
          </w:rPr>
          <w:t>GitHub</w:t>
        </w:r>
      </w:hyperlink>
      <w:r>
        <w:rPr>
          <w:rFonts w:ascii="aRIAL" w:hAnsi="aRIAL"/>
        </w:rPr>
        <w:t xml:space="preserve"> (</w:t>
      </w:r>
      <w:r>
        <w:rPr>
          <w:rStyle w:val="CodeChar"/>
          <w:rFonts w:ascii="aRIAL" w:hAnsi="aRIAL"/>
        </w:rPr>
        <w:t>odoo/release.py</w:t>
      </w:r>
      <w:r>
        <w:rPr>
          <w:rFonts w:ascii="aRIAL" w:hAnsi="aRIAL"/>
        </w:rPr>
        <w:t xml:space="preserve">, </w:t>
      </w:r>
      <w:r>
        <w:rPr>
          <w:rStyle w:val="CodeChar"/>
          <w:rFonts w:ascii="aRIAL" w:hAnsi="aRIAL"/>
        </w:rPr>
        <w:t>ir_access.py</w:t>
      </w:r>
      <w:r>
        <w:rPr>
          <w:rFonts w:ascii="aRIAL" w:hAnsi="aRIAL"/>
        </w:rPr>
        <w:t xml:space="preserve">, </w:t>
      </w:r>
      <w:r>
        <w:rPr>
          <w:rStyle w:val="CodeChar"/>
          <w:rFonts w:ascii="aRIAL" w:hAnsi="aRIAL"/>
        </w:rPr>
        <w:t>hr_time_rule.py</w:t>
      </w:r>
      <w:r>
        <w:rPr>
          <w:rFonts w:ascii="aRIAL" w:hAnsi="aRIAL"/>
        </w:rPr>
        <w:t xml:space="preserve">, </w:t>
      </w:r>
      <w:r>
        <w:rPr>
          <w:rStyle w:val="CodeChar"/>
          <w:rFonts w:ascii="aRIAL" w:hAnsi="aRIAL"/>
        </w:rPr>
        <w:t>rpc/controllers</w:t>
      </w:r>
      <w:r>
        <w:rPr>
          <w:rFonts w:ascii="aRIAL" w:hAnsi="aRIAL"/>
        </w:rPr>
        <w:t>)</w:t>
      </w:r>
    </w:p>
    <w:p>
      <w:pPr>
        <w:pStyle w:val="ListParagraph"/>
        <w:numPr>
          <w:ilvl w:val="0"/>
          <w:numId w:val="2"/>
        </w:numPr>
        <w:rPr/>
      </w:pPr>
      <w:r>
        <w:rPr>
          <w:rFonts w:ascii="aRIAL" w:hAnsi="aRIAL"/>
        </w:rPr>
        <w:t xml:space="preserve"> </w:t>
      </w:r>
      <w:hyperlink r:id="rId4">
        <w:r>
          <w:rPr>
            <w:rStyle w:val="EnlacedeInternet"/>
            <w:rFonts w:ascii="aRIAL" w:hAnsi="aRIAL"/>
          </w:rPr>
          <w:t>OEC.sh: Odoo 20 released</w:t>
        </w:r>
      </w:hyperlink>
    </w:p>
    <w:p>
      <w:pPr>
        <w:pStyle w:val="ListParagraph"/>
        <w:numPr>
          <w:ilvl w:val="0"/>
          <w:numId w:val="2"/>
        </w:numPr>
        <w:rPr/>
      </w:pPr>
      <w:hyperlink r:id="rId5">
        <w:r>
          <w:rPr>
            <w:rStyle w:val="EnlacedeInternet"/>
            <w:rFonts w:ascii="aRIAL" w:hAnsi="aRIAL"/>
          </w:rPr>
          <w:t>Webkul: guía de migración a Odoo 20</w:t>
        </w:r>
      </w:hyperlink>
      <w:r>
        <w:rPr>
          <w:rFonts w:ascii="aRIAL" w:hAnsi="aRIAL"/>
        </w:rPr>
        <w:t>.</w:t>
      </w:r>
    </w:p>
    <w:p>
      <w:pPr>
        <w:pStyle w:val="Ttulo2"/>
        <w:rPr>
          <w:rFonts w:ascii="aRIAL" w:hAnsi="aRIAL"/>
        </w:rPr>
      </w:pPr>
      <w:r>
        <w:rPr>
          <w:rFonts w:ascii="aRIAL" w:hAnsi="aRIAL"/>
        </w:rPr>
        <w:t>Fases de desarrollo e implementación</w:t>
      </w:r>
    </w:p>
    <w:p>
      <w:pPr>
        <w:pStyle w:val="Normal"/>
        <w:rPr>
          <w:rFonts w:ascii="aRIAL" w:hAnsi="aRIAL"/>
        </w:rPr>
      </w:pPr>
      <w:r>
        <w:rPr>
          <w:rFonts w:ascii="aRIAL" w:hAnsi="aRIAL"/>
        </w:rPr>
        <w:t>Cada fase cierra con una compuerta medible, no se pasa a la siguiente sin cumplirla. Las duraciones son estimaciones en semanas hábiles para un equipo de 2 desarrolladores Odoo y 1 consultor funcional, y suman 14 semanas.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364"/>
        <w:gridCol w:w="1561"/>
        <w:gridCol w:w="2140"/>
        <w:gridCol w:w="1560"/>
        <w:gridCol w:w="1193"/>
        <w:gridCol w:w="1541"/>
      </w:tblGrid>
      <w:tr>
        <w:trPr>
          <w:tblHeader w:val="true"/>
        </w:trPr>
        <w:tc>
          <w:tcPr>
            <w:tcW w:w="1364"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w:t>
            </w:r>
          </w:p>
        </w:tc>
        <w:tc>
          <w:tcPr>
            <w:tcW w:w="1561"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Alcance</w:t>
            </w:r>
          </w:p>
        </w:tc>
        <w:tc>
          <w:tcPr>
            <w:tcW w:w="2140"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Entregables</w:t>
            </w:r>
          </w:p>
        </w:tc>
        <w:tc>
          <w:tcPr>
            <w:tcW w:w="1560"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Compuerta de salida</w:t>
            </w:r>
          </w:p>
        </w:tc>
        <w:tc>
          <w:tcPr>
            <w:tcW w:w="1193"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Semanas</w:t>
            </w:r>
          </w:p>
        </w:tc>
        <w:tc>
          <w:tcPr>
            <w:tcW w:w="1541"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Depende de</w:t>
            </w:r>
          </w:p>
        </w:tc>
      </w:tr>
      <w:tr>
        <w:trPr/>
        <w:tc>
          <w:tcPr>
            <w:tcW w:w="136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1. Análisis y diseño</w:t>
            </w:r>
          </w:p>
        </w:tc>
        <w:tc>
          <w:tcPr>
            <w:tcW w:w="156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API de SAEKO, procesos de la universidad, decisiones clave, ambientes</w:t>
            </w:r>
          </w:p>
        </w:tc>
        <w:tc>
          <w:tcPr>
            <w:tcW w:w="2140"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Matriz de los 25 requerimientos contra la API de SAEKO; preguntas a SAEKO respondidas; diseño de arquitectura y modelo de datos; ambientes Odoo 20 de desarrollo, staging y producción; repositorio con rama </w:t>
            </w:r>
            <w:r>
              <w:rPr>
                <w:rStyle w:val="CodeChar"/>
                <w:rFonts w:eastAsia="Calibri" w:cs="Calibri" w:ascii="aRIAL" w:hAnsi="aRIAL"/>
                <w:kern w:val="0"/>
                <w:sz w:val="22"/>
                <w:szCs w:val="22"/>
                <w:lang w:val="en-US"/>
              </w:rPr>
              <w:t>20.0</w:t>
            </w:r>
          </w:p>
        </w:tc>
        <w:tc>
          <w:tcPr>
            <w:tcW w:w="156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Las 4 decisiones del resumen tomadas por escrito y credenciales SAEKO de sandbox entregadas</w:t>
            </w:r>
          </w:p>
        </w:tc>
        <w:tc>
          <w:tcPr>
            <w:tcW w:w="119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w:t>
            </w:r>
          </w:p>
        </w:tc>
        <w:tc>
          <w:tcPr>
            <w:tcW w:w="154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Universidad, SAEKO</w:t>
            </w:r>
          </w:p>
        </w:tc>
      </w:tr>
      <w:tr>
        <w:trPr/>
        <w:tc>
          <w:tcPr>
            <w:tcW w:w="136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2. Desarrollo del conector</w:t>
            </w:r>
          </w:p>
        </w:tc>
        <w:tc>
          <w:tcPr>
            <w:tcW w:w="1561"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Módulo </w:t>
            </w:r>
            <w:r>
              <w:rPr>
                <w:rStyle w:val="CodeChar"/>
                <w:rFonts w:eastAsia="Calibri" w:cs="Calibri" w:ascii="aRIAL" w:hAnsi="aRIAL"/>
                <w:kern w:val="0"/>
                <w:sz w:val="22"/>
                <w:szCs w:val="22"/>
                <w:lang w:val="en-US"/>
              </w:rPr>
              <w:t>saeko_connector</w:t>
            </w:r>
            <w:r>
              <w:rPr>
                <w:rFonts w:eastAsia="Calibri" w:cs="Calibri" w:ascii="aRIAL" w:hAnsi="aRIAL"/>
                <w:kern w:val="0"/>
                <w:sz w:val="22"/>
                <w:szCs w:val="22"/>
                <w:lang w:val="en-US"/>
              </w:rPr>
              <w:t>: conexión, bitácora, datos crudos, sincronización programada</w:t>
            </w:r>
          </w:p>
        </w:tc>
        <w:tc>
          <w:tcPr>
            <w:tcW w:w="214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Autenticación OAuth2 JWT con renovación de token; bitácora de cada llamada con secretos ocultos; datos crudos con versión e historial; catálogo de endpoints configurable; crons; explorador de API; pruebas automatizadas; primera carga completa desde SAEKO</w:t>
            </w:r>
          </w:p>
        </w:tc>
        <w:tc>
          <w:tcPr>
            <w:tcW w:w="156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Prueba de conexión verde contra SAEKO y carga cruda de todos los recursos documentados sin errores</w:t>
            </w:r>
          </w:p>
        </w:tc>
        <w:tc>
          <w:tcPr>
            <w:tcW w:w="119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w:t>
            </w:r>
          </w:p>
        </w:tc>
        <w:tc>
          <w:tcPr>
            <w:tcW w:w="154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 1</w:t>
            </w:r>
          </w:p>
        </w:tc>
      </w:tr>
      <w:tr>
        <w:trPr/>
        <w:tc>
          <w:tcPr>
            <w:tcW w:w="136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3. Maestro académico</w:t>
            </w:r>
          </w:p>
        </w:tc>
        <w:tc>
          <w:tcPr>
            <w:tcW w:w="156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Alumnos, profesores, planteles, ciclos, programas, grupos, materias, becas</w:t>
            </w:r>
          </w:p>
        </w:tc>
        <w:tc>
          <w:tcPr>
            <w:tcW w:w="2140"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Módulo </w:t>
            </w:r>
            <w:r>
              <w:rPr>
                <w:rStyle w:val="CodeChar"/>
                <w:rFonts w:eastAsia="Calibri" w:cs="Calibri" w:ascii="aRIAL" w:hAnsi="aRIAL"/>
                <w:kern w:val="0"/>
                <w:sz w:val="22"/>
                <w:szCs w:val="22"/>
                <w:lang w:val="en-US"/>
              </w:rPr>
              <w:t>saeko_academic</w:t>
            </w:r>
            <w:r>
              <w:rPr>
                <w:rFonts w:eastAsia="Calibri" w:cs="Calibri" w:ascii="aRIAL" w:hAnsi="aRIAL"/>
                <w:kern w:val="0"/>
                <w:sz w:val="22"/>
                <w:szCs w:val="22"/>
                <w:lang w:val="en-US"/>
              </w:rPr>
              <w:t>: modelos académicos, alumnos como contactos, profesores como empleados, ficha académica por alumno, becas por inscripción, con trazabilidad al dato crudo</w:t>
            </w:r>
          </w:p>
        </w:tc>
        <w:tc>
          <w:tcPr>
            <w:tcW w:w="156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Conteos de alumnos y profesores por plantel y programa cuadran al 100 % con SAEKO</w:t>
            </w:r>
          </w:p>
        </w:tc>
        <w:tc>
          <w:tcPr>
            <w:tcW w:w="119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54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 2</w:t>
            </w:r>
          </w:p>
        </w:tc>
      </w:tr>
      <w:tr>
        <w:trPr/>
        <w:tc>
          <w:tcPr>
            <w:tcW w:w="136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4. Finanzas de alumnos</w:t>
            </w:r>
          </w:p>
        </w:tc>
        <w:tc>
          <w:tcPr>
            <w:tcW w:w="156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Conceptos, cargos, pagos, facturas y CFDI, adeudos, condonaciones</w:t>
            </w:r>
          </w:p>
        </w:tc>
        <w:tc>
          <w:tcPr>
            <w:tcW w:w="2140"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Módulo </w:t>
            </w:r>
            <w:r>
              <w:rPr>
                <w:rStyle w:val="CodeChar"/>
                <w:rFonts w:eastAsia="Calibri" w:cs="Calibri" w:ascii="aRIAL" w:hAnsi="aRIAL"/>
                <w:kern w:val="0"/>
                <w:sz w:val="22"/>
                <w:szCs w:val="22"/>
                <w:lang w:val="en-US"/>
              </w:rPr>
              <w:t>saeko_account</w:t>
            </w:r>
            <w:r>
              <w:rPr>
                <w:rFonts w:eastAsia="Calibri" w:cs="Calibri" w:ascii="aRIAL" w:hAnsi="aRIAL"/>
                <w:kern w:val="0"/>
                <w:sz w:val="22"/>
                <w:szCs w:val="22"/>
                <w:lang w:val="en-US"/>
              </w:rPr>
              <w:t>: productos por concepto; facturas de cliente; pagos con diario por método (pasarela, TPV, referenciado, transferencia) y forma de pago SAT; CFDI importado o timbrado; reporte de conciliación de adeudos</w:t>
            </w:r>
          </w:p>
        </w:tc>
        <w:tc>
          <w:tcPr>
            <w:tcW w:w="156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Saldo por alumno y por plantel cuadra con SAEKO en un corte de mes; contabilidad lo valida</w:t>
            </w:r>
          </w:p>
        </w:tc>
        <w:tc>
          <w:tcPr>
            <w:tcW w:w="119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54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Endpoints SAEKO de finanzas; decisión CFDI</w:t>
            </w:r>
          </w:p>
        </w:tc>
      </w:tr>
      <w:tr>
        <w:trPr/>
        <w:tc>
          <w:tcPr>
            <w:tcW w:w="136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5. Docentes y nómina</w:t>
            </w:r>
          </w:p>
        </w:tc>
        <w:tc>
          <w:tcPr>
            <w:tcW w:w="156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Carga horaria, horario, checador, carga dada, suplencias, incidencias, bonos</w:t>
            </w:r>
          </w:p>
        </w:tc>
        <w:tc>
          <w:tcPr>
            <w:tcW w:w="2140"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Módulo </w:t>
            </w:r>
            <w:r>
              <w:rPr>
                <w:rStyle w:val="CodeChar"/>
                <w:rFonts w:eastAsia="Calibri" w:cs="Calibri" w:ascii="aRIAL" w:hAnsi="aRIAL"/>
                <w:kern w:val="0"/>
                <w:sz w:val="22"/>
                <w:szCs w:val="22"/>
                <w:lang w:val="en-US"/>
              </w:rPr>
              <w:t>saeko_hr</w:t>
            </w:r>
            <w:r>
              <w:rPr>
                <w:rFonts w:eastAsia="Calibri" w:cs="Calibri" w:ascii="aRIAL" w:hAnsi="aRIAL"/>
                <w:kern w:val="0"/>
                <w:sz w:val="22"/>
                <w:szCs w:val="22"/>
                <w:lang w:val="en-US"/>
              </w:rPr>
              <w:t>: horario como calendario de trabajo; checador en Asistencias; reglas de tiempo para faltas, retardos y suplencias; incidencias con documentos adjuntos; bonos como entradas de nómina</w:t>
            </w:r>
          </w:p>
        </w:tc>
        <w:tc>
          <w:tcPr>
            <w:tcW w:w="156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Una quincena de nómina en paralelo con diferencia cero contra el proceso actual</w:t>
            </w:r>
          </w:p>
        </w:tc>
        <w:tc>
          <w:tcPr>
            <w:tcW w:w="119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w:t>
            </w:r>
          </w:p>
        </w:tc>
        <w:tc>
          <w:tcPr>
            <w:tcW w:w="154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Endpoints SAEKO docentes; Nómina Enterprise</w:t>
            </w:r>
          </w:p>
        </w:tc>
      </w:tr>
      <w:tr>
        <w:trPr/>
        <w:tc>
          <w:tcPr>
            <w:tcW w:w="136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6. Pruebas y salida a producción</w:t>
            </w:r>
          </w:p>
        </w:tc>
        <w:tc>
          <w:tcPr>
            <w:tcW w:w="156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Pruebas integrales, reportes, capacitación, arranque</w:t>
            </w:r>
          </w:p>
        </w:tc>
        <w:tc>
          <w:tcPr>
            <w:tcW w:w="214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Pruebas de aceptación por área; tableros por plantel; alertas por correo cuando falla una sincronización; manuales; capacitación a contabilidad, nómina y control escolar; arranque</w:t>
            </w:r>
          </w:p>
        </w:tc>
        <w:tc>
          <w:tcPr>
            <w:tcW w:w="156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Un ciclo de cobranza y una quincena en producción sin incidentes críticos</w:t>
            </w:r>
          </w:p>
        </w:tc>
        <w:tc>
          <w:tcPr>
            <w:tcW w:w="1193"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 + 2 de soporte</w:t>
            </w:r>
          </w:p>
        </w:tc>
        <w:tc>
          <w:tcPr>
            <w:tcW w:w="154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Fases 3 a 5</w:t>
            </w:r>
          </w:p>
        </w:tc>
      </w:tr>
    </w:tbl>
    <w:p>
      <w:pPr>
        <w:pStyle w:val="Normal"/>
        <w:rPr>
          <w:rFonts w:ascii="aRIAL" w:hAnsi="aRIAL"/>
        </w:rPr>
      </w:pPr>
      <w:r>
        <w:rPr>
          <w:rFonts w:ascii="aRIAL" w:hAnsi="aRIAL"/>
        </w:rPr>
        <w:t>Las fases 4 y 5 son la ruta crítica: si SAEKO entrega tarde los endpoints, el calendario solo se protege adelantando la Fase 5 en paralelo con un desarrollador por módulo.</w:t>
      </w:r>
    </w:p>
    <w:p>
      <w:pPr>
        <w:pStyle w:val="Ttulo2"/>
        <w:rPr>
          <w:rFonts w:ascii="aRIAL" w:hAnsi="aRIAL"/>
        </w:rPr>
      </w:pPr>
      <w:r>
        <w:rPr>
          <w:rFonts w:ascii="aRIAL" w:hAnsi="aRIAL"/>
        </w:rPr>
        <w:t>Mapeo de requerimientos a Odoo 20</w:t>
      </w:r>
    </w:p>
    <w:p>
      <w:pPr>
        <w:pStyle w:val="Normal"/>
        <w:rPr>
          <w:rFonts w:ascii="aRIAL" w:hAnsi="aRIAL"/>
        </w:rPr>
      </w:pPr>
      <w:r>
        <w:rPr>
          <w:rFonts w:ascii="aRIAL" w:hAnsi="aRIAL"/>
        </w:rPr>
        <w:t>Once de los 25 datos ya tienen fuente en SAEKO (7 completos, 4 parciales); los otros 14 dependen de endpoints que SAEKO no documenta. El destino en Odoo se eligió para usar módulos estándar siempre que existan.</w:t>
      </w:r>
    </w:p>
    <w:tbl>
      <w:tblPr>
        <w:tblStyle w:val="TableGrid"/>
        <w:tblW w:w="9360"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895"/>
        <w:gridCol w:w="1872"/>
        <w:gridCol w:w="3411"/>
        <w:gridCol w:w="750"/>
        <w:gridCol w:w="1432"/>
      </w:tblGrid>
      <w:tr>
        <w:trPr>
          <w:tblHeader w:val="true"/>
        </w:trPr>
        <w:tc>
          <w:tcPr>
            <w:tcW w:w="1895"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Requerimiento</w:t>
            </w:r>
          </w:p>
        </w:tc>
        <w:tc>
          <w:tcPr>
            <w:tcW w:w="1872"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Fuente SAEKO</w:t>
            </w:r>
          </w:p>
        </w:tc>
        <w:tc>
          <w:tcPr>
            <w:tcW w:w="3411"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Destino en Odoo 20</w:t>
            </w:r>
          </w:p>
        </w:tc>
        <w:tc>
          <w:tcPr>
            <w:tcW w:w="750"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w:t>
            </w:r>
          </w:p>
        </w:tc>
        <w:tc>
          <w:tcPr>
            <w:tcW w:w="1432"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API SAEKO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Profesores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Contacto: nombre, CURP, RFC, grado de estudios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Employee</w:t>
            </w:r>
          </w:p>
        </w:tc>
        <w:tc>
          <w:tcPr>
            <w:tcW w:w="3411" w:type="dxa"/>
            <w:tcBorders/>
          </w:tcPr>
          <w:p>
            <w:pPr>
              <w:pStyle w:val="Normal"/>
              <w:widowControl/>
              <w:spacing w:lineRule="auto" w:line="259" w:before="0" w:after="160"/>
              <w:jc w:val="left"/>
              <w:rPr/>
            </w:pPr>
            <w:r>
              <w:rPr>
                <w:rFonts w:eastAsia="Calibri" w:cs="Calibri" w:ascii="aRIAL" w:hAnsi="aRIAL"/>
                <w:kern w:val="0"/>
                <w:sz w:val="22"/>
                <w:szCs w:val="22"/>
                <w:lang w:val="en-US"/>
              </w:rPr>
              <w:t>Empleado (</w:t>
            </w:r>
            <w:r>
              <w:rPr>
                <w:rStyle w:val="CodeChar"/>
                <w:rFonts w:eastAsia="Calibri" w:cs="Calibri" w:ascii="aRIAL" w:hAnsi="aRIAL"/>
                <w:kern w:val="0"/>
                <w:sz w:val="22"/>
                <w:szCs w:val="22"/>
                <w:lang w:val="en-US"/>
              </w:rPr>
              <w:t>hr.employee</w:t>
            </w:r>
            <w:r>
              <w:rPr>
                <w:rFonts w:eastAsia="Calibri" w:cs="Calibri" w:ascii="aRIAL" w:hAnsi="aRIAL"/>
                <w:kern w:val="0"/>
                <w:sz w:val="22"/>
                <w:szCs w:val="22"/>
                <w:lang w:val="en-US"/>
              </w:rPr>
              <w:t>) + contacto; grado en datos de formación</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Tarifas</w:t>
            </w:r>
          </w:p>
        </w:tc>
        <w:tc>
          <w:tcPr>
            <w:tcW w:w="1872" w:type="dxa"/>
            <w:tcBorders/>
          </w:tcPr>
          <w:p>
            <w:pPr>
              <w:pStyle w:val="Normal"/>
              <w:widowControl/>
              <w:spacing w:lineRule="auto" w:line="259" w:before="0" w:after="160"/>
              <w:jc w:val="left"/>
              <w:rPr/>
            </w:pPr>
            <w:r>
              <w:rPr>
                <w:rStyle w:val="CodeChar"/>
                <w:rFonts w:eastAsia="Calibri" w:cs="Calibri" w:ascii="aRIAL" w:hAnsi="aRIAL"/>
                <w:kern w:val="0"/>
                <w:sz w:val="22"/>
                <w:szCs w:val="22"/>
                <w:lang w:val="en-US"/>
              </w:rPr>
              <w:t>Employee.cost_per_hour</w:t>
            </w:r>
          </w:p>
        </w:tc>
        <w:tc>
          <w:tcPr>
            <w:tcW w:w="3411" w:type="dxa"/>
            <w:tcBorders/>
          </w:tcPr>
          <w:p>
            <w:pPr>
              <w:pStyle w:val="Normal"/>
              <w:widowControl/>
              <w:spacing w:lineRule="auto" w:line="259" w:before="0" w:after="160"/>
              <w:jc w:val="left"/>
              <w:rPr/>
            </w:pPr>
            <w:r>
              <w:rPr>
                <w:rFonts w:eastAsia="Calibri" w:cs="Calibri" w:ascii="aRIAL" w:hAnsi="aRIAL"/>
                <w:kern w:val="0"/>
                <w:sz w:val="22"/>
                <w:szCs w:val="22"/>
                <w:lang w:val="en-US"/>
              </w:rPr>
              <w:t>Versión del empleado (</w:t>
            </w:r>
            <w:r>
              <w:rPr>
                <w:rStyle w:val="CodeChar"/>
                <w:rFonts w:eastAsia="Calibri" w:cs="Calibri" w:ascii="aRIAL" w:hAnsi="aRIAL"/>
                <w:kern w:val="0"/>
                <w:sz w:val="22"/>
                <w:szCs w:val="22"/>
                <w:lang w:val="en-US"/>
              </w:rPr>
              <w:t>hr.version</w:t>
            </w:r>
            <w:r>
              <w:rPr>
                <w:rFonts w:eastAsia="Calibri" w:cs="Calibri" w:ascii="aRIAL" w:hAnsi="aRIAL"/>
                <w:kern w:val="0"/>
                <w:sz w:val="22"/>
                <w:szCs w:val="22"/>
                <w:lang w:val="en-US"/>
              </w:rPr>
              <w:t>) con tarifa por hora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Parcial: una sola tarifa</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Carga horaria: horario, plantel, modalidad, programa</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Course + Group</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Curso académico ligado a empleado; horario como calendario de trabajo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 y 5</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Parcial: sin horario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Carga dada</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pPr>
            <w:r>
              <w:rPr>
                <w:rFonts w:eastAsia="Calibri" w:cs="Calibri" w:ascii="aRIAL" w:hAnsi="aRIAL"/>
                <w:kern w:val="0"/>
                <w:sz w:val="22"/>
                <w:szCs w:val="22"/>
                <w:lang w:val="en-US"/>
              </w:rPr>
              <w:t>Asistencias (</w:t>
            </w:r>
            <w:r>
              <w:rPr>
                <w:rStyle w:val="CodeChar"/>
                <w:rFonts w:eastAsia="Calibri" w:cs="Calibri" w:ascii="aRIAL" w:hAnsi="aRIAL"/>
                <w:kern w:val="0"/>
                <w:sz w:val="22"/>
                <w:szCs w:val="22"/>
                <w:lang w:val="en-US"/>
              </w:rPr>
              <w:t>hr.attendance</w:t>
            </w:r>
            <w:r>
              <w:rPr>
                <w:rFonts w:eastAsia="Calibri" w:cs="Calibri" w:ascii="aRIAL" w:hAnsi="aRIAL"/>
                <w:kern w:val="0"/>
                <w:sz w:val="22"/>
                <w:szCs w:val="22"/>
                <w:lang w:val="en-US"/>
              </w:rPr>
              <w:t>) contra horario, vía reglas de tiempo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Registros de asistencia y checador</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GateAccessLog</w:t>
            </w:r>
          </w:p>
        </w:tc>
        <w:tc>
          <w:tcPr>
            <w:tcW w:w="3411" w:type="dxa"/>
            <w:tcBorders/>
          </w:tcPr>
          <w:p>
            <w:pPr>
              <w:pStyle w:val="Normal"/>
              <w:widowControl/>
              <w:spacing w:lineRule="auto" w:line="259" w:before="0" w:after="160"/>
              <w:jc w:val="left"/>
              <w:rPr/>
            </w:pPr>
            <w:r>
              <w:rPr>
                <w:rFonts w:eastAsia="Calibri" w:cs="Calibri" w:ascii="aRIAL" w:hAnsi="aRIAL"/>
                <w:kern w:val="0"/>
                <w:sz w:val="22"/>
                <w:szCs w:val="22"/>
                <w:lang w:val="en-US"/>
              </w:rPr>
              <w:t>Asistencias (</w:t>
            </w:r>
            <w:r>
              <w:rPr>
                <w:rStyle w:val="CodeChar"/>
                <w:rFonts w:eastAsia="Calibri" w:cs="Calibri" w:ascii="aRIAL" w:hAnsi="aRIAL"/>
                <w:kern w:val="0"/>
                <w:sz w:val="22"/>
                <w:szCs w:val="22"/>
                <w:lang w:val="en-US"/>
              </w:rPr>
              <w:t>hr.attendance</w:t>
            </w:r>
            <w:r>
              <w:rPr>
                <w:rFonts w:eastAsia="Calibri" w:cs="Calibri" w:ascii="aRIAL" w:hAnsi="aRIAL"/>
                <w:kern w:val="0"/>
                <w:sz w:val="22"/>
                <w:szCs w:val="22"/>
                <w:lang w:val="en-US"/>
              </w:rPr>
              <w:t>)</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Parcial: solo alta</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Incidencias por suplencia</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Ausencia del titular + asistencia del suplente; regla de tiempo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Documentación de incidencias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Adjuntos en la incidencia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Bonos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Entrada de nómina (Nómina Enterprise)</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Alumnos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Contacto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Student</w:t>
            </w:r>
          </w:p>
        </w:tc>
        <w:tc>
          <w:tcPr>
            <w:tcW w:w="3411" w:type="dxa"/>
            <w:tcBorders/>
          </w:tcPr>
          <w:p>
            <w:pPr>
              <w:pStyle w:val="Normal"/>
              <w:widowControl/>
              <w:spacing w:lineRule="auto" w:line="259" w:before="0" w:after="160"/>
              <w:jc w:val="left"/>
              <w:rPr/>
            </w:pPr>
            <w:r>
              <w:rPr>
                <w:rFonts w:eastAsia="Calibri" w:cs="Calibri" w:ascii="aRIAL" w:hAnsi="aRIAL"/>
                <w:kern w:val="0"/>
                <w:sz w:val="22"/>
                <w:szCs w:val="22"/>
                <w:lang w:val="en-US"/>
              </w:rPr>
              <w:t>Contacto (</w:t>
            </w:r>
            <w:r>
              <w:rPr>
                <w:rStyle w:val="CodeChar"/>
                <w:rFonts w:eastAsia="Calibri" w:cs="Calibri" w:ascii="aRIAL" w:hAnsi="aRIAL"/>
                <w:kern w:val="0"/>
                <w:sz w:val="22"/>
                <w:szCs w:val="22"/>
                <w:lang w:val="en-US"/>
              </w:rPr>
              <w:t>res.partner</w:t>
            </w:r>
            <w:r>
              <w:rPr>
                <w:rFonts w:eastAsia="Calibri" w:cs="Calibri" w:ascii="aRIAL" w:hAnsi="aRIAL"/>
                <w:kern w:val="0"/>
                <w:sz w:val="22"/>
                <w:szCs w:val="22"/>
                <w:lang w:val="en-US"/>
              </w:rPr>
              <w:t>) con matrícula y CURP; RFC en el campo fiscal</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Ciclo escolar</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Term</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Modelo académico de ciclo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Estatus del alumno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Student + enrollments</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Ficha académica por ciclo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Parcial: modelo sin documentar</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Plantel</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School</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Modelo académico + cuenta analítica por plantel</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Nivel</w:t>
            </w:r>
          </w:p>
        </w:tc>
        <w:tc>
          <w:tcPr>
            <w:tcW w:w="1872" w:type="dxa"/>
            <w:tcBorders/>
          </w:tcPr>
          <w:p>
            <w:pPr>
              <w:pStyle w:val="Normal"/>
              <w:widowControl/>
              <w:spacing w:lineRule="auto" w:line="259" w:before="0" w:after="160"/>
              <w:jc w:val="left"/>
              <w:rPr/>
            </w:pPr>
            <w:r>
              <w:rPr>
                <w:rStyle w:val="CodeChar"/>
                <w:rFonts w:eastAsia="Calibri" w:cs="Calibri" w:ascii="aRIAL" w:hAnsi="aRIAL"/>
                <w:kern w:val="0"/>
                <w:sz w:val="22"/>
                <w:szCs w:val="22"/>
                <w:lang w:val="en-US"/>
              </w:rPr>
              <w:t>Program.level</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Programa académico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Programa</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Program</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Programa académico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Concepto pagado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Producto por concepto en la factura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Monto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Línea de factura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Fechas del concepto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Fecha y vencimiento de factura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Fecha de pago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pPr>
            <w:r>
              <w:rPr>
                <w:rFonts w:eastAsia="Calibri" w:cs="Calibri" w:ascii="aRIAL" w:hAnsi="aRIAL"/>
                <w:kern w:val="0"/>
                <w:sz w:val="22"/>
                <w:szCs w:val="22"/>
                <w:lang w:val="en-US"/>
              </w:rPr>
              <w:t>Pago (</w:t>
            </w:r>
            <w:r>
              <w:rPr>
                <w:rStyle w:val="CodeChar"/>
                <w:rFonts w:eastAsia="Calibri" w:cs="Calibri" w:ascii="aRIAL" w:hAnsi="aRIAL"/>
                <w:kern w:val="0"/>
                <w:sz w:val="22"/>
                <w:szCs w:val="22"/>
                <w:lang w:val="en-US"/>
              </w:rPr>
              <w:t>account.payment</w:t>
            </w:r>
            <w:r>
              <w:rPr>
                <w:rFonts w:eastAsia="Calibri" w:cs="Calibri" w:ascii="aRIAL" w:hAnsi="aRIAL"/>
                <w:kern w:val="0"/>
                <w:sz w:val="22"/>
                <w:szCs w:val="22"/>
                <w:lang w:val="en-US"/>
              </w:rPr>
              <w:t>)</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Forma de pago (tarjeta, transferencia, débito, efectivo)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Forma de pago SAT en el pago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Método de pago (pasarela, TPV, referenciado, transferencia)</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Diario de pago por método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Factura individual o global</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Factura de cliente; factura global de la localización mexicana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CFDI de cada concepto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Importado (UUID, XML, PDF) o timbrado en Odoo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Adeudo</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Saldo de cuentas por cobrar + reporte de conciliación</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Becas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ScholarshipType + Scholarship</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Beca por inscripción; descuento en factura</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 y 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Completo</w:t>
            </w:r>
          </w:p>
        </w:tc>
      </w:tr>
      <w:tr>
        <w:trPr/>
        <w:tc>
          <w:tcPr>
            <w:tcW w:w="1895"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Condonaciones</w:t>
            </w:r>
          </w:p>
        </w:tc>
        <w:tc>
          <w:tcPr>
            <w:tcW w:w="187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w:t>
            </w:r>
          </w:p>
        </w:tc>
        <w:tc>
          <w:tcPr>
            <w:tcW w:w="3411"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Nota de crédito o descuento con referencia al dato crudo</w:t>
            </w:r>
          </w:p>
        </w:tc>
        <w:tc>
          <w:tcPr>
            <w:tcW w:w="75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w:t>
            </w:r>
          </w:p>
        </w:tc>
        <w:tc>
          <w:tcPr>
            <w:tcW w:w="143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 endpoint</w:t>
            </w:r>
          </w:p>
        </w:tc>
      </w:tr>
    </w:tbl>
    <w:p>
      <w:pPr>
        <w:pStyle w:val="Ttulo2"/>
        <w:rPr>
          <w:rFonts w:ascii="aRIAL" w:hAnsi="aRIAL"/>
        </w:rPr>
      </w:pPr>
      <w:r>
        <w:rPr>
          <w:rFonts w:ascii="aRIAL" w:hAnsi="aRIAL"/>
        </w:rPr>
        <w:t>Cronograma, equipo y riesgos</w:t>
      </w:r>
    </w:p>
    <w:p>
      <w:pPr>
        <w:pStyle w:val="Normal"/>
        <w:rPr>
          <w:rFonts w:ascii="aRIAL" w:hAnsi="aRIAL"/>
        </w:rPr>
      </w:pPr>
      <w:r>
        <w:rPr>
          <w:rFonts w:ascii="aRIAL" w:hAnsi="aRIAL"/>
        </w:rPr>
        <w:t>Con arranque el 9 de noviembre de 2026, las 14 semanas hábiles terminan el 26 de febrero de 2027 y la salida a producción cae el 1 de marzo de 2027, siempre que SAEKO entregue los endpoints de finanzas antes del 11 de enero de 2027. Cada semana de retraso de SAEKO mueve la fecha final una semana. La pausa del 21 de diciembre al 1 de enero no cuenta dentro de las 14 semanas.</w:t>
      </w:r>
    </w:p>
    <w:p>
      <w:pPr>
        <w:pStyle w:val="Normal"/>
        <w:rPr>
          <w:rFonts w:ascii="aRIAL" w:hAnsi="aRIAL"/>
        </w:rPr>
      </w:pPr>
      <w:r>
        <w:rPr>
          <w:rFonts w:ascii="aRIAL" w:hAnsi="aRIAL"/>
        </w:rPr>
        <w:drawing>
          <wp:inline distT="0" distB="0" distL="0" distR="0">
            <wp:extent cx="5486400" cy="3486150"/>
            <wp:effectExtent l="0" t="0" r="0" b="0"/>
            <wp:docPr id="1" name="image1" descr="cronograma · 6 fases, 14 semanas hábiles, nov 2026 a mar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ronograma · 6 fases, 14 semanas hábiles, nov 2026 a mar 2027"/>
                    <pic:cNvPicPr>
                      <a:picLocks noChangeAspect="1" noChangeArrowheads="1"/>
                    </pic:cNvPicPr>
                  </pic:nvPicPr>
                  <pic:blipFill>
                    <a:blip r:embed="rId6"/>
                    <a:stretch>
                      <a:fillRect/>
                    </a:stretch>
                  </pic:blipFill>
                  <pic:spPr bwMode="auto">
                    <a:xfrm>
                      <a:off x="0" y="0"/>
                      <a:ext cx="5486400" cy="3486150"/>
                    </a:xfrm>
                    <a:prstGeom prst="rect">
                      <a:avLst/>
                    </a:prstGeom>
                  </pic:spPr>
                </pic:pic>
              </a:graphicData>
            </a:graphic>
          </wp:inline>
        </w:drawing>
      </w:r>
    </w:p>
    <w:p>
      <w:pPr>
        <w:pStyle w:val="Normal"/>
        <w:rPr>
          <w:rFonts w:ascii="aRIAL" w:hAnsi="aRIAL"/>
        </w:rPr>
      </w:pPr>
      <w:r>
        <w:rPr>
          <w:rFonts w:ascii="aRIAL" w:hAnsi="aRIAL"/>
        </w:rPr>
        <w:t>cronograma · 6 fases, 14 semanas hábiles, nov 2026 a mar 2027</w:t>
      </w:r>
    </w:p>
    <w:p>
      <w:pPr>
        <w:pStyle w:val="Normal"/>
        <w:rPr>
          <w:rFonts w:ascii="aRIAL" w:hAnsi="aRIAL"/>
        </w:rPr>
      </w:pPr>
      <w:r>
        <w:rPr>
          <w:rFonts w:ascii="aRIAL" w:hAnsi="aRIAL"/>
        </w:rPr>
        <w:t>Las fases 4 y 5 son las únicas que dependen de un tercero; el resto del calendario está en manos del equipo.</w:t>
      </w:r>
    </w:p>
    <w:p>
      <w:pPr>
        <w:pStyle w:val="Ttulo3"/>
        <w:rPr>
          <w:rFonts w:ascii="aRIAL" w:hAnsi="aRIAL"/>
        </w:rPr>
      </w:pPr>
      <w:r>
        <w:rPr>
          <w:rFonts w:ascii="aRIAL" w:hAnsi="aRIAL"/>
        </w:rPr>
        <w:t>Equipo</w:t>
      </w:r>
    </w:p>
    <w:tbl>
      <w:tblPr>
        <w:tblStyle w:val="TableGrid"/>
        <w:tblW w:w="9360"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758"/>
        <w:gridCol w:w="1682"/>
        <w:gridCol w:w="4920"/>
      </w:tblGrid>
      <w:tr>
        <w:trPr>
          <w:tblHeader w:val="true"/>
        </w:trPr>
        <w:tc>
          <w:tcPr>
            <w:tcW w:w="2758"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Rol</w:t>
            </w:r>
          </w:p>
        </w:tc>
        <w:tc>
          <w:tcPr>
            <w:tcW w:w="1682"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Dedicación</w:t>
            </w:r>
          </w:p>
        </w:tc>
        <w:tc>
          <w:tcPr>
            <w:tcW w:w="4920"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Responsabilidad</w:t>
            </w:r>
          </w:p>
        </w:tc>
      </w:tr>
      <w:tr>
        <w:trPr/>
        <w:tc>
          <w:tcPr>
            <w:tcW w:w="2758"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 xml:space="preserve">Líder de proyecto </w:t>
            </w:r>
          </w:p>
        </w:tc>
        <w:tc>
          <w:tcPr>
            <w:tcW w:w="168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25 %</w:t>
            </w:r>
          </w:p>
        </w:tc>
        <w:tc>
          <w:tcPr>
            <w:tcW w:w="49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Plan, compuertas, relación con SAEKO</w:t>
            </w:r>
          </w:p>
        </w:tc>
      </w:tr>
      <w:tr>
        <w:trPr/>
        <w:tc>
          <w:tcPr>
            <w:tcW w:w="2758"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Desarrolladores Odoo (2)</w:t>
            </w:r>
          </w:p>
        </w:tc>
        <w:tc>
          <w:tcPr>
            <w:tcW w:w="168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100 %</w:t>
            </w:r>
          </w:p>
        </w:tc>
        <w:tc>
          <w:tcPr>
            <w:tcW w:w="4920" w:type="dxa"/>
            <w:tcBorders/>
          </w:tcPr>
          <w:p>
            <w:pPr>
              <w:pStyle w:val="Normal"/>
              <w:widowControl/>
              <w:spacing w:lineRule="auto" w:line="259" w:before="0" w:after="160"/>
              <w:jc w:val="left"/>
              <w:rPr/>
            </w:pPr>
            <w:r>
              <w:rPr>
                <w:rFonts w:eastAsia="Calibri" w:cs="Calibri" w:ascii="aRIAL" w:hAnsi="aRIAL"/>
                <w:kern w:val="0"/>
                <w:sz w:val="22"/>
                <w:szCs w:val="22"/>
                <w:lang w:val="en-US"/>
              </w:rPr>
              <w:t xml:space="preserve">Módulos </w:t>
            </w:r>
            <w:r>
              <w:rPr>
                <w:rStyle w:val="CodeChar"/>
                <w:rFonts w:eastAsia="Calibri" w:cs="Calibri" w:ascii="aRIAL" w:hAnsi="aRIAL"/>
                <w:kern w:val="0"/>
                <w:sz w:val="22"/>
                <w:szCs w:val="22"/>
                <w:lang w:val="en-US"/>
              </w:rPr>
              <w:t>saeko_academic</w:t>
            </w:r>
            <w:r>
              <w:rPr>
                <w:rFonts w:eastAsia="Calibri" w:cs="Calibri" w:ascii="aRIAL" w:hAnsi="aRIAL"/>
                <w:kern w:val="0"/>
                <w:sz w:val="22"/>
                <w:szCs w:val="22"/>
                <w:lang w:val="en-US"/>
              </w:rPr>
              <w:t xml:space="preserve">, </w:t>
            </w:r>
            <w:r>
              <w:rPr>
                <w:rStyle w:val="CodeChar"/>
                <w:rFonts w:eastAsia="Calibri" w:cs="Calibri" w:ascii="aRIAL" w:hAnsi="aRIAL"/>
                <w:kern w:val="0"/>
                <w:sz w:val="22"/>
                <w:szCs w:val="22"/>
                <w:lang w:val="en-US"/>
              </w:rPr>
              <w:t>saeko_account</w:t>
            </w:r>
            <w:r>
              <w:rPr>
                <w:rFonts w:eastAsia="Calibri" w:cs="Calibri" w:ascii="aRIAL" w:hAnsi="aRIAL"/>
                <w:kern w:val="0"/>
                <w:sz w:val="22"/>
                <w:szCs w:val="22"/>
                <w:lang w:val="en-US"/>
              </w:rPr>
              <w:t xml:space="preserve">, </w:t>
            </w:r>
            <w:r>
              <w:rPr>
                <w:rStyle w:val="CodeChar"/>
                <w:rFonts w:eastAsia="Calibri" w:cs="Calibri" w:ascii="aRIAL" w:hAnsi="aRIAL"/>
                <w:kern w:val="0"/>
                <w:sz w:val="22"/>
                <w:szCs w:val="22"/>
                <w:lang w:val="en-US"/>
              </w:rPr>
              <w:t>saeko_hr</w:t>
            </w:r>
            <w:r>
              <w:rPr>
                <w:rFonts w:eastAsia="Calibri" w:cs="Calibri" w:ascii="aRIAL" w:hAnsi="aRIAL"/>
                <w:kern w:val="0"/>
                <w:sz w:val="22"/>
                <w:szCs w:val="22"/>
                <w:lang w:val="en-US"/>
              </w:rPr>
              <w:t>; pruebas automatizadas</w:t>
            </w:r>
          </w:p>
        </w:tc>
      </w:tr>
      <w:tr>
        <w:trPr/>
        <w:tc>
          <w:tcPr>
            <w:tcW w:w="2758"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Consultor funcional</w:t>
            </w:r>
          </w:p>
        </w:tc>
        <w:tc>
          <w:tcPr>
            <w:tcW w:w="168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50 %</w:t>
            </w:r>
          </w:p>
        </w:tc>
        <w:tc>
          <w:tcPr>
            <w:tcW w:w="49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Contabilidad, CFDI, nómina; pruebas de aceptación</w:t>
            </w:r>
          </w:p>
        </w:tc>
      </w:tr>
      <w:tr>
        <w:trPr/>
        <w:tc>
          <w:tcPr>
            <w:tcW w:w="2758"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Contraparte de la universidad</w:t>
            </w:r>
          </w:p>
        </w:tc>
        <w:tc>
          <w:tcPr>
            <w:tcW w:w="168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20 % por área</w:t>
            </w:r>
          </w:p>
        </w:tc>
        <w:tc>
          <w:tcPr>
            <w:tcW w:w="49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Control escolar, contabilidad y nómina validan cada compuerta</w:t>
            </w:r>
          </w:p>
        </w:tc>
      </w:tr>
      <w:tr>
        <w:trPr/>
        <w:tc>
          <w:tcPr>
            <w:tcW w:w="2758"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Contacto técnico SAEKO</w:t>
            </w:r>
          </w:p>
        </w:tc>
        <w:tc>
          <w:tcPr>
            <w:tcW w:w="168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A demanda</w:t>
            </w:r>
          </w:p>
        </w:tc>
        <w:tc>
          <w:tcPr>
            <w:tcW w:w="4920"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Endpoints, credenciales, dudas de datos</w:t>
            </w:r>
          </w:p>
        </w:tc>
      </w:tr>
    </w:tbl>
    <w:p>
      <w:pPr>
        <w:pStyle w:val="Ttulo3"/>
        <w:rPr>
          <w:rFonts w:ascii="aRIAL" w:hAnsi="aRIAL"/>
        </w:rPr>
      </w:pPr>
      <w:r>
        <w:rPr>
          <w:rFonts w:ascii="aRIAL" w:hAnsi="aRIAL"/>
        </w:rPr>
        <w:t>Riesgos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516"/>
        <w:gridCol w:w="2017"/>
        <w:gridCol w:w="4827"/>
      </w:tblGrid>
      <w:tr>
        <w:trPr>
          <w:tblHeader w:val="true"/>
        </w:trPr>
        <w:tc>
          <w:tcPr>
            <w:tcW w:w="2516"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Riesgo</w:t>
            </w:r>
          </w:p>
        </w:tc>
        <w:tc>
          <w:tcPr>
            <w:tcW w:w="2017"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Impacto</w:t>
            </w:r>
          </w:p>
        </w:tc>
        <w:tc>
          <w:tcPr>
            <w:tcW w:w="4827"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Mitigación</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SAEKO no expone cargos, pagos o CFDI</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 4 bloqueada; sin finanzas no hay valor contable</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Pedir compromiso por escrito en la Fase 1; alternativa: exportación periódica de SAEKO cargada al catálogo del conector como recurso</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Diferencias entre adeudos de SAEKO y saldos de Odoo</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Desconfianza en los números</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Reporte de conciliación diario desde la Fase 4; datos crudos con historial para rastrear cada diferencia</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Doble timbrado de CFDI</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Error fiscal ante el SAT</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Una sola fuente de timbrado decidida en la Fase 1; validación por UUID antes de importar</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Volumen: el detalle de alumno requiere una llamada por registro</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Sincronizaciones lentas</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Medir en la Fase 2; pedir a SAEKO un listado con más campos; programar fuera de horario</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Nómina mexicana de Enterprise sin publicar para Odoo 20</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 5 sin motor de nómina</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Confirmar con Odoo en la Fase 1; si no está, exportar a la nómina actual</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Llave del Service Account vence</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Integración detenida</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El conector avisa 30 días antes del vencimiento</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Calendario de 14 semanas sin holgura</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Una compuerta fallida recorre todo</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Revisión semanal del avance contra compuertas; alcance de Fase 6 negociable (tableros y alertas pueden salir después del arranque)</w:t>
            </w:r>
          </w:p>
        </w:tc>
      </w:tr>
      <w:tr>
        <w:trPr/>
        <w:tc>
          <w:tcPr>
            <w:tcW w:w="251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 xml:space="preserve">Licencias </w:t>
            </w:r>
            <w:r>
              <w:rPr>
                <w:rFonts w:eastAsia="Calibri" w:cs="Calibri" w:ascii="aRIAL" w:hAnsi="aRIAL"/>
                <w:i/>
                <w:kern w:val="0"/>
                <w:sz w:val="22"/>
                <w:szCs w:val="22"/>
                <w:lang w:val="en-US"/>
              </w:rPr>
              <w:t>Light User</w:t>
            </w:r>
            <w:r>
              <w:rPr>
                <w:rFonts w:eastAsia="Calibri" w:cs="Calibri" w:ascii="aRIAL" w:hAnsi="aRIAL"/>
                <w:kern w:val="0"/>
                <w:sz w:val="22"/>
                <w:szCs w:val="22"/>
                <w:lang w:val="en-US"/>
              </w:rPr>
              <w:t xml:space="preserve"> para profesores</w:t>
            </w:r>
          </w:p>
        </w:tc>
        <w:tc>
          <w:tcPr>
            <w:tcW w:w="201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Costo no presupuestado</w:t>
            </w:r>
          </w:p>
        </w:tc>
        <w:tc>
          <w:tcPr>
            <w:tcW w:w="482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Cotizar con Odoo en la Fase 1</w:t>
            </w:r>
          </w:p>
        </w:tc>
      </w:tr>
    </w:tbl>
    <w:p>
      <w:pPr>
        <w:pStyle w:val="Ttulo2"/>
        <w:rPr>
          <w:rFonts w:ascii="aRIAL" w:hAnsi="aRIAL"/>
        </w:rPr>
      </w:pPr>
      <w:r>
        <w:rPr>
          <w:rFonts w:ascii="aRIAL" w:hAnsi="aRIAL"/>
        </w:rPr>
        <w:t>Estimación de tiempos y costo</w:t>
      </w:r>
    </w:p>
    <w:p>
      <w:pPr>
        <w:pStyle w:val="Normal"/>
        <w:rPr>
          <w:rFonts w:ascii="aRIAL" w:hAnsi="aRIAL"/>
        </w:rPr>
      </w:pPr>
      <w:r>
        <w:rPr>
          <w:rFonts w:ascii="aRIAL" w:hAnsi="aRIAL"/>
        </w:rPr>
        <w:t>El proyecto se estima entre 160 y 200 horas. Los precios los completa el área de ventas.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3654"/>
        <w:gridCol w:w="2096"/>
        <w:gridCol w:w="2147"/>
        <w:gridCol w:w="1462"/>
      </w:tblGrid>
      <w:tr>
        <w:trPr>
          <w:tblHeader w:val="true"/>
        </w:trPr>
        <w:tc>
          <w:tcPr>
            <w:tcW w:w="3654"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Fase</w:t>
            </w:r>
          </w:p>
        </w:tc>
        <w:tc>
          <w:tcPr>
            <w:tcW w:w="2096"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Horas (mín–máx)</w:t>
            </w:r>
          </w:p>
        </w:tc>
        <w:tc>
          <w:tcPr>
            <w:tcW w:w="2147"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Precio unitario por hora</w:t>
            </w:r>
          </w:p>
        </w:tc>
        <w:tc>
          <w:tcPr>
            <w:tcW w:w="1462" w:type="dxa"/>
            <w:tcBorders/>
            <w:shd w:color="auto" w:fill="F2F2F2" w:val="clear"/>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Precio total</w:t>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1. Análisis y diseño</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16–20</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 Desarrollo del conector</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28–36</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 Maestro académico</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32–40</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4. Finanzas de alumnos</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36–44</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5. Docentes y nómina</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28–36</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6. Pruebas y salida a producción</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t>20–24</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r>
        <w:trPr/>
        <w:tc>
          <w:tcPr>
            <w:tcW w:w="3654"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Total</w:t>
            </w:r>
          </w:p>
        </w:tc>
        <w:tc>
          <w:tcPr>
            <w:tcW w:w="2096"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b/>
                <w:kern w:val="0"/>
                <w:sz w:val="22"/>
                <w:szCs w:val="22"/>
                <w:lang w:val="en-US"/>
              </w:rPr>
              <w:t>160–200</w:t>
            </w:r>
          </w:p>
        </w:tc>
        <w:tc>
          <w:tcPr>
            <w:tcW w:w="2147"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c>
          <w:tcPr>
            <w:tcW w:w="1462" w:type="dxa"/>
            <w:tcBorders/>
          </w:tcPr>
          <w:p>
            <w:pPr>
              <w:pStyle w:val="Normal"/>
              <w:widowControl/>
              <w:spacing w:lineRule="auto" w:line="259" w:before="0" w:after="160"/>
              <w:jc w:val="left"/>
              <w:rPr>
                <w:rFonts w:ascii="aRIAL" w:hAnsi="aRIAL" w:eastAsia="Calibri" w:cs="Calibri"/>
                <w:kern w:val="0"/>
                <w:sz w:val="22"/>
                <w:szCs w:val="22"/>
                <w:lang w:val="en-US"/>
              </w:rPr>
            </w:pPr>
            <w:r>
              <w:rPr>
                <w:rFonts w:eastAsia="Calibri" w:cs="Calibri" w:ascii="aRIAL" w:hAnsi="aRIAL"/>
                <w:kern w:val="0"/>
                <w:sz w:val="22"/>
                <w:szCs w:val="22"/>
                <w:lang w:val="en-US"/>
              </w:rPr>
            </w:r>
          </w:p>
        </w:tc>
      </w:tr>
    </w:tbl>
    <w:p>
      <w:pPr>
        <w:pStyle w:val="Normal"/>
        <w:spacing w:before="0" w:after="160"/>
        <w:rPr>
          <w:rFonts w:ascii="aRIAL" w:hAnsi="aRIAL"/>
        </w:rPr>
      </w:pPr>
      <w:r>
        <w:rPr>
          <w:rFonts w:ascii="aRIAL" w:hAnsi="aRIAL"/>
        </w:rPr>
        <w:t>Incluye desarrollo y consultoría, no incluye licencias de Odoo Enterprise ni hospedaje.</w:t>
      </w:r>
    </w:p>
    <w:sectPr>
      <w:headerReference w:type="default" r:id="rId7"/>
      <w:footerReference w:type="default" r:id="rId8"/>
      <w:type w:val="nextPage"/>
      <w:pgSz w:w="12240" w:h="15840"/>
      <w:pgMar w:left="1440" w:right="1440" w:gutter="0" w:header="367" w:top="1356" w:footer="507" w:bottom="158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default"/>
  </w:font>
  <w:font w:name="arial">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09"/>
        <w:tab w:val="right" w:pos="9360" w:leader="none"/>
      </w:tabs>
      <w:spacing w:before="0" w:after="160"/>
      <w:rPr/>
    </w:pPr>
    <w:r>
      <w:rPr>
        <w:rFonts w:eastAsia="Arial" w:cs="Arial"/>
        <w:color w:val="888888"/>
        <w:sz w:val="18"/>
        <w:szCs w:val="18"/>
      </w:rPr>
      <w:t xml:space="preserve">ARGIL CONSULTING SA DE CV  |  </w:t>
    </w:r>
    <w:hyperlink r:id="rId1">
      <w:r>
        <w:rPr>
          <w:rStyle w:val="EnlacedeInternet"/>
          <w:rFonts w:eastAsia="Arial" w:cs="Arial"/>
          <w:color w:val="888888"/>
          <w:sz w:val="18"/>
          <w:szCs w:val="18"/>
          <w:u w:val="none"/>
        </w:rPr>
        <w:t>german.ponce@argil.mx</w:t>
      </w:r>
    </w:hyperlink>
    <w:r>
      <w:rPr>
        <w:rFonts w:eastAsia="Arial" w:cs="Arial"/>
        <w:color w:val="888888"/>
        <w:sz w:val="18"/>
        <w:szCs w:val="18"/>
      </w:rPr>
      <w:t xml:space="preserve"> | admon@argil.mx  |  +52 (272) 721 54 49</w:t>
      <w:tab/>
      <w:t xml:space="preserve">Página </w:t>
    </w:r>
    <w:r>
      <w:rPr>
        <w:rFonts w:eastAsia="Arial" w:cs="Arial"/>
        <w:color w:val="888888"/>
        <w:sz w:val="18"/>
        <w:szCs w:val="18"/>
      </w:rPr>
      <w:fldChar w:fldCharType="begin"/>
    </w:r>
    <w:r>
      <w:rPr>
        <w:sz w:val="18"/>
        <w:szCs w:val="18"/>
        <w:rFonts w:eastAsia="Arial" w:cs="Arial"/>
        <w:color w:val="888888"/>
      </w:rPr>
      <w:instrText xml:space="preserve"> PAGE </w:instrText>
    </w:r>
    <w:r>
      <w:rPr>
        <w:sz w:val="18"/>
        <w:szCs w:val="18"/>
        <w:rFonts w:eastAsia="Arial" w:cs="Arial"/>
        <w:color w:val="888888"/>
      </w:rPr>
      <w:fldChar w:fldCharType="separate"/>
    </w:r>
    <w:r>
      <w:rPr>
        <w:sz w:val="18"/>
        <w:szCs w:val="18"/>
        <w:rFonts w:eastAsia="Arial" w:cs="Arial"/>
        <w:color w:val="888888"/>
      </w:rPr>
      <w:t>3</w:t>
    </w:r>
    <w:r>
      <w:rPr>
        <w:sz w:val="18"/>
        <w:szCs w:val="18"/>
        <w:rFonts w:eastAsia="Arial" w:cs="Arial"/>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before="0" w:after="160"/>
      <w:rPr/>
    </w:pPr>
    <w:r>
      <w:rPr>
        <w:rFonts w:eastAsia="Arial" w:cs="Arial"/>
        <w:b/>
        <w:bCs/>
        <w:color w:val="1F5C99"/>
        <w:sz w:val="36"/>
        <w:szCs w:val="36"/>
      </w:rPr>
      <w:t>argil</w:t>
    </w:r>
    <w:r>
      <w:rPr>
        <w:rFonts w:eastAsia="Arial" w:cs="Arial"/>
        <w:color w:val="888888"/>
        <w:sz w:val="20"/>
        <w:szCs w:val="20"/>
      </w:rPr>
      <w:t xml:space="preserve">  |  Odoo Silver Partner                                                                                                </w:t>
    </w:r>
    <w:r>
      <w:rPr>
        <w:rFonts w:eastAsia="Arial" w:cs="Arial"/>
        <w:color w:val="888888"/>
        <w:sz w:val="20"/>
        <w:szCs w:val="20"/>
      </w:rPr>
      <w:t>Integración Saeko ⇄ Odoo 20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tulo1">
    <w:name w:val="Heading 1"/>
    <w:basedOn w:val="Normal"/>
    <w:next w:val="Normal"/>
    <w:qFormat/>
    <w:pPr>
      <w:keepNext w:val="true"/>
      <w:spacing w:before="360" w:after="120"/>
      <w:outlineLvl w:val="0"/>
    </w:pPr>
    <w:rPr>
      <w:b/>
      <w:sz w:val="32"/>
    </w:rPr>
  </w:style>
  <w:style w:type="paragraph" w:styleId="Ttulo2">
    <w:name w:val="Heading 2"/>
    <w:basedOn w:val="Normal"/>
    <w:next w:val="Normal"/>
    <w:qFormat/>
    <w:pPr>
      <w:keepNext w:val="true"/>
      <w:spacing w:before="280" w:after="100"/>
      <w:outlineLvl w:val="1"/>
    </w:pPr>
    <w:rPr>
      <w:b/>
      <w:sz w:val="26"/>
    </w:rPr>
  </w:style>
  <w:style w:type="paragraph" w:styleId="Ttulo3">
    <w:name w:val="Heading 3"/>
    <w:basedOn w:val="Normal"/>
    <w:next w:val="Normal"/>
    <w:qFormat/>
    <w:pPr>
      <w:keepNext w:val="true"/>
      <w:spacing w:before="240" w:after="80"/>
      <w:outlineLvl w:val="2"/>
    </w:pPr>
    <w:rPr>
      <w:b/>
      <w:sz w:val="24"/>
    </w:rPr>
  </w:style>
  <w:style w:type="paragraph" w:styleId="Ttulo4">
    <w:name w:val="Heading 4"/>
    <w:basedOn w:val="Normal"/>
    <w:next w:val="Normal"/>
    <w:qFormat/>
    <w:pPr>
      <w:keepNext w:val="true"/>
      <w:outlineLvl w:val="3"/>
    </w:pPr>
    <w:rPr>
      <w:b/>
      <w:sz w:val="22"/>
    </w:rPr>
  </w:style>
  <w:style w:type="paragraph" w:styleId="Ttulo5">
    <w:name w:val="Heading 5"/>
    <w:basedOn w:val="Normal"/>
    <w:next w:val="Normal"/>
    <w:qFormat/>
    <w:pPr>
      <w:keepNext w:val="true"/>
      <w:outlineLvl w:val="4"/>
    </w:pPr>
    <w:rPr>
      <w:b/>
      <w:sz w:val="22"/>
    </w:rPr>
  </w:style>
  <w:style w:type="paragraph" w:styleId="Ttulo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EnlacedeInternet">
    <w:name w:val="Enlace de Internet"/>
    <w:rPr>
      <w:color w:val="0563C1"/>
      <w:u w:val="single"/>
    </w:rPr>
  </w:style>
  <w:style w:type="character" w:styleId="Annotationreference">
    <w:name w:val="annotation reference"/>
    <w:qFormat/>
    <w:rPr>
      <w:sz w:val="16"/>
      <w:szCs w:val="16"/>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hanging="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hanging="0"/>
      <w:contextualSpacing/>
    </w:pPr>
    <w:rPr/>
  </w:style>
  <w:style w:type="paragraph" w:styleId="Annotationtext">
    <w:name w:val="annotation text"/>
    <w:basedOn w:val="Normal"/>
    <w:qFormat/>
    <w:pPr>
      <w:spacing w:lineRule="auto" w:line="240"/>
    </w:pPr>
    <w:rPr>
      <w:sz w:val="20"/>
      <w:szCs w:val="20"/>
    </w:rPr>
  </w:style>
  <w:style w:type="paragraph" w:styleId="Cabeceraypie">
    <w:name w:val="Cabecera y pie"/>
    <w:basedOn w:val="Normal"/>
    <w:qFormat/>
    <w:pPr>
      <w:suppressLineNumbers/>
      <w:tabs>
        <w:tab w:val="clear" w:pos="709"/>
        <w:tab w:val="center" w:pos="4680" w:leader="none"/>
        <w:tab w:val="right" w:pos="9360" w:leader="none"/>
      </w:tabs>
    </w:pPr>
    <w:rPr/>
  </w:style>
  <w:style w:type="paragraph" w:styleId="Cabecera">
    <w:name w:val="Header"/>
    <w:basedOn w:val="Cabeceraypie"/>
    <w:pPr>
      <w:suppressLineNumbers/>
    </w:pPr>
    <w:rPr/>
  </w:style>
  <w:style w:type="paragraph" w:styleId="Piedepgina">
    <w:name w:val="Footer"/>
    <w:basedOn w:val="Cabeceraypie"/>
    <w:pPr>
      <w:suppressLineNumbers/>
    </w:pPr>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erman.ponce@argil.mx" TargetMode="External"/><Relationship Id="rId3" Type="http://schemas.openxmlformats.org/officeDocument/2006/relationships/hyperlink" Target="https://github.com/odoo/odoo/tree/20.0" TargetMode="External"/><Relationship Id="rId4" Type="http://schemas.openxmlformats.org/officeDocument/2006/relationships/hyperlink" Target="https://oec.sh/blog/odoo-20-released-what-we-see" TargetMode="External"/><Relationship Id="rId5" Type="http://schemas.openxmlformats.org/officeDocument/2006/relationships/hyperlink" Target="https://webkul.com/blog/odoo-20-migration-guide/amp/"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hyperlink" Target="mailto:german.ponce@argil.mx" TargetMode="Externa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10</Pages>
  <Words>2038</Words>
  <Characters>10853</Characters>
  <CharactersWithSpaces>12801</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node/858cc850-8bed@447 docx-w7</dc:description>
  <dc:language>es-MX</dc:language>
  <cp:lastModifiedBy/>
  <dcterms:modified xsi:type="dcterms:W3CDTF">2026-10-29T19:30:12Z</dcterms:modified>
  <cp:revision>454</cp:revision>
  <dc:subject/>
  <dc:title>Plan SAEKO ⇄ Odoo 20</dc:title>
</cp:coreProperties>
</file>

<file path=docProps/custom.xml><?xml version="1.0" encoding="utf-8"?>
<Properties xmlns="http://schemas.openxmlformats.org/officeDocument/2006/custom-properties" xmlns:vt="http://schemas.openxmlformats.org/officeDocument/2006/docPropsVTypes"/>
</file>