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i w:val="0"/>
          <w:color w:val="1F2A44"/>
          <w:sz w:val="36"/>
        </w:rPr>
        <w:t>GERMAN ANDRES TATIS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Bogotá, Colombia  |  german.tatism@gmail.com  |  +57 317 645 7074  |  www.linkedin.com/in/german-tatis-mallarino</w:t>
      </w:r>
    </w:p>
    <w:p>
      <w:pPr>
        <w:spacing w:after="20" w:before="0"/>
        <w:jc w:val="center"/>
      </w:pPr>
      <w:r>
        <w:rPr>
          <w:b w:val="0"/>
          <w:i/>
          <w:color w:val="444444"/>
          <w:sz w:val="19"/>
        </w:rPr>
        <w:t>Dual citizen: Colombian and American</w:t>
      </w:r>
    </w:p>
    <w:p>
      <w:pPr>
        <w:spacing w:after="60" w:before="140"/>
        <w:pBdr>
          <w:bottom w:val="single" w:sz="6" w:space="2" w:color="1F2A44"/>
        </w:pBdr>
      </w:pPr>
      <w:r>
        <w:rPr>
          <w:b/>
          <w:i w:val="0"/>
          <w:color w:val="1F2A44"/>
          <w:sz w:val="22"/>
        </w:rPr>
        <w:t>PROFESSIONAL EXPERIENCE</w:t>
      </w:r>
    </w:p>
    <w:p>
      <w:pPr>
        <w:tabs>
          <w:tab w:pos="10512" w:val="right"/>
        </w:tabs>
        <w:spacing w:after="0" w:before="40"/>
      </w:pPr>
      <w:r>
        <w:rPr>
          <w:b/>
          <w:i w:val="0"/>
          <w:sz w:val="22"/>
        </w:rPr>
        <w:t>Yuno</w:t>
      </w:r>
      <w:r>
        <w:rPr>
          <w:b/>
          <w:i w:val="0"/>
          <w:sz w:val="21"/>
        </w:rPr>
        <w:tab/>
        <w:t>Bogotá, Colombia</w:t>
      </w:r>
    </w:p>
    <w:p>
      <w:pPr>
        <w:spacing w:after="10" w:before="0"/>
      </w:pPr>
      <w:r>
        <w:rPr>
          <w:b w:val="0"/>
          <w:i/>
          <w:color w:val="444444"/>
          <w:sz w:val="19"/>
        </w:rPr>
        <w:t>Global payments infrastructure platform</w:t>
      </w:r>
    </w:p>
    <w:p>
      <w:pPr>
        <w:tabs>
          <w:tab w:pos="10512" w:val="right"/>
        </w:tabs>
        <w:spacing w:after="10" w:before="20"/>
      </w:pPr>
      <w:r>
        <w:rPr>
          <w:b/>
          <w:i/>
          <w:sz w:val="21"/>
        </w:rPr>
        <w:t>Business Development Manager</w:t>
      </w:r>
      <w:r>
        <w:rPr>
          <w:b w:val="0"/>
          <w:i/>
          <w:sz w:val="21"/>
        </w:rPr>
        <w:tab/>
        <w:t>July 2026 – Present</w:t>
      </w:r>
    </w:p>
    <w:p>
      <w:pPr>
        <w:pStyle w:val="ListBullet"/>
        <w:spacing w:after="30" w:before="0"/>
        <w:ind w:left="317"/>
      </w:pPr>
      <w:r>
        <w:rPr>
          <w:sz w:val="21"/>
        </w:rPr>
        <w:t>Promoted after being named Top Performer of the year; own pipeline generation and early stage opportunity development for enterprise merchants.</w:t>
      </w:r>
    </w:p>
    <w:p>
      <w:pPr>
        <w:tabs>
          <w:tab w:pos="10512" w:val="right"/>
        </w:tabs>
        <w:spacing w:after="10" w:before="80"/>
      </w:pPr>
      <w:r>
        <w:rPr>
          <w:b/>
          <w:i/>
          <w:sz w:val="21"/>
        </w:rPr>
        <w:t>Senior Sales Strategy Associate</w:t>
      </w:r>
      <w:r>
        <w:rPr>
          <w:b w:val="0"/>
          <w:i/>
          <w:sz w:val="21"/>
        </w:rPr>
        <w:tab/>
        <w:t>December 2025 – July 2026</w:t>
      </w:r>
    </w:p>
    <w:p>
      <w:pPr>
        <w:tabs>
          <w:tab w:pos="10512" w:val="right"/>
        </w:tabs>
        <w:spacing w:after="10" w:before="0"/>
      </w:pPr>
      <w:r>
        <w:rPr>
          <w:b/>
          <w:i/>
          <w:sz w:val="21"/>
        </w:rPr>
        <w:t>Sales Strategy Associate</w:t>
      </w:r>
      <w:r>
        <w:rPr>
          <w:b w:val="0"/>
          <w:i/>
          <w:sz w:val="21"/>
        </w:rPr>
        <w:tab/>
        <w:t>May 2025 – December 2025</w:t>
      </w:r>
    </w:p>
    <w:p>
      <w:pPr>
        <w:spacing w:after="30" w:before="0"/>
      </w:pPr>
      <w:r>
        <w:rPr>
          <w:b w:val="0"/>
          <w:i/>
          <w:sz w:val="20"/>
        </w:rPr>
        <w:t>Owned outbound pipeline generation for enterprise merchants: account research, personalized multichannel cold outreach, discovery and qualification, and handoff of sales qualified leads to Account Executives.</w:t>
      </w:r>
    </w:p>
    <w:p>
      <w:pPr>
        <w:pStyle w:val="ListBullet"/>
        <w:spacing w:after="30" w:before="0"/>
        <w:ind w:left="317"/>
      </w:pPr>
      <w:r>
        <w:rPr>
          <w:sz w:val="21"/>
        </w:rPr>
        <w:t>Top Performer of the team for the entire year in the role: ranked #1 SDR and promoted twice in 15 months.</w:t>
      </w:r>
    </w:p>
    <w:p>
      <w:pPr>
        <w:pStyle w:val="ListBullet"/>
        <w:spacing w:after="30" w:before="0"/>
        <w:ind w:left="317"/>
      </w:pPr>
      <w:r>
        <w:rPr>
          <w:sz w:val="21"/>
        </w:rPr>
        <w:t>Delivered 85 sales qualified leads in 12 months against a target of 6 per month (72 per year), finishing at 118% of annual quota and above target in 10 of 12 months.</w:t>
      </w:r>
    </w:p>
    <w:p>
      <w:pPr>
        <w:pStyle w:val="ListBullet"/>
        <w:spacing w:after="30" w:before="0"/>
        <w:ind w:left="317"/>
      </w:pPr>
      <w:r>
        <w:rPr>
          <w:sz w:val="21"/>
        </w:rPr>
        <w:t>Sourced pipeline currently representing 1.2M USD in advanced stage deals.</w:t>
      </w:r>
    </w:p>
    <w:p>
      <w:pPr>
        <w:pStyle w:val="ListBullet"/>
        <w:spacing w:after="30" w:before="0"/>
        <w:ind w:left="317"/>
      </w:pPr>
      <w:r>
        <w:rPr>
          <w:sz w:val="21"/>
        </w:rPr>
        <w:t>Opened conversations with Delta, JetBlue, Allegiant Air, BlaBlaCar, Etsy, Super.com, Zynga, Supercell, and Eventbrite.</w:t>
      </w:r>
    </w:p>
    <w:p>
      <w:pPr>
        <w:pStyle w:val="ListBullet"/>
        <w:spacing w:after="30" w:before="0"/>
        <w:ind w:left="317"/>
      </w:pPr>
      <w:r>
        <w:rPr>
          <w:sz w:val="21"/>
        </w:rPr>
        <w:t>Built an internal AI deck maker that turns account research into client ready sales presentations at scale.</w:t>
      </w:r>
    </w:p>
    <w:p>
      <w:pPr>
        <w:tabs>
          <w:tab w:pos="10512" w:val="right"/>
        </w:tabs>
        <w:spacing w:after="0" w:before="100"/>
      </w:pPr>
      <w:r>
        <w:rPr>
          <w:b/>
          <w:i w:val="0"/>
          <w:sz w:val="22"/>
        </w:rPr>
        <w:t>Spencer Stuart</w:t>
      </w:r>
      <w:r>
        <w:rPr>
          <w:b/>
          <w:i w:val="0"/>
          <w:sz w:val="21"/>
        </w:rPr>
        <w:tab/>
        <w:t>Bogotá, Colombia</w:t>
      </w:r>
    </w:p>
    <w:p>
      <w:pPr>
        <w:spacing w:after="10" w:before="0"/>
      </w:pPr>
      <w:r>
        <w:rPr>
          <w:b w:val="0"/>
          <w:i/>
          <w:color w:val="444444"/>
          <w:sz w:val="19"/>
        </w:rPr>
        <w:t>Global executive search and leadership advisory firm</w:t>
      </w:r>
    </w:p>
    <w:p>
      <w:pPr>
        <w:tabs>
          <w:tab w:pos="10512" w:val="right"/>
        </w:tabs>
        <w:spacing w:after="10" w:before="20"/>
      </w:pPr>
      <w:r>
        <w:rPr>
          <w:b/>
          <w:i/>
          <w:sz w:val="21"/>
        </w:rPr>
        <w:t>Research Analyst</w:t>
      </w:r>
      <w:r>
        <w:rPr>
          <w:b w:val="0"/>
          <w:i/>
          <w:sz w:val="21"/>
        </w:rPr>
        <w:tab/>
        <w:t>April 2024 – May 2025</w:t>
      </w:r>
    </w:p>
    <w:p>
      <w:pPr>
        <w:pStyle w:val="ListBullet"/>
        <w:spacing w:after="30" w:before="0"/>
        <w:ind w:left="317"/>
      </w:pPr>
      <w:r>
        <w:rPr>
          <w:sz w:val="21"/>
        </w:rPr>
        <w:t>Supported C-level executive search projects end to end: client presentations, job descriptions, candidate reports, market research, and candidate interviews.</w:t>
      </w:r>
    </w:p>
    <w:p>
      <w:pPr>
        <w:pStyle w:val="ListBullet"/>
        <w:spacing w:after="30" w:before="0"/>
        <w:ind w:left="317"/>
      </w:pPr>
      <w:r>
        <w:rPr>
          <w:sz w:val="21"/>
        </w:rPr>
        <w:t>Worked cross-functionally with teams in Mexico, Chile, and Brazil; clients included AFIDRO, Aval Banca de Inversión, L Catterton, Central Cervecera de Colombia, Grünenthal, and D1.</w:t>
      </w:r>
    </w:p>
    <w:p>
      <w:pPr>
        <w:tabs>
          <w:tab w:pos="10512" w:val="right"/>
        </w:tabs>
        <w:spacing w:after="0" w:before="100"/>
      </w:pPr>
      <w:r>
        <w:rPr>
          <w:b/>
          <w:i w:val="0"/>
          <w:sz w:val="22"/>
        </w:rPr>
        <w:t>Reckitt</w:t>
      </w:r>
      <w:r>
        <w:rPr>
          <w:b/>
          <w:i w:val="0"/>
          <w:sz w:val="21"/>
        </w:rPr>
        <w:tab/>
        <w:t>Bogotá, Colombia</w:t>
      </w:r>
    </w:p>
    <w:p>
      <w:pPr>
        <w:spacing w:after="10" w:before="0"/>
      </w:pPr>
      <w:r>
        <w:rPr>
          <w:b w:val="0"/>
          <w:i/>
          <w:color w:val="444444"/>
          <w:sz w:val="19"/>
        </w:rPr>
        <w:t>Global consumer health and hygiene company</w:t>
      </w:r>
    </w:p>
    <w:p>
      <w:pPr>
        <w:tabs>
          <w:tab w:pos="10512" w:val="right"/>
        </w:tabs>
        <w:spacing w:after="10" w:before="20"/>
      </w:pPr>
      <w:r>
        <w:rPr>
          <w:b/>
          <w:i/>
          <w:sz w:val="21"/>
        </w:rPr>
        <w:t>E-Commerce Business Development Intern</w:t>
      </w:r>
      <w:r>
        <w:rPr>
          <w:b w:val="0"/>
          <w:i/>
          <w:sz w:val="21"/>
        </w:rPr>
        <w:tab/>
        <w:t>January 2023 – January 2024</w:t>
      </w:r>
    </w:p>
    <w:p>
      <w:pPr>
        <w:pStyle w:val="ListBullet"/>
        <w:spacing w:after="30" w:before="0"/>
        <w:ind w:left="317"/>
      </w:pPr>
      <w:r>
        <w:rPr>
          <w:sz w:val="21"/>
        </w:rPr>
        <w:t>Managed e-commerce operations for key clients (Rappi, Éxito, Locatel, Colsubsidio, Carulla, Farmalisto, Cruz Verde), overseeing advertising negotiations and integrated marketing campaigns.</w:t>
      </w:r>
    </w:p>
    <w:p>
      <w:pPr>
        <w:pStyle w:val="ListBullet"/>
        <w:spacing w:after="30" w:before="0"/>
        <w:ind w:left="317"/>
      </w:pPr>
      <w:r>
        <w:rPr>
          <w:sz w:val="21"/>
        </w:rPr>
        <w:t>Led strategic planning, budgeting, and quarterly performance reviews; boosted Durex sales on RappiTurbo with targeted campaigns during major events.</w:t>
      </w:r>
    </w:p>
    <w:p>
      <w:pPr>
        <w:spacing w:after="60" w:before="140"/>
        <w:pBdr>
          <w:bottom w:val="single" w:sz="6" w:space="2" w:color="1F2A44"/>
        </w:pBdr>
      </w:pPr>
      <w:r>
        <w:rPr>
          <w:b/>
          <w:i w:val="0"/>
          <w:color w:val="1F2A44"/>
          <w:sz w:val="22"/>
        </w:rPr>
        <w:t>EDUCATION</w:t>
      </w:r>
    </w:p>
    <w:p>
      <w:pPr>
        <w:tabs>
          <w:tab w:pos="10512" w:val="right"/>
        </w:tabs>
        <w:spacing w:after="0" w:before="20"/>
      </w:pPr>
      <w:r>
        <w:rPr>
          <w:b/>
          <w:i w:val="0"/>
          <w:sz w:val="21"/>
        </w:rPr>
        <w:t>Colegio de Estudios Superiores de Administración (CESA)</w:t>
      </w:r>
      <w:r>
        <w:rPr>
          <w:b/>
          <w:i w:val="0"/>
          <w:sz w:val="21"/>
        </w:rPr>
        <w:tab/>
        <w:t>Bogotá, Colombia</w:t>
      </w:r>
    </w:p>
    <w:p>
      <w:pPr>
        <w:tabs>
          <w:tab w:pos="10512" w:val="right"/>
        </w:tabs>
        <w:spacing w:after="0" w:before="0"/>
      </w:pPr>
      <w:r>
        <w:rPr>
          <w:b w:val="0"/>
          <w:i w:val="0"/>
          <w:sz w:val="21"/>
        </w:rPr>
        <w:t>Bachelor of Business Administration (BBA), Minor in Strategic Management. GPA: 8.5/10</w:t>
      </w:r>
      <w:r>
        <w:rPr>
          <w:b w:val="0"/>
          <w:i/>
          <w:sz w:val="21"/>
        </w:rPr>
        <w:tab/>
        <w:t>July 2019 – April 2024</w:t>
      </w:r>
    </w:p>
    <w:p>
      <w:pPr>
        <w:spacing w:after="60" w:before="140"/>
        <w:pBdr>
          <w:bottom w:val="single" w:sz="6" w:space="2" w:color="1F2A44"/>
        </w:pBdr>
      </w:pPr>
      <w:r>
        <w:rPr>
          <w:b/>
          <w:i w:val="0"/>
          <w:color w:val="1F2A44"/>
          <w:sz w:val="22"/>
        </w:rPr>
        <w:t>SKILLS, TOOLS &amp; LANGUAGES</w:t>
      </w:r>
    </w:p>
    <w:p>
      <w:pPr>
        <w:spacing w:after="30" w:before="20"/>
      </w:pPr>
      <w:r>
        <w:rPr>
          <w:b/>
          <w:i w:val="0"/>
          <w:sz w:val="21"/>
        </w:rPr>
        <w:t xml:space="preserve">Sales &amp; GTM: </w:t>
      </w:r>
      <w:r>
        <w:rPr>
          <w:b w:val="0"/>
          <w:i w:val="0"/>
          <w:sz w:val="21"/>
        </w:rPr>
        <w:t>Outbound prospecting, cold outreach, discovery and qualification, pipeline generation, account research, negotiation, executive communication.</w:t>
      </w:r>
    </w:p>
    <w:p>
      <w:pPr>
        <w:spacing w:after="30" w:before="0"/>
      </w:pPr>
      <w:r>
        <w:rPr>
          <w:b/>
          <w:i w:val="0"/>
          <w:sz w:val="21"/>
        </w:rPr>
        <w:t xml:space="preserve">Tools &amp; AI: </w:t>
      </w:r>
      <w:r>
        <w:rPr>
          <w:b w:val="0"/>
          <w:i w:val="0"/>
          <w:sz w:val="21"/>
        </w:rPr>
        <w:t>Salesforce, Gong, Clay, Claude, Claude Code, Visual Studio Code, GitHub, Railway, Loom, Office Suite, Python (foundational).</w:t>
      </w:r>
    </w:p>
    <w:p>
      <w:pPr>
        <w:spacing w:after="0" w:before="0"/>
      </w:pPr>
      <w:r>
        <w:rPr>
          <w:b/>
          <w:i w:val="0"/>
          <w:sz w:val="21"/>
        </w:rPr>
        <w:t xml:space="preserve">Languages: </w:t>
      </w:r>
      <w:r>
        <w:rPr>
          <w:b w:val="0"/>
          <w:i w:val="0"/>
          <w:sz w:val="21"/>
        </w:rPr>
        <w:t>Spanish (native), English (full professional proficiency).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