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2E"/>
          <w:sz w:val="48"/>
        </w:rPr>
        <w:t>MERPAY</w:t>
      </w:r>
    </w:p>
    <w:p>
      <w:r>
        <w:rPr>
          <w:i/>
          <w:color w:val="999999"/>
          <w:sz w:val="20"/>
        </w:rPr>
        <w:t>Stripe Sessions | SS Database Fields | 2026-04-27</w:t>
      </w:r>
    </w:p>
    <w:p>
      <w:pPr>
        <w:pStyle w:val="Heading1"/>
      </w:pPr>
      <w:r>
        <w:rPr>
          <w:color w:val="5B4CFF"/>
          <w:sz w:val="36"/>
        </w:rPr>
        <w:t>MERCHANT INFO</w:t>
      </w:r>
    </w:p>
    <w:p>
      <w:r>
        <w:rPr>
          <w:b/>
          <w:color w:val="5B4CFF"/>
          <w:sz w:val="20"/>
        </w:rPr>
        <w:t xml:space="preserve">Logo: </w:t>
      </w:r>
      <w:r>
        <w:rPr>
          <w:sz w:val="22"/>
        </w:rPr>
        <w:t>https://about.mercari.com/en/press/press-kit/mercari/</w:t>
      </w:r>
      <w:shd w:fill="F0F0F0" w:val="clear"/>
    </w:p>
    <w:p>
      <w:r>
        <w:rPr>
          <w:b/>
          <w:color w:val="5B4CFF"/>
          <w:sz w:val="20"/>
        </w:rPr>
        <w:t xml:space="preserve">Nombre merchant: </w:t>
      </w:r>
      <w:r>
        <w:rPr>
          <w:sz w:val="22"/>
        </w:rPr>
        <w:t>Merpay</w:t>
      </w:r>
      <w:shd w:fill="F0F0F0" w:val="clear"/>
    </w:p>
    <w:p>
      <w:pPr>
        <w:pStyle w:val="Heading1"/>
      </w:pPr>
      <w:r>
        <w:rPr>
          <w:color w:val="5B4CFF"/>
          <w:sz w:val="36"/>
        </w:rPr>
        <w:t>SLIDE 1: PAIN POINTS</w:t>
      </w:r>
    </w:p>
    <w:p>
      <w:r>
        <w:rPr>
          <w:b/>
          <w:color w:val="5B4CFF"/>
          <w:sz w:val="20"/>
        </w:rPr>
        <w:t xml:space="preserve">Tittle_Pain Point_1: </w:t>
      </w:r>
      <w:r>
        <w:rPr>
          <w:sz w:val="22"/>
        </w:rPr>
        <w:t>Japan Only Coverage</w:t>
      </w:r>
      <w:shd w:fill="F0F0F0" w:val="clear"/>
      <w:r>
        <w:rPr>
          <w:color w:val="999999"/>
          <w:sz w:val="16"/>
        </w:rPr>
        <w:t xml:space="preserve">  [19/28]</w:t>
      </w:r>
    </w:p>
    <w:p>
      <w:r>
        <w:rPr>
          <w:b/>
          <w:color w:val="5B4CFF"/>
          <w:sz w:val="20"/>
        </w:rPr>
        <w:t xml:space="preserve">Tittle_Pain Point_2: </w:t>
      </w:r>
      <w:r>
        <w:rPr>
          <w:sz w:val="22"/>
        </w:rPr>
        <w:t>Single Ecosystem Trap</w:t>
      </w:r>
      <w:shd w:fill="F0F0F0" w:val="clear"/>
      <w:r>
        <w:rPr>
          <w:color w:val="999999"/>
          <w:sz w:val="16"/>
        </w:rPr>
        <w:t xml:space="preserve">  [21/28]</w:t>
      </w:r>
    </w:p>
    <w:p>
      <w:r>
        <w:rPr>
          <w:b/>
          <w:color w:val="5B4CFF"/>
          <w:sz w:val="20"/>
        </w:rPr>
        <w:t xml:space="preserve">Tittle_Pain Point_3: </w:t>
      </w:r>
      <w:r>
        <w:rPr>
          <w:sz w:val="22"/>
        </w:rPr>
        <w:t>BNPL Credit Risk</w:t>
      </w:r>
      <w:shd w:fill="F0F0F0" w:val="clear"/>
      <w:r>
        <w:rPr>
          <w:color w:val="999999"/>
          <w:sz w:val="16"/>
        </w:rPr>
        <w:t xml:space="preserve">  [16/28]</w:t>
      </w:r>
    </w:p>
    <w:p>
      <w:r>
        <w:rPr>
          <w:b/>
          <w:color w:val="5B4CFF"/>
          <w:sz w:val="20"/>
        </w:rPr>
        <w:t xml:space="preserve">Tittle_Pain Point_4: </w:t>
      </w:r>
      <w:r>
        <w:rPr>
          <w:sz w:val="22"/>
        </w:rPr>
        <w:t>Multi PSP Fragmentation</w:t>
      </w:r>
      <w:shd w:fill="F0F0F0" w:val="clear"/>
      <w:r>
        <w:rPr>
          <w:color w:val="999999"/>
          <w:sz w:val="16"/>
        </w:rPr>
        <w:t xml:space="preserve">  [23/28]</w:t>
      </w:r>
    </w:p>
    <w:p>
      <w:r>
        <w:rPr>
          <w:b/>
          <w:color w:val="5B4CFF"/>
          <w:sz w:val="20"/>
        </w:rPr>
        <w:t xml:space="preserve">Tittle_Pain Point_5: </w:t>
      </w:r>
      <w:r>
        <w:rPr>
          <w:sz w:val="22"/>
        </w:rPr>
        <w:t>Cross Border Gap</w:t>
      </w:r>
      <w:shd w:fill="F0F0F0" w:val="clear"/>
      <w:r>
        <w:rPr>
          <w:color w:val="999999"/>
          <w:sz w:val="16"/>
        </w:rPr>
        <w:t xml:space="preserve">  [16/28]</w:t>
      </w:r>
    </w:p>
    <w:p/>
    <w:p>
      <w:r>
        <w:rPr>
          <w:b/>
          <w:color w:val="5B4CFF"/>
          <w:sz w:val="20"/>
        </w:rPr>
        <w:t xml:space="preserve">Desc_Pain Point_1: </w:t>
      </w:r>
      <w:r>
        <w:rPr>
          <w:sz w:val="22"/>
        </w:rPr>
        <w:t>Merpay operates only in Japan. 18.8M users locked into a single market while Mercari pushes US and global expansion with no Merpay rails outside JP.</w:t>
      </w:r>
      <w:shd w:fill="F0F0F0" w:val="clear"/>
      <w:r>
        <w:rPr>
          <w:color w:val="999999"/>
          <w:sz w:val="16"/>
        </w:rPr>
        <w:t xml:space="preserve">  [148/160]</w:t>
      </w:r>
    </w:p>
    <w:p>
      <w:r>
        <w:rPr>
          <w:b/>
          <w:color w:val="5B4CFF"/>
          <w:sz w:val="20"/>
        </w:rPr>
        <w:t xml:space="preserve">Desc_Pain Point_2: </w:t>
      </w:r>
      <w:r>
        <w:rPr>
          <w:sz w:val="22"/>
        </w:rPr>
        <w:t>90% of TPV depends on Mercari Marketplace flow. Outside the app, acceptance at 1.7M merchants relies on partners like SBPS, KOMOJU, Antom, NORBr.</w:t>
      </w:r>
      <w:shd w:fill="F0F0F0" w:val="clear"/>
      <w:r>
        <w:rPr>
          <w:color w:val="999999"/>
          <w:sz w:val="16"/>
        </w:rPr>
        <w:t xml:space="preserve">  [145/160]</w:t>
      </w:r>
    </w:p>
    <w:p>
      <w:r>
        <w:rPr>
          <w:b/>
          <w:color w:val="5B4CFF"/>
          <w:sz w:val="20"/>
        </w:rPr>
        <w:t xml:space="preserve">Desc_Pain Point_3: </w:t>
      </w:r>
      <w:r>
        <w:rPr>
          <w:sz w:val="22"/>
        </w:rPr>
        <w:t>Smart Pay later (BNPL) is core product. Late repayments and credit losses concentrated in JCB network with no reinsurance or risk diversification.</w:t>
      </w:r>
      <w:shd w:fill="F0F0F0" w:val="clear"/>
      <w:r>
        <w:rPr>
          <w:color w:val="999999"/>
          <w:sz w:val="16"/>
        </w:rPr>
        <w:t xml:space="preserve">  [146/160]</w:t>
      </w:r>
    </w:p>
    <w:p>
      <w:r>
        <w:rPr>
          <w:b/>
          <w:color w:val="5B4CFF"/>
          <w:sz w:val="20"/>
        </w:rPr>
        <w:t xml:space="preserve">Desc_Pain Point_4: </w:t>
      </w:r>
      <w:r>
        <w:rPr>
          <w:sz w:val="22"/>
        </w:rPr>
        <w:t>Each integration path runs through a different PSP (KOMOJU, SBPS, Antom, NORBr, GMO PG). No central acquiring layer, no smart routing across them.</w:t>
      </w:r>
      <w:shd w:fill="F0F0F0" w:val="clear"/>
      <w:r>
        <w:rPr>
          <w:color w:val="999999"/>
          <w:sz w:val="16"/>
        </w:rPr>
        <w:t xml:space="preserve">  [146/160]</w:t>
      </w:r>
    </w:p>
    <w:p>
      <w:r>
        <w:rPr>
          <w:b/>
          <w:color w:val="5B4CFF"/>
          <w:sz w:val="20"/>
        </w:rPr>
        <w:t xml:space="preserve">Desc_Pain Point_5: </w:t>
      </w:r>
      <w:r>
        <w:rPr>
          <w:sz w:val="22"/>
        </w:rPr>
        <w:t>Mercari ships Japan to US cross border via Mercari Hop, but Merpay has zero presence outside Japan. Foreign buyers cannot pay with Merpay rails.</w:t>
      </w:r>
      <w:shd w:fill="F0F0F0" w:val="clear"/>
      <w:r>
        <w:rPr>
          <w:color w:val="999999"/>
          <w:sz w:val="16"/>
        </w:rPr>
        <w:t xml:space="preserve">  [144/160]</w:t>
      </w:r>
    </w:p>
    <w:p>
      <w:pPr>
        <w:pStyle w:val="Heading1"/>
      </w:pPr>
      <w:r>
        <w:rPr>
          <w:color w:val="5B4CFF"/>
          <w:sz w:val="36"/>
        </w:rPr>
        <w:t>SLIDE 1: PSP TOPOLOGY</w:t>
      </w:r>
    </w:p>
    <w:p>
      <w:r>
        <w:rPr>
          <w:b/>
          <w:color w:val="5B4CFF"/>
          <w:sz w:val="20"/>
        </w:rPr>
        <w:t xml:space="preserve">PSP_1: </w:t>
      </w:r>
      <w:r>
        <w:rPr>
          <w:sz w:val="22"/>
        </w:rPr>
        <w:t>KOMOJU</w:t>
      </w:r>
      <w:shd w:fill="F0F0F0" w:val="clear"/>
    </w:p>
    <w:p>
      <w:r>
        <w:rPr>
          <w:b/>
          <w:color w:val="5B4CFF"/>
          <w:sz w:val="20"/>
        </w:rPr>
        <w:t xml:space="preserve">PSP_2: </w:t>
      </w:r>
      <w:r>
        <w:rPr>
          <w:sz w:val="22"/>
        </w:rPr>
        <w:t>SoftBank Payment Service</w:t>
      </w:r>
      <w:shd w:fill="F0F0F0" w:val="clear"/>
    </w:p>
    <w:p>
      <w:r>
        <w:rPr>
          <w:b/>
          <w:color w:val="5B4CFF"/>
          <w:sz w:val="20"/>
        </w:rPr>
        <w:t xml:space="preserve">PSP_3: </w:t>
      </w:r>
      <w:r>
        <w:rPr>
          <w:sz w:val="22"/>
        </w:rPr>
        <w:t>Antom (Ant Group)</w:t>
      </w:r>
      <w:shd w:fill="F0F0F0" w:val="clear"/>
    </w:p>
    <w:p>
      <w:r>
        <w:rPr>
          <w:b/>
          <w:color w:val="5B4CFF"/>
          <w:sz w:val="20"/>
        </w:rPr>
        <w:t xml:space="preserve">PSP_4: </w:t>
      </w:r>
      <w:r>
        <w:rPr>
          <w:sz w:val="22"/>
        </w:rPr>
        <w:t>NORBr</w:t>
      </w:r>
      <w:shd w:fill="F0F0F0" w:val="clear"/>
    </w:p>
    <w:p>
      <w:pPr>
        <w:pStyle w:val="Heading1"/>
      </w:pPr>
      <w:r>
        <w:rPr>
          <w:color w:val="5B4CFF"/>
          <w:sz w:val="36"/>
        </w:rPr>
        <w:t>SLIDE 1: MISSING LOCAL METHODS</w:t>
      </w:r>
    </w:p>
    <w:p>
      <w:r>
        <w:rPr>
          <w:b/>
          <w:color w:val="5B4CFF"/>
          <w:sz w:val="20"/>
        </w:rPr>
        <w:t xml:space="preserve">Local_M_1: </w:t>
      </w:r>
      <w:r>
        <w:rPr>
          <w:sz w:val="22"/>
        </w:rPr>
        <w:t>Alipay</w:t>
      </w:r>
      <w:shd w:fill="F0F0F0" w:val="clear"/>
    </w:p>
    <w:p>
      <w:r>
        <w:rPr>
          <w:b/>
          <w:color w:val="5B4CFF"/>
          <w:sz w:val="20"/>
        </w:rPr>
        <w:t xml:space="preserve">Local_M_2: </w:t>
      </w:r>
      <w:r>
        <w:rPr>
          <w:sz w:val="22"/>
        </w:rPr>
        <w:t>WeChat Pay</w:t>
      </w:r>
      <w:shd w:fill="F0F0F0" w:val="clear"/>
    </w:p>
    <w:p>
      <w:r>
        <w:rPr>
          <w:b/>
          <w:color w:val="5B4CFF"/>
          <w:sz w:val="20"/>
        </w:rPr>
        <w:t xml:space="preserve">Local_M_3: </w:t>
      </w:r>
      <w:r>
        <w:rPr>
          <w:sz w:val="22"/>
        </w:rPr>
        <w:t>KakaoPay</w:t>
      </w:r>
      <w:shd w:fill="F0F0F0" w:val="clear"/>
    </w:p>
    <w:p>
      <w:r>
        <w:rPr>
          <w:b/>
          <w:color w:val="5B4CFF"/>
          <w:sz w:val="20"/>
        </w:rPr>
        <w:t xml:space="preserve">Local_M_4: </w:t>
      </w:r>
      <w:r>
        <w:rPr>
          <w:sz w:val="22"/>
        </w:rPr>
        <w:t>UPI</w:t>
      </w:r>
      <w:shd w:fill="F0F0F0" w:val="clear"/>
    </w:p>
    <w:p>
      <w:r>
        <w:rPr>
          <w:b/>
          <w:color w:val="5B4CFF"/>
          <w:sz w:val="20"/>
        </w:rPr>
        <w:t xml:space="preserve">Local_M_5: </w:t>
      </w:r>
      <w:r>
        <w:rPr>
          <w:sz w:val="22"/>
        </w:rPr>
        <w:t>Pix</w:t>
      </w:r>
      <w:shd w:fill="F0F0F0" w:val="clear"/>
    </w:p>
    <w:p>
      <w:r>
        <w:rPr>
          <w:b/>
          <w:color w:val="5B4CFF"/>
          <w:sz w:val="20"/>
        </w:rPr>
        <w:t xml:space="preserve">Local_M_6: </w:t>
      </w:r>
      <w:r>
        <w:rPr>
          <w:sz w:val="22"/>
        </w:rPr>
        <w:t>iDEAL</w:t>
      </w:r>
      <w:shd w:fill="F0F0F0" w:val="clear"/>
    </w:p>
    <w:p>
      <w:r>
        <w:rPr>
          <w:b/>
          <w:color w:val="5B4CFF"/>
          <w:sz w:val="20"/>
        </w:rPr>
        <w:t xml:space="preserve">Local_M_7: </w:t>
      </w:r>
      <w:r>
        <w:rPr>
          <w:sz w:val="22"/>
        </w:rPr>
        <w:t>BLIK</w:t>
      </w:r>
      <w:shd w:fill="F0F0F0" w:val="clear"/>
    </w:p>
    <w:p>
      <w:r>
        <w:rPr>
          <w:b/>
          <w:color w:val="5B4CFF"/>
          <w:sz w:val="20"/>
        </w:rPr>
        <w:t xml:space="preserve">Local_M_8: </w:t>
      </w:r>
      <w:r>
        <w:rPr>
          <w:sz w:val="22"/>
        </w:rPr>
        <w:t>GrabPay</w:t>
      </w:r>
      <w:shd w:fill="F0F0F0" w:val="clear"/>
    </w:p>
    <w:p>
      <w:r>
        <w:rPr>
          <w:b/>
          <w:color w:val="5B4CFF"/>
          <w:sz w:val="20"/>
        </w:rPr>
        <w:t xml:space="preserve">Local_M_9: </w:t>
      </w:r>
      <w:r>
        <w:rPr>
          <w:sz w:val="22"/>
        </w:rPr>
        <w:t>TrueMoney</w:t>
      </w:r>
      <w:shd w:fill="F0F0F0" w:val="clear"/>
    </w:p>
    <w:p>
      <w:r>
        <w:rPr>
          <w:b/>
          <w:color w:val="5B4CFF"/>
          <w:sz w:val="20"/>
        </w:rPr>
        <w:t xml:space="preserve">Local_M_10: </w:t>
      </w:r>
      <w:r>
        <w:rPr>
          <w:sz w:val="22"/>
        </w:rPr>
        <w:t>GCash</w:t>
      </w:r>
      <w:shd w:fill="F0F0F0" w:val="clear"/>
    </w:p>
    <w:p>
      <w:r>
        <w:br w:type="page"/>
      </w:r>
    </w:p>
    <w:p>
      <w:pPr>
        <w:pStyle w:val="Heading1"/>
      </w:pPr>
      <w:r>
        <w:rPr>
          <w:color w:val="5B4CFF"/>
          <w:sz w:val="36"/>
        </w:rPr>
        <w:t>SLIDE 2: YUNO CAPABILITIES</w:t>
      </w:r>
    </w:p>
    <w:p>
      <w:r>
        <w:rPr>
          <w:b/>
          <w:color w:val="5B4CFF"/>
          <w:sz w:val="20"/>
        </w:rPr>
        <w:t xml:space="preserve">Tittle_Yuno_Cap1: </w:t>
      </w:r>
      <w:r>
        <w:rPr>
          <w:sz w:val="22"/>
        </w:rPr>
        <w:t>Smart Routing</w:t>
      </w:r>
      <w:shd w:fill="F0F0F0" w:val="clear"/>
      <w:r>
        <w:rPr>
          <w:color w:val="999999"/>
          <w:sz w:val="16"/>
        </w:rPr>
        <w:t xml:space="preserve">  [13/30]</w:t>
      </w:r>
    </w:p>
    <w:p>
      <w:r>
        <w:rPr>
          <w:b/>
          <w:color w:val="5B4CFF"/>
          <w:sz w:val="20"/>
        </w:rPr>
        <w:t xml:space="preserve">Tittle_Yuno_Cap2: </w:t>
      </w:r>
      <w:r>
        <w:rPr>
          <w:sz w:val="22"/>
        </w:rPr>
        <w:t>Failover &amp; Retries</w:t>
      </w:r>
      <w:shd w:fill="F0F0F0" w:val="clear"/>
      <w:r>
        <w:rPr>
          <w:color w:val="999999"/>
          <w:sz w:val="16"/>
        </w:rPr>
        <w:t xml:space="preserve">  [18/30]</w:t>
      </w:r>
    </w:p>
    <w:p>
      <w:r>
        <w:rPr>
          <w:b/>
          <w:color w:val="5B4CFF"/>
          <w:sz w:val="20"/>
        </w:rPr>
        <w:t xml:space="preserve">Tittle_Yuno_Cap3: </w:t>
      </w:r>
      <w:r>
        <w:rPr>
          <w:sz w:val="22"/>
        </w:rPr>
        <w:t>Local Payment Methods</w:t>
      </w:r>
      <w:shd w:fill="F0F0F0" w:val="clear"/>
      <w:r>
        <w:rPr>
          <w:color w:val="999999"/>
          <w:sz w:val="16"/>
        </w:rPr>
        <w:t xml:space="preserve">  [21/30]</w:t>
      </w:r>
    </w:p>
    <w:p>
      <w:r>
        <w:rPr>
          <w:b/>
          <w:color w:val="5B4CFF"/>
          <w:sz w:val="20"/>
        </w:rPr>
        <w:t xml:space="preserve">Tittle_Yuno_Cap4: </w:t>
      </w:r>
      <w:r>
        <w:rPr>
          <w:sz w:val="22"/>
        </w:rPr>
        <w:t>Unified Orchestration</w:t>
      </w:r>
      <w:shd w:fill="F0F0F0" w:val="clear"/>
      <w:r>
        <w:rPr>
          <w:color w:val="999999"/>
          <w:sz w:val="16"/>
        </w:rPr>
        <w:t xml:space="preserve">  [21/30]</w:t>
      </w:r>
    </w:p>
    <w:p/>
    <w:p>
      <w:r>
        <w:rPr>
          <w:b/>
          <w:color w:val="5B4CFF"/>
          <w:sz w:val="20"/>
        </w:rPr>
        <w:t xml:space="preserve">Desc_Yuno_Cap1: </w:t>
      </w:r>
      <w:r>
        <w:rPr>
          <w:sz w:val="22"/>
        </w:rPr>
        <w:t>Per-transaction routing across KOMOJU, SBPS, Antom, NORBr, and GMO PG optimizes each Merpay payin by issuer, BIN, and merchant category. With JPY 400B TPV in 2025, even a 3% auth uplift translates to JPY 12B in recovered annual volume across 1.7M merchants.</w:t>
      </w:r>
      <w:shd w:fill="F0F0F0" w:val="clear"/>
      <w:r>
        <w:rPr>
          <w:color w:val="999999"/>
          <w:sz w:val="16"/>
        </w:rPr>
        <w:t xml:space="preserve">  [257/280]</w:t>
      </w:r>
    </w:p>
    <w:p>
      <w:r>
        <w:rPr>
          <w:b/>
          <w:color w:val="5B4CFF"/>
          <w:sz w:val="20"/>
        </w:rPr>
        <w:t xml:space="preserve">Desc_Yuno_Cap2: </w:t>
      </w:r>
      <w:r>
        <w:rPr>
          <w:sz w:val="22"/>
        </w:rPr>
        <w:t>Automatic cascade across Merpay's 4+ integration partners eliminates single PSP outage risk. When KOMOJU or SBPS declines, Yuno reroutes instantly to the next best provider, turning failed Smart Pay later renewals into recovered BNPL revenue with zero customer friction.</w:t>
      </w:r>
      <w:shd w:fill="F0F0F0" w:val="clear"/>
      <w:r>
        <w:rPr>
          <w:color w:val="999999"/>
          <w:sz w:val="16"/>
        </w:rPr>
        <w:t xml:space="preserve">  [270/280]</w:t>
      </w:r>
    </w:p>
    <w:p>
      <w:r>
        <w:rPr>
          <w:b/>
          <w:color w:val="5B4CFF"/>
          <w:sz w:val="20"/>
        </w:rPr>
        <w:t xml:space="preserve">Desc_Yuno_Cap3: </w:t>
      </w:r>
      <w:r>
        <w:rPr>
          <w:sz w:val="22"/>
        </w:rPr>
        <w:t>Activates the rails Merpay needs to expand beyond Japan: Alipay and WeChat Pay for Chinese tourists, KakaoPay for Korea, UPI for India, Pix for Brazil. One API, 1,000+ payment methods, instant geo-routing for Mercari Hop cross border flows.</w:t>
      </w:r>
      <w:shd w:fill="F0F0F0" w:val="clear"/>
      <w:r>
        <w:rPr>
          <w:color w:val="999999"/>
          <w:sz w:val="16"/>
        </w:rPr>
        <w:t xml:space="preserve">  [240/280]</w:t>
      </w:r>
    </w:p>
    <w:p>
      <w:r>
        <w:rPr>
          <w:b/>
          <w:color w:val="5B4CFF"/>
          <w:sz w:val="20"/>
        </w:rPr>
        <w:t xml:space="preserve">Desc_Yuno_Cap4: </w:t>
      </w:r>
      <w:r>
        <w:rPr>
          <w:sz w:val="22"/>
        </w:rPr>
        <w:t>One dashboard replacing Merpay's fragmented KOMOJU, SBPS, Antom, NORBr, and GMO PG consoles. Real-time approval rate monitoring, centralized reconciliation across all integration partners, millisecond anomaly detection via Monitors.</w:t>
      </w:r>
      <w:shd w:fill="F0F0F0" w:val="clear"/>
      <w:r>
        <w:rPr>
          <w:color w:val="999999"/>
          <w:sz w:val="16"/>
        </w:rPr>
        <w:t xml:space="preserve">  [232/280]</w:t>
      </w:r>
    </w:p>
    <w:p>
      <w:r>
        <w:br w:type="page"/>
      </w:r>
    </w:p>
    <w:p>
      <w:pPr>
        <w:pStyle w:val="Heading1"/>
      </w:pPr>
      <w:r>
        <w:rPr>
          <w:color w:val="5B4CFF"/>
          <w:sz w:val="36"/>
        </w:rPr>
        <w:t>RESEARCH BACKING</w:t>
      </w:r>
    </w:p>
    <w:p>
      <w:r>
        <w:rPr>
          <w:b/>
          <w:sz w:val="24"/>
        </w:rPr>
        <w:t>Merpay at a glance:</w:t>
      </w:r>
    </w:p>
    <w:p>
      <w:pPr>
        <w:pStyle w:val="ListBullet"/>
      </w:pPr>
      <w:r>
        <w:t>Subsidiary of Mercari, Inc. (TYO: 4385), Japan</w:t>
      </w:r>
    </w:p>
    <w:p>
      <w:pPr>
        <w:pStyle w:val="ListBullet"/>
      </w:pPr>
      <w:r>
        <w:t>18.8M identity-verified accounts (Sept 2025), 94% verified</w:t>
      </w:r>
    </w:p>
    <w:p>
      <w:pPr>
        <w:pStyle w:val="ListBullet"/>
      </w:pPr>
      <w:r>
        <w:t>1.7M merchants accept Merpay across Japan</w:t>
      </w:r>
    </w:p>
    <w:p>
      <w:pPr>
        <w:pStyle w:val="ListBullet"/>
      </w:pPr>
      <w:r>
        <w:t>JPY 400B Total Payment Volume in FY2025 (~$2.6B USD)</w:t>
      </w:r>
    </w:p>
    <w:p>
      <w:pPr>
        <w:pStyle w:val="ListBullet"/>
      </w:pPr>
      <w:r>
        <w:t>Parent Mercari FY2025 revenue: JPY 192.63B (+2.79% YoY)</w:t>
      </w:r>
    </w:p>
    <w:p>
      <w:pPr>
        <w:pStyle w:val="ListBullet"/>
      </w:pPr>
      <w:r>
        <w:t>Mercari Core operating profit: JPY 27.5B (+46% YoY)</w:t>
      </w:r>
    </w:p>
    <w:p>
      <w:pPr>
        <w:pStyle w:val="ListBullet"/>
      </w:pPr>
      <w:r>
        <w:t>Fee structure: 2.6% per transaction, no startup fees</w:t>
      </w:r>
    </w:p>
    <w:p/>
    <w:p>
      <w:r>
        <w:rPr>
          <w:b/>
          <w:sz w:val="24"/>
        </w:rPr>
        <w:t>Confirmed integration partners (PSPs):</w:t>
      </w:r>
    </w:p>
    <w:p>
      <w:pPr>
        <w:pStyle w:val="ListBullet"/>
      </w:pPr>
      <w:r>
        <w:t>KOMOJU: featured Merpay as Japanese payment method</w:t>
      </w:r>
    </w:p>
    <w:p>
      <w:pPr>
        <w:pStyle w:val="ListBullet"/>
      </w:pPr>
      <w:r>
        <w:t>SoftBank Payment Service (SBPS): Merpay integration</w:t>
      </w:r>
    </w:p>
    <w:p>
      <w:pPr>
        <w:pStyle w:val="ListBullet"/>
      </w:pPr>
      <w:r>
        <w:t>Antom (Ant Group): Merpay supported as payment method</w:t>
      </w:r>
    </w:p>
    <w:p>
      <w:pPr>
        <w:pStyle w:val="ListBullet"/>
      </w:pPr>
      <w:r>
        <w:t>NORBr: white label gateway includes Merpay</w:t>
      </w:r>
    </w:p>
    <w:p>
      <w:pPr>
        <w:pStyle w:val="ListBullet"/>
      </w:pPr>
      <w:r>
        <w:t>GMO Payment Gateway: standard Japanese acquirer</w:t>
      </w:r>
    </w:p>
    <w:p>
      <w:pPr>
        <w:pStyle w:val="ListBullet"/>
      </w:pPr>
      <w:r>
        <w:t>Mercard (JCB): credit card launched Nov 2022</w:t>
      </w:r>
    </w:p>
    <w:p/>
    <w:p>
      <w:r>
        <w:rPr>
          <w:b/>
          <w:sz w:val="24"/>
        </w:rPr>
        <w:t>Key meeting angles:</w:t>
      </w:r>
    </w:p>
    <w:p>
      <w:pPr>
        <w:pStyle w:val="ListBullet"/>
      </w:pPr>
      <w:r>
        <w:t>Cross border revenue unlock for 1.7M merchants</w:t>
      </w:r>
    </w:p>
    <w:p>
      <w:pPr>
        <w:pStyle w:val="ListBullet"/>
      </w:pPr>
      <w:r>
        <w:t>Multi PSP orchestration replaces 5+ integrations</w:t>
      </w:r>
    </w:p>
    <w:p>
      <w:pPr>
        <w:pStyle w:val="ListBullet"/>
      </w:pPr>
      <w:r>
        <w:t>BNPL credit risk diversification via smart routing</w:t>
      </w:r>
    </w:p>
    <w:p>
      <w:pPr>
        <w:pStyle w:val="ListBullet"/>
      </w:pPr>
      <w:r>
        <w:t>Mercari global strategy enables Merpay expansion</w:t>
      </w:r>
    </w:p>
    <w:p>
      <w:pPr>
        <w:pStyle w:val="ListBullet"/>
      </w:pPr>
      <w:r>
        <w:t>Mercard JCB optimization via auth rate improvements</w:t>
      </w:r>
    </w:p>
    <w:p>
      <w:pPr>
        <w:pStyle w:val="ListBullet"/>
      </w:pPr>
      <w:r>
        <w:t>IPO scrutiny on TYO 4385 payment infrastructure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