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ACADEMIA.EDU | Stripe Sessions Research (SS Database Format)</w:t>
      </w:r>
    </w:p>
    <w:p>
      <w:r>
        <w:rPr>
          <w:i/>
        </w:rPr>
        <w:t>Generated: 2026-04-21</w:t>
      </w:r>
    </w:p>
    <w:p/>
    <w:p>
      <w:pPr>
        <w:spacing w:after="40" w:before="0"/>
      </w:pPr>
      <w:r>
        <w:rPr>
          <w:rFonts w:ascii="Consolas" w:hAnsi="Consolas"/>
          <w:sz w:val="20"/>
        </w:rPr>
        <w:t>=======================================</w:t>
      </w:r>
    </w:p>
    <w:p>
      <w:pPr>
        <w:spacing w:after="40" w:before="0"/>
      </w:pPr>
      <w:r>
        <w:rPr>
          <w:rFonts w:ascii="Consolas" w:hAnsi="Consolas"/>
          <w:sz w:val="20"/>
        </w:rPr>
        <w:t>DATABASE FIELDS: Academia.edu</w:t>
      </w:r>
    </w:p>
    <w:p>
      <w:pPr>
        <w:spacing w:after="40" w:before="0"/>
      </w:pPr>
      <w:r>
        <w:rPr>
          <w:rFonts w:ascii="Consolas" w:hAnsi="Consolas"/>
          <w:sz w:val="20"/>
        </w:rPr>
        <w:t>=======================================</w:t>
      </w:r>
    </w:p>
    <w:p>
      <w:pPr>
        <w:spacing w:after="40" w:before="0"/>
      </w:pPr>
      <w:r>
        <w:rPr>
          <w:rFonts w:ascii="Consolas" w:hAnsi="Consolas"/>
          <w:sz w:val="20"/>
        </w:rPr>
      </w:r>
    </w:p>
    <w:p>
      <w:pPr>
        <w:spacing w:after="40" w:before="0"/>
      </w:pPr>
      <w:r>
        <w:rPr>
          <w:rFonts w:ascii="Consolas" w:hAnsi="Consolas"/>
          <w:sz w:val="20"/>
        </w:rPr>
        <w:t>Logo: https://upload.wikimedia.org/wikipedia/commons/a/a0/Academia.edu_logo.svg</w:t>
      </w:r>
    </w:p>
    <w:p>
      <w:pPr>
        <w:spacing w:after="40" w:before="0"/>
      </w:pPr>
      <w:r>
        <w:rPr>
          <w:rFonts w:ascii="Consolas" w:hAnsi="Consolas"/>
          <w:sz w:val="20"/>
        </w:rPr>
        <w:t>Nombre merchant: Academia.edu</w:t>
      </w:r>
    </w:p>
    <w:p>
      <w:pPr>
        <w:spacing w:after="40" w:before="0"/>
      </w:pPr>
      <w:r>
        <w:rPr>
          <w:rFonts w:ascii="Consolas" w:hAnsi="Consolas"/>
          <w:sz w:val="20"/>
        </w:rPr>
      </w:r>
    </w:p>
    <w:p>
      <w:pPr>
        <w:spacing w:after="40" w:before="0"/>
      </w:pPr>
      <w:r>
        <w:rPr>
          <w:rFonts w:ascii="Consolas" w:hAnsi="Consolas"/>
          <w:sz w:val="20"/>
        </w:rPr>
        <w:t>SLIDE 1: PAIN POINTS</w:t>
      </w:r>
    </w:p>
    <w:p>
      <w:pPr>
        <w:spacing w:after="40" w:before="0"/>
      </w:pPr>
      <w:r>
        <w:rPr>
          <w:rFonts w:ascii="Consolas" w:hAnsi="Consolas"/>
          <w:sz w:val="20"/>
        </w:rPr>
      </w:r>
    </w:p>
    <w:p>
      <w:pPr>
        <w:spacing w:after="40" w:before="0"/>
      </w:pPr>
      <w:r>
        <w:rPr>
          <w:rFonts w:ascii="Consolas" w:hAnsi="Consolas"/>
          <w:sz w:val="20"/>
        </w:rPr>
        <w:t>Tittle_Pain Point_1: Card-Only Global Subs</w:t>
      </w:r>
    </w:p>
    <w:p>
      <w:pPr>
        <w:spacing w:after="40" w:before="0"/>
      </w:pPr>
      <w:r>
        <w:rPr>
          <w:rFonts w:ascii="Consolas" w:hAnsi="Consolas"/>
          <w:sz w:val="20"/>
        </w:rPr>
        <w:t>Tittle_Pain Point_2: 85% Non-US, Zero APMs</w:t>
      </w:r>
    </w:p>
    <w:p>
      <w:pPr>
        <w:spacing w:after="40" w:before="0"/>
      </w:pPr>
      <w:r>
        <w:rPr>
          <w:rFonts w:ascii="Consolas" w:hAnsi="Consolas"/>
          <w:sz w:val="20"/>
        </w:rPr>
        <w:t>Tittle_Pain Point_3: Single Acquirer Risk</w:t>
      </w:r>
    </w:p>
    <w:p>
      <w:pPr>
        <w:spacing w:after="40" w:before="0"/>
      </w:pPr>
      <w:r>
        <w:rPr>
          <w:rFonts w:ascii="Consolas" w:hAnsi="Consolas"/>
          <w:sz w:val="20"/>
        </w:rPr>
        <w:t>Tittle_Pain Point_4: Recurring Decline Churn</w:t>
      </w:r>
    </w:p>
    <w:p>
      <w:pPr>
        <w:spacing w:after="40" w:before="0"/>
      </w:pPr>
      <w:r>
        <w:rPr>
          <w:rFonts w:ascii="Consolas" w:hAnsi="Consolas"/>
          <w:sz w:val="20"/>
        </w:rPr>
        <w:t>Tittle_Pain Point_5: FX Conversion Friction</w:t>
      </w:r>
    </w:p>
    <w:p>
      <w:pPr>
        <w:spacing w:after="40" w:before="0"/>
      </w:pPr>
      <w:r>
        <w:rPr>
          <w:rFonts w:ascii="Consolas" w:hAnsi="Consolas"/>
          <w:sz w:val="20"/>
        </w:rPr>
      </w:r>
    </w:p>
    <w:p>
      <w:pPr>
        <w:spacing w:after="40" w:before="0"/>
      </w:pPr>
      <w:r>
        <w:rPr>
          <w:rFonts w:ascii="Consolas" w:hAnsi="Consolas"/>
          <w:sz w:val="20"/>
        </w:rPr>
        <w:t>Desc_Pain Point_1: 270M+ registered users but Premium subscriptions accept only cards and PayPal. No direct debit, no bank transfers, no local wallets. In markets like Indonesia (5%) and Mexico (5.5%), card penetration is under 15%, blocking conversion entirely.</w:t>
      </w:r>
    </w:p>
    <w:p>
      <w:pPr>
        <w:spacing w:after="40" w:before="0"/>
      </w:pPr>
      <w:r>
        <w:rPr>
          <w:rFonts w:ascii="Consolas" w:hAnsi="Consolas"/>
          <w:sz w:val="20"/>
        </w:rPr>
        <w:t>Desc_Pain Point_2: 85%+ of traffic comes from outside the US. Top markets include Brazil (7.2%), Italy (5.7%), Mexico (5.5%), Indonesia (5%). Zero local payment methods in any of these markets: no Pix, no SPEI, no GoPay, no Bancomat Pay.</w:t>
      </w:r>
    </w:p>
    <w:p>
      <w:pPr>
        <w:spacing w:after="40" w:before="0"/>
      </w:pPr>
      <w:r>
        <w:rPr>
          <w:rFonts w:ascii="Consolas" w:hAnsi="Consolas"/>
          <w:sz w:val="20"/>
        </w:rPr>
        <w:t>Desc_Pain Point_3: All card payments route through a single processor with no failover path. Any acquirer disruption blocks 100% of Premium subscription revenue. For a platform with $25.9M+ in annual revenue, a single outage directly impacts cash flow.</w:t>
      </w:r>
    </w:p>
    <w:p>
      <w:pPr>
        <w:spacing w:after="40" w:before="0"/>
      </w:pPr>
      <w:r>
        <w:rPr>
          <w:rFonts w:ascii="Consolas" w:hAnsi="Consolas"/>
          <w:sz w:val="20"/>
        </w:rPr>
        <w:t>Desc_Pain Point_4: Auto-renewal billing on recurring subscriptions with no smart retry or cascade logic. Failed cards from expired credentials, soft declines, or issuer blocks silently churn paying subscribers. BBB and Trustpilot filled with billing failure complaints.</w:t>
      </w:r>
    </w:p>
    <w:p>
      <w:pPr>
        <w:spacing w:after="40" w:before="0"/>
      </w:pPr>
      <w:r>
        <w:rPr>
          <w:rFonts w:ascii="Consolas" w:hAnsi="Consolas"/>
          <w:sz w:val="20"/>
        </w:rPr>
        <w:t>Desc_Pain Point_5: Premium priced at $249+/year USD. International subscribers in 180+ countries absorb bank FX markup (2-4%) plus cross-border fees. A researcher in Brazil or India pays $10-15 extra annually in hidden conversion costs.</w:t>
      </w:r>
    </w:p>
    <w:p>
      <w:pPr>
        <w:spacing w:after="40" w:before="0"/>
      </w:pPr>
      <w:r>
        <w:rPr>
          <w:rFonts w:ascii="Consolas" w:hAnsi="Consolas"/>
          <w:sz w:val="20"/>
        </w:rPr>
      </w:r>
    </w:p>
    <w:p>
      <w:pPr>
        <w:spacing w:after="40" w:before="0"/>
      </w:pPr>
      <w:r>
        <w:rPr>
          <w:rFonts w:ascii="Consolas" w:hAnsi="Consolas"/>
          <w:sz w:val="20"/>
        </w:rPr>
        <w:t>SLIDE 1: PSP TOPOLOGY</w:t>
      </w:r>
    </w:p>
    <w:p>
      <w:pPr>
        <w:spacing w:after="40" w:before="0"/>
      </w:pPr>
      <w:r>
        <w:rPr>
          <w:rFonts w:ascii="Consolas" w:hAnsi="Consolas"/>
          <w:sz w:val="20"/>
        </w:rPr>
      </w:r>
    </w:p>
    <w:p>
      <w:pPr>
        <w:spacing w:after="40" w:before="0"/>
      </w:pPr>
      <w:r>
        <w:rPr>
          <w:rFonts w:ascii="Consolas" w:hAnsi="Consolas"/>
          <w:sz w:val="20"/>
        </w:rPr>
        <w:t>PSP_1: Stripe (primary card processor, confirmed via infrastructure)</w:t>
      </w:r>
    </w:p>
    <w:p>
      <w:pPr>
        <w:spacing w:after="40" w:before="0"/>
      </w:pPr>
      <w:r>
        <w:rPr>
          <w:rFonts w:ascii="Consolas" w:hAnsi="Consolas"/>
          <w:sz w:val="20"/>
        </w:rPr>
        <w:t>PSP_2: PayPal (alternative payment option)</w:t>
      </w:r>
    </w:p>
    <w:p>
      <w:pPr>
        <w:spacing w:after="40" w:before="0"/>
      </w:pPr>
      <w:r>
        <w:rPr>
          <w:rFonts w:ascii="Consolas" w:hAnsi="Consolas"/>
          <w:sz w:val="20"/>
        </w:rPr>
        <w:t>PSP_3: Apple IAP (iOS app purchases)</w:t>
      </w:r>
    </w:p>
    <w:p>
      <w:pPr>
        <w:spacing w:after="40" w:before="0"/>
      </w:pPr>
      <w:r>
        <w:rPr>
          <w:rFonts w:ascii="Consolas" w:hAnsi="Consolas"/>
          <w:sz w:val="20"/>
        </w:rPr>
      </w:r>
    </w:p>
    <w:p>
      <w:pPr>
        <w:spacing w:after="40" w:before="0"/>
      </w:pPr>
      <w:r>
        <w:rPr>
          <w:rFonts w:ascii="Consolas" w:hAnsi="Consolas"/>
          <w:sz w:val="20"/>
        </w:rPr>
        <w:t>SLIDE 1: MISSING LOCAL METHODS (BLIND SPOTS)</w:t>
      </w:r>
    </w:p>
    <w:p>
      <w:pPr>
        <w:spacing w:after="40" w:before="0"/>
      </w:pPr>
      <w:r>
        <w:rPr>
          <w:rFonts w:ascii="Consolas" w:hAnsi="Consolas"/>
          <w:sz w:val="20"/>
        </w:rPr>
      </w:r>
    </w:p>
    <w:p>
      <w:pPr>
        <w:spacing w:after="40" w:before="0"/>
      </w:pPr>
      <w:r>
        <w:rPr>
          <w:rFonts w:ascii="Consolas" w:hAnsi="Consolas"/>
          <w:sz w:val="20"/>
        </w:rPr>
        <w:t>Local_M_1: Pix</w:t>
      </w:r>
    </w:p>
    <w:p>
      <w:pPr>
        <w:spacing w:after="40" w:before="0"/>
      </w:pPr>
      <w:r>
        <w:rPr>
          <w:rFonts w:ascii="Consolas" w:hAnsi="Consolas"/>
          <w:sz w:val="20"/>
        </w:rPr>
        <w:t>Local_M_2: SPEI</w:t>
      </w:r>
    </w:p>
    <w:p>
      <w:pPr>
        <w:spacing w:after="40" w:before="0"/>
      </w:pPr>
      <w:r>
        <w:rPr>
          <w:rFonts w:ascii="Consolas" w:hAnsi="Consolas"/>
          <w:sz w:val="20"/>
        </w:rPr>
        <w:t>Local_M_3: Bancomat Pay</w:t>
      </w:r>
    </w:p>
    <w:p>
      <w:pPr>
        <w:spacing w:after="40" w:before="0"/>
      </w:pPr>
      <w:r>
        <w:rPr>
          <w:rFonts w:ascii="Consolas" w:hAnsi="Consolas"/>
          <w:sz w:val="20"/>
        </w:rPr>
        <w:t>Local_M_4: GoPay</w:t>
      </w:r>
    </w:p>
    <w:p>
      <w:pPr>
        <w:spacing w:after="40" w:before="0"/>
      </w:pPr>
      <w:r>
        <w:rPr>
          <w:rFonts w:ascii="Consolas" w:hAnsi="Consolas"/>
          <w:sz w:val="20"/>
        </w:rPr>
        <w:t>Local_M_5: SEPA Direct Debit</w:t>
      </w:r>
    </w:p>
    <w:p>
      <w:pPr>
        <w:spacing w:after="40" w:before="0"/>
      </w:pPr>
      <w:r>
        <w:rPr>
          <w:rFonts w:ascii="Consolas" w:hAnsi="Consolas"/>
          <w:sz w:val="20"/>
        </w:rPr>
        <w:t>Local_M_6: iDEAL</w:t>
      </w:r>
    </w:p>
    <w:p>
      <w:pPr>
        <w:spacing w:after="40" w:before="0"/>
      </w:pPr>
      <w:r>
        <w:rPr>
          <w:rFonts w:ascii="Consolas" w:hAnsi="Consolas"/>
          <w:sz w:val="20"/>
        </w:rPr>
        <w:t>Local_M_7: UPI</w:t>
      </w:r>
    </w:p>
    <w:p>
      <w:pPr>
        <w:spacing w:after="40" w:before="0"/>
      </w:pPr>
      <w:r>
        <w:rPr>
          <w:rFonts w:ascii="Consolas" w:hAnsi="Consolas"/>
          <w:sz w:val="20"/>
        </w:rPr>
        <w:t>Local_M_8: Boleto</w:t>
      </w:r>
    </w:p>
    <w:p>
      <w:pPr>
        <w:spacing w:after="40" w:before="0"/>
      </w:pPr>
      <w:r>
        <w:rPr>
          <w:rFonts w:ascii="Consolas" w:hAnsi="Consolas"/>
          <w:sz w:val="20"/>
        </w:rPr>
        <w:t>Local_M_9: OXXO</w:t>
      </w:r>
    </w:p>
    <w:p>
      <w:pPr>
        <w:spacing w:after="40" w:before="0"/>
      </w:pPr>
      <w:r>
        <w:rPr>
          <w:rFonts w:ascii="Consolas" w:hAnsi="Consolas"/>
          <w:sz w:val="20"/>
        </w:rPr>
        <w:t>Local_M_10: BLIK</w:t>
      </w:r>
    </w:p>
    <w:p>
      <w:pPr>
        <w:spacing w:after="40" w:before="0"/>
      </w:pPr>
      <w:r>
        <w:rPr>
          <w:rFonts w:ascii="Consolas" w:hAnsi="Consolas"/>
          <w:sz w:val="20"/>
        </w:rPr>
      </w:r>
    </w:p>
    <w:p>
      <w:pPr>
        <w:spacing w:after="40" w:before="0"/>
      </w:pPr>
      <w:r>
        <w:rPr>
          <w:rFonts w:ascii="Consolas" w:hAnsi="Consolas"/>
          <w:sz w:val="20"/>
        </w:rPr>
        <w:t>SLIDE 2: YUNO CAPABILITIES</w:t>
      </w:r>
    </w:p>
    <w:p>
      <w:pPr>
        <w:spacing w:after="40" w:before="0"/>
      </w:pPr>
      <w:r>
        <w:rPr>
          <w:rFonts w:ascii="Consolas" w:hAnsi="Consolas"/>
          <w:sz w:val="20"/>
        </w:rPr>
      </w:r>
    </w:p>
    <w:p>
      <w:pPr>
        <w:spacing w:after="40" w:before="0"/>
      </w:pPr>
      <w:r>
        <w:rPr>
          <w:rFonts w:ascii="Consolas" w:hAnsi="Consolas"/>
          <w:sz w:val="20"/>
        </w:rPr>
        <w:t>Tittle_Yuno_Cap1: Smart Routing</w:t>
      </w:r>
    </w:p>
    <w:p>
      <w:pPr>
        <w:spacing w:after="40" w:before="0"/>
      </w:pPr>
      <w:r>
        <w:rPr>
          <w:rFonts w:ascii="Consolas" w:hAnsi="Consolas"/>
          <w:sz w:val="20"/>
        </w:rPr>
        <w:t>Tittle_Yuno_Cap2: Failover &amp; Retries</w:t>
      </w:r>
    </w:p>
    <w:p>
      <w:pPr>
        <w:spacing w:after="40" w:before="0"/>
      </w:pPr>
      <w:r>
        <w:rPr>
          <w:rFonts w:ascii="Consolas" w:hAnsi="Consolas"/>
          <w:sz w:val="20"/>
        </w:rPr>
        <w:t>Tittle_Yuno_Cap3: Local Payment Methods</w:t>
      </w:r>
    </w:p>
    <w:p>
      <w:pPr>
        <w:spacing w:after="40" w:before="0"/>
      </w:pPr>
      <w:r>
        <w:rPr>
          <w:rFonts w:ascii="Consolas" w:hAnsi="Consolas"/>
          <w:sz w:val="20"/>
        </w:rPr>
        <w:t>Tittle_Yuno_Cap4: Unified Orchestration</w:t>
      </w:r>
    </w:p>
    <w:p>
      <w:pPr>
        <w:spacing w:after="40" w:before="0"/>
      </w:pPr>
      <w:r>
        <w:rPr>
          <w:rFonts w:ascii="Consolas" w:hAnsi="Consolas"/>
          <w:sz w:val="20"/>
        </w:rPr>
      </w:r>
    </w:p>
    <w:p>
      <w:pPr>
        <w:spacing w:after="40" w:before="0"/>
      </w:pPr>
      <w:r>
        <w:rPr>
          <w:rFonts w:ascii="Consolas" w:hAnsi="Consolas"/>
          <w:sz w:val="20"/>
        </w:rPr>
        <w:t>Desc_Yuno_Cap1: Route each Premium subscription charge through the optimal acquirer based on card BIN, issuer country, and geography. With 270M+ users and $25.9M+ in subscription revenue, even a 3% auth rate uplift translates to hundreds of thousands in recovered annual Premium conversions across 180+ countries.</w:t>
      </w:r>
    </w:p>
    <w:p>
      <w:pPr>
        <w:spacing w:after="40" w:before="0"/>
      </w:pPr>
      <w:r>
        <w:rPr>
          <w:rFonts w:ascii="Consolas" w:hAnsi="Consolas"/>
          <w:sz w:val="20"/>
        </w:rPr>
        <w:t>Desc_Yuno_Cap2: Automatic cascade when the primary processor declines a renewal. Yuno reroutes to the next best acquirer in milliseconds, recovering up to 50% of soft declines. For a subscription platform plagued by billing failure complaints, failover directly reduces involuntary churn and protects recurring revenue.</w:t>
      </w:r>
    </w:p>
    <w:p>
      <w:pPr>
        <w:spacing w:after="40" w:before="0"/>
      </w:pPr>
      <w:r>
        <w:rPr>
          <w:rFonts w:ascii="Consolas" w:hAnsi="Consolas"/>
          <w:sz w:val="20"/>
        </w:rPr>
        <w:t>Desc_Yuno_Cap3: Activates the APMs Academia.edu's global researchers need: Pix in Brazil, SPEI/OXXO in Mexico, GoPay/OVO in Indonesia, iDEAL in the Netherlands, UPI in India, SEPA DD across Europe, Bancomat Pay in Italy. One API, 1,000+ payment methods, instant geo-routing. No engineering sprint per market.</w:t>
      </w:r>
    </w:p>
    <w:p>
      <w:pPr>
        <w:spacing w:after="40" w:before="0"/>
      </w:pPr>
      <w:r>
        <w:rPr>
          <w:rFonts w:ascii="Consolas" w:hAnsi="Consolas"/>
          <w:sz w:val="20"/>
        </w:rPr>
        <w:t>Desc_Yuno_Cap4: One dashboard replacing Academia.edu's fragmented processor + PayPal + Apple IAP settlement streams. Real-time approval rate monitoring, centralized reconciliation across all providers and currencies, millisecond anomaly detection via NOVA. 75% reduction in payment operations overhead.</w:t>
      </w:r>
    </w:p>
    <w:p/>
    <w:p>
      <w:r>
        <w:t>________________________________________________________________________________</w:t>
      </w:r>
    </w:p>
    <w:p/>
    <w:p>
      <w:pPr>
        <w:pStyle w:val="Heading2"/>
      </w:pPr>
      <w:r>
        <w:rPr>
          <w:color w:val="000000"/>
        </w:rPr>
        <w:t>RESEARCH BACKING | Key Facts for the Meeting</w:t>
      </w:r>
    </w:p>
    <w:p/>
    <w:p>
      <w:r/>
      <w:r>
        <w:rPr>
          <w:b/>
        </w:rPr>
        <w:t>Academia.edu at a glance:</w:t>
      </w:r>
      <w:r/>
    </w:p>
    <w:p>
      <w:pPr>
        <w:pStyle w:val="ListBullet"/>
      </w:pPr>
      <w:r>
        <w:t>Founded 2008 by Richard Price; HQ San Francisco, CA</w:t>
      </w:r>
    </w:p>
    <w:p>
      <w:pPr>
        <w:pStyle w:val="ListBullet"/>
      </w:pPr>
      <w:r>
        <w:t>270M+ registered users (2024), 55M+ papers uploaded</w:t>
      </w:r>
    </w:p>
    <w:p>
      <w:pPr>
        <w:pStyle w:val="ListBullet"/>
      </w:pPr>
      <w:r>
        <w:t>103M monthly active users</w:t>
      </w:r>
    </w:p>
    <w:p>
      <w:pPr>
        <w:pStyle w:val="ListBullet"/>
      </w:pPr>
      <w:r>
        <w:t>Platform contains ~32% of the world's research papers</w:t>
      </w:r>
    </w:p>
    <w:p>
      <w:pPr>
        <w:pStyle w:val="ListBullet"/>
      </w:pPr>
      <w:r>
        <w:t>~326 employees across 6 continents</w:t>
      </w:r>
    </w:p>
    <w:p>
      <w:pPr>
        <w:pStyle w:val="ListBullet"/>
      </w:pPr>
      <w:r>
        <w:t>Revenue: $25.9M+ annually (subscription-driven)</w:t>
      </w:r>
    </w:p>
    <w:p>
      <w:pPr>
        <w:pStyle w:val="ListBullet"/>
      </w:pPr>
      <w:r>
        <w:t>Total funding: $56.8M (Series D: $23M led by Tencent)</w:t>
      </w:r>
    </w:p>
    <w:p>
      <w:pPr>
        <w:pStyle w:val="ListBullet"/>
      </w:pPr>
      <w:r>
        <w:t>Other investors: True Ventures, Greylock, Khosla Ventures, Spark Capital</w:t>
      </w:r>
    </w:p>
    <w:p>
      <w:pPr>
        <w:pStyle w:val="ListBullet"/>
      </w:pPr>
      <w:r>
        <w:t>Private company, not publicly traded</w:t>
      </w:r>
    </w:p>
    <w:p>
      <w:pPr>
        <w:pStyle w:val="ListBullet"/>
      </w:pPr>
      <w:r>
        <w:t>Premium pricing: $249/year (increased from $99 in 2024), monthly option available</w:t>
      </w:r>
    </w:p>
    <w:p>
      <w:pPr>
        <w:pStyle w:val="ListBullet"/>
      </w:pPr>
      <w:r>
        <w:t>Business model: Freemium; free paper sharing, paid Premium features (analytics, advanced search, PDF packages)</w:t>
      </w:r>
    </w:p>
    <w:p>
      <w:pPr>
        <w:pStyle w:val="ListBullet"/>
      </w:pPr>
      <w:r>
        <w:t>18 open-access journals launched via Academia.edu Journals (as of Dec 2025)</w:t>
      </w:r>
    </w:p>
    <w:p/>
    <w:p>
      <w:r/>
      <w:r>
        <w:rPr>
          <w:b/>
        </w:rPr>
        <w:t>Confirmed PSPs:</w:t>
      </w:r>
      <w:r/>
    </w:p>
    <w:p>
      <w:pPr>
        <w:pStyle w:val="ListBullet"/>
      </w:pPr>
      <w:r>
        <w:t>Stripe: Primary card processor (confirmed via tech stack analysis showing Stripe public key in frontend infrastructure)</w:t>
      </w:r>
    </w:p>
    <w:p>
      <w:pPr>
        <w:pStyle w:val="ListBullet"/>
      </w:pPr>
      <w:r>
        <w:t>PayPal: Secondary payment option available in most regions</w:t>
      </w:r>
    </w:p>
    <w:p>
      <w:pPr>
        <w:pStyle w:val="ListBullet"/>
      </w:pPr>
      <w:r>
        <w:t>Apple IAP: iOS app purchases</w:t>
      </w:r>
    </w:p>
    <w:p>
      <w:pPr>
        <w:pStyle w:val="ListBullet"/>
      </w:pPr>
      <w:r>
        <w:t>No payment orchestrator detected</w:t>
      </w:r>
    </w:p>
    <w:p/>
    <w:p>
      <w:r/>
      <w:r>
        <w:rPr>
          <w:b/>
        </w:rPr>
        <w:t>Accepted Payment Methods:</w:t>
      </w:r>
      <w:r/>
    </w:p>
    <w:p>
      <w:pPr>
        <w:pStyle w:val="ListBullet"/>
      </w:pPr>
      <w:r>
        <w:t>Credit/debit cards: Visa, Mastercard, Amex, Discover, JCB, Diners Club</w:t>
      </w:r>
    </w:p>
    <w:p>
      <w:pPr>
        <w:pStyle w:val="ListBullet"/>
      </w:pPr>
      <w:r>
        <w:t>PayPal</w:t>
      </w:r>
    </w:p>
    <w:p>
      <w:pPr>
        <w:pStyle w:val="ListBullet"/>
      </w:pPr>
      <w:r>
        <w:t>Direct debit transfers (limited availability)</w:t>
      </w:r>
    </w:p>
    <w:p>
      <w:pPr>
        <w:pStyle w:val="ListBullet"/>
      </w:pPr>
      <w:r>
        <w:t>Digital wallets (limited, primarily Apple Pay via Stripe)</w:t>
      </w:r>
    </w:p>
    <w:p>
      <w:pPr>
        <w:pStyle w:val="ListBullet"/>
      </w:pPr>
      <w:r>
        <w:t>Apple IAP (iOS)</w:t>
      </w:r>
    </w:p>
    <w:p>
      <w:pPr>
        <w:pStyle w:val="ListBullet"/>
      </w:pPr>
      <w:r>
        <w:t>No local payment methods in any international market</w:t>
      </w:r>
    </w:p>
    <w:p/>
    <w:p>
      <w:r/>
      <w:r>
        <w:rPr>
          <w:b/>
        </w:rPr>
        <w:t>Top 5 Markets Gap Analysis:</w:t>
      </w:r>
      <w:r/>
    </w:p>
    <w:p/>
    <w:p>
      <w:r>
        <w:t>MARKET 1: United States (14.6% of traffic)</w:t>
      </w:r>
    </w:p>
    <w:p>
      <w:r>
        <w:t>Accepted: Visa/MC/Amex/Discover, PayPal</w:t>
      </w:r>
    </w:p>
    <w:p>
      <w:r>
        <w:t>Missing: ACH, Google Pay, Cash App Pay</w:t>
      </w:r>
    </w:p>
    <w:p>
      <w:r>
        <w:t>Note: Largest single market but only 14.6% of traffic. Relatively well-served but missing bank-direct options.</w:t>
      </w:r>
    </w:p>
    <w:p/>
    <w:p>
      <w:r>
        <w:t>MARKET 2: Brazil (7.2% of traffic)</w:t>
      </w:r>
    </w:p>
    <w:p>
      <w:r>
        <w:t>Accepted: Visa/MC (cross-border), PayPal</w:t>
      </w:r>
    </w:p>
    <w:p>
      <w:r>
        <w:t>Missing: Pix, Boleto, local debit cards</w:t>
      </w:r>
    </w:p>
    <w:p>
      <w:r>
        <w:t>Note: Pix processes 4B+ monthly transactions in Brazil. Essential for researcher subscriptions. Card penetration ~40%.</w:t>
      </w:r>
    </w:p>
    <w:p/>
    <w:p>
      <w:r>
        <w:t>MARKET 3: Italy (5.7% of traffic)</w:t>
      </w:r>
    </w:p>
    <w:p>
      <w:r>
        <w:t>Accepted: Visa/MC, PayPal</w:t>
      </w:r>
    </w:p>
    <w:p>
      <w:r>
        <w:t>Missing: Bancomat Pay, SEPA Direct Debit, Satispay</w:t>
      </w:r>
    </w:p>
    <w:p>
      <w:r>
        <w:t>Note: Italian researchers prefer bank-based payments. Bancomat Pay is Italy's dominant digital wallet.</w:t>
      </w:r>
    </w:p>
    <w:p/>
    <w:p>
      <w:r>
        <w:t>MARKET 4: Mexico (5.5% of traffic)</w:t>
      </w:r>
    </w:p>
    <w:p>
      <w:r>
        <w:t>Accepted: Visa/MC (cross-border), PayPal</w:t>
      </w:r>
    </w:p>
    <w:p>
      <w:r>
        <w:t>Missing: SPEI, OXXO, CoDi</w:t>
      </w:r>
    </w:p>
    <w:p>
      <w:r>
        <w:t>Note: 60%+ of Mexican population unbanked/underbanked. OXXO enables cash-based digital payments at 20,000+ stores.</w:t>
      </w:r>
    </w:p>
    <w:p/>
    <w:p>
      <w:r>
        <w:t>MARKET 5: Indonesia (5.0% of traffic)</w:t>
      </w:r>
    </w:p>
    <w:p>
      <w:r>
        <w:t>Accepted: Visa/MC (cross-border), PayPal</w:t>
      </w:r>
    </w:p>
    <w:p>
      <w:r>
        <w:t>Missing: GoPay, OVO, DANA, ShopeePay, bank transfers</w:t>
      </w:r>
    </w:p>
    <w:p>
      <w:r>
        <w:t>Note: Card penetration under 10% in Indonesia. E-wallets dominate digital payments. Massive academic user base locked out of Premium.</w:t>
      </w:r>
    </w:p>
    <w:p/>
    <w:p>
      <w:r/>
      <w:r>
        <w:rPr>
          <w:b/>
        </w:rPr>
        <w:t>Billing and Subscription Issues:</w:t>
      </w:r>
      <w:r/>
    </w:p>
    <w:p>
      <w:pPr>
        <w:pStyle w:val="ListBullet"/>
      </w:pPr>
      <w:r>
        <w:t>Aggressive auto-renewal billing with escalating prices: $99 (2022), $173 (2023), $249 (2024), $379 (2025) reported by some users</w:t>
      </w:r>
    </w:p>
    <w:p>
      <w:pPr>
        <w:pStyle w:val="ListBullet"/>
      </w:pPr>
      <w:r>
        <w:t>Extensive BBB complaints about undisclosed charges, failed cancellations, continued billing</w:t>
      </w:r>
    </w:p>
    <w:p>
      <w:pPr>
        <w:pStyle w:val="ListBullet"/>
      </w:pPr>
      <w:r>
        <w:t>Wikipedia flags "dark patterns" in subscription practices</w:t>
      </w:r>
    </w:p>
    <w:p>
      <w:pPr>
        <w:pStyle w:val="ListBullet"/>
      </w:pPr>
      <w:r>
        <w:t>Users report being charged after cancellation, missing renewal notifications</w:t>
      </w:r>
    </w:p>
    <w:p>
      <w:pPr>
        <w:pStyle w:val="ListBullet"/>
      </w:pPr>
      <w:r>
        <w:t>Failed payments result in no service but charge attempts appear on bank statements</w:t>
      </w:r>
    </w:p>
    <w:p>
      <w:pPr>
        <w:pStyle w:val="ListBullet"/>
      </w:pPr>
      <w:r>
        <w:t>No smart retry logic; standard processor retry only</w:t>
      </w:r>
    </w:p>
    <w:p>
      <w:pPr>
        <w:pStyle w:val="ListBullet"/>
      </w:pPr>
      <w:r>
        <w:t>Premium-support@academia.edu is primary billing support channel</w:t>
      </w:r>
    </w:p>
    <w:p/>
    <w:p>
      <w:r/>
      <w:r>
        <w:rPr>
          <w:b/>
        </w:rPr>
        <w:t>Key meeting angles:</w:t>
      </w:r>
      <w:r/>
    </w:p>
    <w:p>
      <w:pPr>
        <w:pStyle w:val="ListNumber"/>
      </w:pPr>
      <w:r/>
      <w:r>
        <w:rPr>
          <w:b/>
        </w:rPr>
        <w:t>Massive international user base, minimal payment coverage</w:t>
      </w:r>
      <w:r>
        <w:t>: 85%+ traffic is non-US, but zero local APMs in any market. Brazil, Italy, Mexico, Indonesia each represent 5-7% of traffic with no local methods.</w:t>
      </w:r>
    </w:p>
    <w:p>
      <w:pPr>
        <w:pStyle w:val="ListNumber"/>
      </w:pPr>
      <w:r/>
      <w:r>
        <w:rPr>
          <w:b/>
        </w:rPr>
        <w:t>Subscription revenue at risk</w:t>
      </w:r>
      <w:r>
        <w:t>: $249/year Premium with aggressive auto-renewal but no smart retry or failover. Every failed renewal is lost revenue from a high-value subscriber.</w:t>
      </w:r>
    </w:p>
    <w:p>
      <w:pPr>
        <w:pStyle w:val="ListNumber"/>
      </w:pPr>
      <w:r/>
      <w:r>
        <w:rPr>
          <w:b/>
        </w:rPr>
        <w:t>Card penetration mismatch</w:t>
      </w:r>
      <w:r>
        <w:t>: Top markets (Indonesia 5%, Mexico 5.5%) have card penetration under 15%. Millions of researchers cannot subscribe even if they want to.</w:t>
      </w:r>
    </w:p>
    <w:p>
      <w:pPr>
        <w:pStyle w:val="ListNumber"/>
      </w:pPr>
      <w:r/>
      <w:r>
        <w:rPr>
          <w:b/>
        </w:rPr>
        <w:t>FX friction on a global academic audience</w:t>
      </w:r>
      <w:r>
        <w:t>: Researchers in emerging markets (India, Brazil, Indonesia) absorb 2-4% FX markup on an already expensive $249 subscription.</w:t>
      </w:r>
    </w:p>
    <w:p>
      <w:pPr>
        <w:pStyle w:val="ListNumber"/>
      </w:pPr>
      <w:r/>
      <w:r>
        <w:rPr>
          <w:b/>
        </w:rPr>
        <w:t>Single processor vulnerability</w:t>
      </w:r>
      <w:r>
        <w:t>: No failover path. One outage blocks all Premium revenue across 270M+ user base.</w:t>
      </w:r>
    </w:p>
    <w:p>
      <w:pPr>
        <w:pStyle w:val="ListNumber"/>
      </w:pPr>
      <w:r/>
      <w:r>
        <w:rPr>
          <w:b/>
        </w:rPr>
        <w:t>Competitor pressure</w:t>
      </w:r>
      <w:r>
        <w:t>: ResearchGate, JSTOR, Google Scholar all competing for academic attention. Payment accessibility is a conversion differentiator.</w:t>
      </w:r>
    </w:p>
    <w:p/>
    <w:p>
      <w:r/>
      <w:r>
        <w:rPr>
          <w:b/>
        </w:rPr>
        <w:t>Sources:</w:t>
      </w:r>
      <w:r/>
    </w:p>
    <w:p>
      <w:pPr>
        <w:pStyle w:val="ListBullet"/>
      </w:pPr>
      <w:r>
        <w:t>[Academia.edu Wikipedia](https://en.wikipedia.org/wiki/Academia.edu)</w:t>
      </w:r>
    </w:p>
    <w:p>
      <w:pPr>
        <w:pStyle w:val="ListBullet"/>
      </w:pPr>
      <w:r>
        <w:t>[Academia Premium Payment Methods](https://support.academia.edu/hc/en-us/articles/360043384573-Accepted-payment-methods-for-Academia-Premium)</w:t>
      </w:r>
    </w:p>
    <w:p>
      <w:pPr>
        <w:pStyle w:val="ListBullet"/>
      </w:pPr>
      <w:r>
        <w:t>[Academia.edu Terms of Service](https://www.academia.edu/terms)</w:t>
      </w:r>
    </w:p>
    <w:p>
      <w:pPr>
        <w:pStyle w:val="ListBullet"/>
      </w:pPr>
      <w:r>
        <w:t>[Academia.edu Privacy Policy](https://www.academia.edu/privacy)</w:t>
      </w:r>
    </w:p>
    <w:p>
      <w:pPr>
        <w:pStyle w:val="ListBullet"/>
      </w:pPr>
      <w:r>
        <w:t>[Academia Premium Features](https://support.academia.edu/hc/en-us/categories/360003163393-Academia-Premium-Features-Payment-Questions)</w:t>
      </w:r>
    </w:p>
    <w:p>
      <w:pPr>
        <w:pStyle w:val="ListBullet"/>
      </w:pPr>
      <w:r>
        <w:t>[Academia.edu 175M Users Press Release](https://www.prnewswire.com/news-releases/academiaedu-grows-to-175-million-users-while-gathering-32-of-the-worlds-research-papers-301488028.html)</w:t>
      </w:r>
    </w:p>
    <w:p>
      <w:pPr>
        <w:pStyle w:val="ListBullet"/>
      </w:pPr>
      <w:r>
        <w:t>[Academia.edu BBB Complaints](https://www.bbb.org/us/ca/san-francisco/profile/educational-research/academiaedu-1116-914563/complaints)</w:t>
      </w:r>
    </w:p>
    <w:p>
      <w:pPr>
        <w:pStyle w:val="ListBullet"/>
      </w:pPr>
      <w:r>
        <w:t>[Academia.edu Revenue (Latka)](https://getlatka.com/companies/academia.edu)</w:t>
      </w:r>
    </w:p>
    <w:p>
      <w:pPr>
        <w:pStyle w:val="ListBullet"/>
      </w:pPr>
      <w:r>
        <w:t>[Academia.edu Funding (Dealroom)](https://app.dealroom.co/companies/academia_edu)</w:t>
      </w:r>
    </w:p>
    <w:p>
      <w:pPr>
        <w:pStyle w:val="ListBullet"/>
      </w:pPr>
      <w:r>
        <w:t>[SimilarWeb: academia.edu Traffic](https://www.similarweb.com/website/academia.edu/)</w:t>
      </w:r>
    </w:p>
    <w:p>
      <w:pPr>
        <w:pStyle w:val="ListBullet"/>
      </w:pPr>
      <w:r>
        <w:t>[Semrush: academia.edu Traffic](https://www.semrush.com/website/academia.edu/overview/)</w:t>
      </w:r>
    </w:p>
    <w:p>
      <w:pPr>
        <w:pStyle w:val="ListBullet"/>
      </w:pPr>
      <w:r>
        <w:t>[Academia.edu Logo (Wikimedia)](https://commons.wikimedia.org/wiki/File:Academia.edu_logo.svg)</w:t>
      </w:r>
    </w:p>
    <w:p>
      <w:pPr>
        <w:pStyle w:val="ListBullet"/>
      </w:pPr>
      <w:r>
        <w:t>[Academia.edu Subscription Complaints (Trustpilot)](https://www.trustpilot.com/review/academia.edu)</w:t>
      </w:r>
    </w:p>
    <w:p>
      <w:pPr>
        <w:pStyle w:val="ListBullet"/>
      </w:pPr>
      <w:r>
        <w:t>[Academia.edu Billing Complaints (Xolvie)](https://www.sikayetvar.com/en/academiaedu-us/academiaedu-kept-charging-me-after-cancellationhow-can-i-stop-auto-renewal-q-25332)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